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/>
          <w:lang w:eastAsia="zh-CN"/>
        </w:rPr>
        <w:t>8bis-e</w:t>
      </w:r>
      <w:r>
        <w:rPr>
          <w:rFonts w:eastAsia="宋体" w:cs="Arial" w:hint="eastAsia"/>
          <w:lang w:eastAsia="zh-CN"/>
        </w:rPr>
        <w:t xml:space="preserve">                            </w:t>
      </w:r>
      <w:r>
        <w:rPr>
          <w:rFonts w:eastAsia="宋体" w:cs="Arial"/>
          <w:lang w:eastAsia="zh-CN"/>
        </w:rPr>
        <w:t xml:space="preserve">       </w:t>
      </w:r>
      <w:r>
        <w:rPr>
          <w:rFonts w:eastAsia="宋体" w:cs="Arial" w:hint="eastAsia"/>
          <w:lang w:eastAsia="zh-CN"/>
        </w:rPr>
        <w:t xml:space="preserve">         R4-2</w:t>
      </w:r>
      <w:r>
        <w:rPr>
          <w:rFonts w:eastAsia="宋体" w:cs="Arial"/>
          <w:lang w:eastAsia="zh-CN"/>
        </w:rPr>
        <w:t>1</w:t>
      </w:r>
      <w:r w:rsidR="00B331EA">
        <w:rPr>
          <w:rFonts w:eastAsia="宋体" w:cs="Arial"/>
          <w:lang w:eastAsia="zh-CN"/>
        </w:rPr>
        <w:t>05038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12</w:t>
      </w:r>
      <w:r w:rsidRPr="007144F1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eastAsiaTheme="minorEastAsia" w:cs="Arial"/>
          <w:lang w:eastAsia="zh-CN"/>
        </w:rPr>
        <w:t>20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/>
          <w:lang w:eastAsia="zh-CN"/>
        </w:rPr>
        <w:t xml:space="preserve"> Apr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1</w:t>
      </w:r>
    </w:p>
    <w:p w:rsidR="006C170D" w:rsidRPr="00051CD8" w:rsidRDefault="006C170D" w:rsidP="006C170D">
      <w:pPr>
        <w:pStyle w:val="a5"/>
        <w:rPr>
          <w:rFonts w:eastAsiaTheme="minorEastAsia" w:cs="Arial"/>
          <w:lang w:eastAsia="zh-CN"/>
        </w:rPr>
      </w:pPr>
    </w:p>
    <w:p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4B40D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5.3.2.4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4B40D6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View on Local Area IAB-MT power control testing 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  </w:t>
      </w:r>
    </w:p>
    <w:p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Discussion </w:t>
      </w:r>
    </w:p>
    <w:p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B40D6" w:rsidRPr="00E74E2E" w:rsidRDefault="001C2F89" w:rsidP="00013FDE">
      <w:pPr>
        <w:rPr>
          <w:rFonts w:ascii="Calibri" w:hAnsi="Calibri" w:cs="Calibri"/>
          <w:iCs/>
          <w:szCs w:val="21"/>
        </w:rPr>
      </w:pPr>
      <w:r w:rsidRPr="00E74E2E">
        <w:rPr>
          <w:rFonts w:ascii="Calibri" w:hAnsi="Calibri" w:cs="Calibri"/>
          <w:iCs/>
          <w:szCs w:val="21"/>
        </w:rPr>
        <w:t>For IAB-MT there are only several requirement</w:t>
      </w:r>
      <w:r w:rsidR="00A46680" w:rsidRPr="00E74E2E">
        <w:rPr>
          <w:rFonts w:ascii="Calibri" w:hAnsi="Calibri" w:cs="Calibri"/>
          <w:iCs/>
          <w:szCs w:val="21"/>
        </w:rPr>
        <w:t>s</w:t>
      </w:r>
      <w:r w:rsidRPr="00E74E2E">
        <w:rPr>
          <w:rFonts w:ascii="Calibri" w:hAnsi="Calibri" w:cs="Calibri"/>
          <w:iCs/>
          <w:szCs w:val="21"/>
        </w:rPr>
        <w:t xml:space="preserve"> e.g., dynamic range, power control and frequency error for which the RF requirement is different significantly compared with corresponding </w:t>
      </w:r>
      <w:r w:rsidR="00A46680" w:rsidRPr="00E74E2E">
        <w:rPr>
          <w:rFonts w:ascii="Calibri" w:hAnsi="Calibri" w:cs="Calibri"/>
          <w:iCs/>
          <w:szCs w:val="21"/>
        </w:rPr>
        <w:t xml:space="preserve">requirement of BS. Hence in conformance testing these three requirement have been discussed dedicated for IAB-MT since the legacy methodology can’t be applied directly. For IAB-MT dynamic </w:t>
      </w:r>
      <w:r w:rsidR="00B20A3D" w:rsidRPr="00E74E2E">
        <w:rPr>
          <w:rFonts w:ascii="Calibri" w:hAnsi="Calibri" w:cs="Calibri"/>
          <w:iCs/>
          <w:szCs w:val="21"/>
        </w:rPr>
        <w:t xml:space="preserve">range and frequency error we reached </w:t>
      </w:r>
      <w:r w:rsidR="00013FDE" w:rsidRPr="00E74E2E">
        <w:rPr>
          <w:rFonts w:ascii="Calibri" w:hAnsi="Calibri" w:cs="Calibri"/>
          <w:iCs/>
          <w:szCs w:val="21"/>
        </w:rPr>
        <w:t xml:space="preserve">preliminary </w:t>
      </w:r>
      <w:r w:rsidR="00B20A3D" w:rsidRPr="00E74E2E">
        <w:rPr>
          <w:rFonts w:ascii="Calibri" w:hAnsi="Calibri" w:cs="Calibri"/>
          <w:iCs/>
          <w:szCs w:val="21"/>
        </w:rPr>
        <w:t xml:space="preserve">agreement in RAN4#98e meeting. </w:t>
      </w:r>
      <w:r w:rsidR="00013FDE" w:rsidRPr="00E74E2E">
        <w:rPr>
          <w:rFonts w:ascii="Calibri" w:hAnsi="Calibri" w:cs="Calibri"/>
          <w:iCs/>
          <w:szCs w:val="21"/>
        </w:rPr>
        <w:t>However, the progress on Local Area IAB-MT power control conformance testing is still marginal. In this contribution we would like to share our view on this aspect.</w:t>
      </w:r>
    </w:p>
    <w:p w:rsidR="006C170D" w:rsidRPr="009676EF" w:rsidRDefault="004B40D6" w:rsidP="009676EF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Discussion </w:t>
      </w:r>
    </w:p>
    <w:p w:rsidR="00F009E9" w:rsidRPr="00E74E2E" w:rsidRDefault="006C170D" w:rsidP="006C170D">
      <w:pPr>
        <w:rPr>
          <w:szCs w:val="21"/>
        </w:rPr>
      </w:pPr>
      <w:r w:rsidRPr="00E74E2E">
        <w:rPr>
          <w:rFonts w:ascii="Calibri" w:hAnsi="Calibri" w:cs="Calibri"/>
          <w:iCs/>
          <w:szCs w:val="21"/>
        </w:rPr>
        <w:t>Relative power tolerance and aggregated power tolerance</w:t>
      </w:r>
      <w:r w:rsidR="00CD5855" w:rsidRPr="00E74E2E">
        <w:rPr>
          <w:rFonts w:ascii="Calibri" w:hAnsi="Calibri" w:cs="Calibri"/>
          <w:iCs/>
          <w:szCs w:val="21"/>
        </w:rPr>
        <w:t xml:space="preserve"> are defined for Local Area IAB-MT to ensure the closed loop power control which is similar as UE</w:t>
      </w:r>
      <w:r w:rsidR="009D1509" w:rsidRPr="00E74E2E">
        <w:rPr>
          <w:rFonts w:ascii="Calibri" w:hAnsi="Calibri" w:cs="Calibri"/>
          <w:iCs/>
          <w:szCs w:val="21"/>
        </w:rPr>
        <w:t xml:space="preserve"> to adjust</w:t>
      </w:r>
      <w:r w:rsidR="002C243D" w:rsidRPr="00E74E2E">
        <w:rPr>
          <w:rFonts w:ascii="Calibri" w:hAnsi="Calibri" w:cs="Calibri"/>
          <w:iCs/>
          <w:szCs w:val="21"/>
        </w:rPr>
        <w:t xml:space="preserve"> or maintain</w:t>
      </w:r>
      <w:r w:rsidR="009D1509" w:rsidRPr="00E74E2E">
        <w:rPr>
          <w:rFonts w:ascii="Calibri" w:hAnsi="Calibri" w:cs="Calibri"/>
          <w:iCs/>
          <w:szCs w:val="21"/>
        </w:rPr>
        <w:t xml:space="preserve"> its output power according to BS command</w:t>
      </w:r>
      <w:r w:rsidR="00CD5855" w:rsidRPr="00E74E2E">
        <w:rPr>
          <w:rFonts w:ascii="Calibri" w:hAnsi="Calibri" w:cs="Calibri"/>
          <w:iCs/>
          <w:szCs w:val="21"/>
        </w:rPr>
        <w:t>.</w:t>
      </w:r>
      <w:r w:rsidR="007A133A" w:rsidRPr="00E74E2E">
        <w:rPr>
          <w:rFonts w:ascii="Calibri" w:hAnsi="Calibri" w:cs="Calibri"/>
          <w:iCs/>
          <w:szCs w:val="21"/>
        </w:rPr>
        <w:t xml:space="preserve"> Since no corresponding requirement defined for BS, </w:t>
      </w:r>
      <w:r w:rsidR="0080710F" w:rsidRPr="00E74E2E">
        <w:rPr>
          <w:rFonts w:ascii="Calibri" w:hAnsi="Calibri" w:cs="Calibri"/>
          <w:iCs/>
          <w:szCs w:val="21"/>
        </w:rPr>
        <w:t>related</w:t>
      </w:r>
      <w:r w:rsidR="0025315D" w:rsidRPr="00E74E2E">
        <w:rPr>
          <w:rFonts w:ascii="Calibri" w:hAnsi="Calibri" w:cs="Calibri"/>
          <w:iCs/>
          <w:szCs w:val="21"/>
        </w:rPr>
        <w:t xml:space="preserve"> test case design for UE can be taken as reference</w:t>
      </w:r>
      <w:r w:rsidR="009D1509" w:rsidRPr="00E74E2E">
        <w:rPr>
          <w:rFonts w:ascii="Calibri" w:hAnsi="Calibri" w:cs="Calibri"/>
          <w:iCs/>
          <w:szCs w:val="21"/>
        </w:rPr>
        <w:t>.</w:t>
      </w:r>
      <w:r w:rsidR="009D1509" w:rsidRPr="00E74E2E">
        <w:rPr>
          <w:rFonts w:hint="eastAsia"/>
          <w:szCs w:val="21"/>
        </w:rPr>
        <w:t xml:space="preserve"> </w:t>
      </w:r>
    </w:p>
    <w:p w:rsidR="00E74E2E" w:rsidRPr="00E74E2E" w:rsidRDefault="00F009E9" w:rsidP="006C170D">
      <w:pPr>
        <w:rPr>
          <w:szCs w:val="21"/>
        </w:rPr>
      </w:pPr>
      <w:r w:rsidRPr="00E74E2E">
        <w:rPr>
          <w:szCs w:val="21"/>
        </w:rPr>
        <w:t xml:space="preserve">In both FR1 and FR2 UE specification, the relative power tolerance is verified by “various subsets with different patterns” including </w:t>
      </w:r>
      <w:r w:rsidR="00757381" w:rsidRPr="00E74E2E">
        <w:rPr>
          <w:szCs w:val="21"/>
        </w:rPr>
        <w:t xml:space="preserve">power </w:t>
      </w:r>
      <w:r w:rsidRPr="00E74E2E">
        <w:rPr>
          <w:szCs w:val="21"/>
        </w:rPr>
        <w:t xml:space="preserve">ramping up patterns, ramping down patterns and alternative patterns. </w:t>
      </w:r>
      <w:r w:rsidR="001C7D79" w:rsidRPr="00E74E2E">
        <w:rPr>
          <w:szCs w:val="21"/>
        </w:rPr>
        <w:t xml:space="preserve">In test requirement dedicated sub-test </w:t>
      </w:r>
      <w:r w:rsidR="00757381" w:rsidRPr="00E74E2E">
        <w:rPr>
          <w:szCs w:val="21"/>
        </w:rPr>
        <w:t xml:space="preserve">is </w:t>
      </w:r>
      <w:r w:rsidR="001C7D79" w:rsidRPr="00E74E2E">
        <w:rPr>
          <w:szCs w:val="21"/>
        </w:rPr>
        <w:t xml:space="preserve">defined with adjustment on both RB allocation and TPC </w:t>
      </w:r>
      <w:r w:rsidR="00DE2561" w:rsidRPr="00E74E2E">
        <w:rPr>
          <w:szCs w:val="21"/>
        </w:rPr>
        <w:t>command (</w:t>
      </w:r>
      <w:r w:rsidR="001C7D79" w:rsidRPr="00E74E2E">
        <w:rPr>
          <w:szCs w:val="21"/>
        </w:rPr>
        <w:t>+</w:t>
      </w:r>
      <w:r w:rsidR="00757381" w:rsidRPr="00E74E2E">
        <w:rPr>
          <w:szCs w:val="21"/>
        </w:rPr>
        <w:t>1</w:t>
      </w:r>
      <w:r w:rsidR="001C7D79" w:rsidRPr="00E74E2E">
        <w:rPr>
          <w:szCs w:val="21"/>
        </w:rPr>
        <w:t>/-1</w:t>
      </w:r>
      <w:r w:rsidR="00757381" w:rsidRPr="00E74E2E">
        <w:rPr>
          <w:szCs w:val="21"/>
        </w:rPr>
        <w:t>/0</w:t>
      </w:r>
      <w:r w:rsidR="001C7D79" w:rsidRPr="00E74E2E">
        <w:rPr>
          <w:szCs w:val="21"/>
        </w:rPr>
        <w:t>dB)</w:t>
      </w:r>
      <w:r w:rsidR="00757381" w:rsidRPr="00E74E2E">
        <w:rPr>
          <w:szCs w:val="21"/>
        </w:rPr>
        <w:t>.</w:t>
      </w:r>
      <w:r w:rsidR="002C243D" w:rsidRPr="00E74E2E">
        <w:rPr>
          <w:szCs w:val="21"/>
        </w:rPr>
        <w:t xml:space="preserve"> </w:t>
      </w:r>
      <w:r w:rsidR="00DE2561" w:rsidRPr="00E74E2E">
        <w:rPr>
          <w:szCs w:val="21"/>
        </w:rPr>
        <w:t>Similar to relative power tolerance,</w:t>
      </w:r>
      <w:r w:rsidR="002C243D" w:rsidRPr="00E74E2E">
        <w:rPr>
          <w:szCs w:val="21"/>
        </w:rPr>
        <w:t xml:space="preserve"> aggregated power tolerance is verified by </w:t>
      </w:r>
      <w:r w:rsidR="00DE2561" w:rsidRPr="00E74E2E">
        <w:rPr>
          <w:szCs w:val="21"/>
        </w:rPr>
        <w:t xml:space="preserve">specific UL pattern and subtest for PUCCH and PUSCH. </w:t>
      </w:r>
      <w:r w:rsidR="00E74E2E" w:rsidRPr="00E74E2E">
        <w:rPr>
          <w:szCs w:val="21"/>
        </w:rPr>
        <w:t>Obviously,</w:t>
      </w:r>
      <w:r w:rsidR="00DE2561" w:rsidRPr="00E74E2E">
        <w:rPr>
          <w:szCs w:val="21"/>
        </w:rPr>
        <w:t xml:space="preserve"> UE </w:t>
      </w:r>
      <w:r w:rsidR="00E74E2E" w:rsidRPr="00E74E2E">
        <w:rPr>
          <w:szCs w:val="21"/>
        </w:rPr>
        <w:t xml:space="preserve">test configuration on power control including procedure and power pattern is significantly complicated. Hence in previous RAN4 discussion on IAB-MT power control testing aspect the common understanding is that the simplification would unavoidable if the UE approach taken as reference. </w:t>
      </w:r>
    </w:p>
    <w:p w:rsidR="006C170D" w:rsidRDefault="00E74E2E" w:rsidP="006C170D">
      <w:pPr>
        <w:rPr>
          <w:szCs w:val="21"/>
        </w:rPr>
      </w:pPr>
      <w:r w:rsidRPr="00E74E2E">
        <w:rPr>
          <w:szCs w:val="21"/>
        </w:rPr>
        <w:t xml:space="preserve">Unfortunately, even if there a tentative and temporary </w:t>
      </w:r>
      <w:r w:rsidR="00DA0FF8">
        <w:rPr>
          <w:szCs w:val="21"/>
        </w:rPr>
        <w:t>solution</w:t>
      </w:r>
      <w:r w:rsidR="00CB5566">
        <w:rPr>
          <w:szCs w:val="21"/>
        </w:rPr>
        <w:t xml:space="preserve"> given as below</w:t>
      </w:r>
      <w:r w:rsidR="00DA0FF8">
        <w:rPr>
          <w:szCs w:val="21"/>
        </w:rPr>
        <w:t xml:space="preserve"> in the end of the 1</w:t>
      </w:r>
      <w:r w:rsidR="00DA0FF8" w:rsidRPr="00DA0FF8">
        <w:rPr>
          <w:szCs w:val="21"/>
          <w:vertAlign w:val="superscript"/>
        </w:rPr>
        <w:t>st</w:t>
      </w:r>
      <w:r w:rsidR="00DA0FF8">
        <w:rPr>
          <w:szCs w:val="21"/>
        </w:rPr>
        <w:t xml:space="preserve"> round discussion </w:t>
      </w:r>
      <w:r w:rsidR="00CB5566">
        <w:rPr>
          <w:szCs w:val="21"/>
        </w:rPr>
        <w:t>no further proposal provided in 2</w:t>
      </w:r>
      <w:r w:rsidR="00CB5566" w:rsidRPr="00CB5566">
        <w:rPr>
          <w:szCs w:val="21"/>
          <w:vertAlign w:val="superscript"/>
        </w:rPr>
        <w:t>nd</w:t>
      </w:r>
      <w:r w:rsidR="00CB5566">
        <w:rPr>
          <w:szCs w:val="21"/>
        </w:rPr>
        <w:t xml:space="preserve"> round discussion to make this option detail enough for future TP drafting.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A0FF8" w:rsidTr="00DA0FF8">
        <w:tc>
          <w:tcPr>
            <w:tcW w:w="10456" w:type="dxa"/>
          </w:tcPr>
          <w:p w:rsidR="00DA0FF8" w:rsidRPr="008A5091" w:rsidRDefault="00DA0FF8" w:rsidP="00DA0FF8">
            <w:pPr>
              <w:rPr>
                <w:rFonts w:ascii="Times New Roman" w:hAnsi="Times New Roman" w:cs="Times New Roman"/>
                <w:b/>
              </w:rPr>
            </w:pPr>
            <w:r w:rsidRPr="008A5091">
              <w:rPr>
                <w:rFonts w:ascii="Times New Roman" w:hAnsi="Times New Roman" w:cs="Times New Roman"/>
                <w:b/>
              </w:rPr>
              <w:t>For relative power control accuracy</w:t>
            </w:r>
            <w:r w:rsidRPr="008A5091"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:rsidR="00DA0FF8" w:rsidRPr="008A5091" w:rsidRDefault="00DA0FF8" w:rsidP="00DA0FF8">
            <w:pPr>
              <w:ind w:rightChars="100" w:right="210"/>
              <w:rPr>
                <w:rFonts w:ascii="Times New Roman" w:hAnsi="Times New Roman" w:cs="Times New Roman"/>
                <w:szCs w:val="24"/>
              </w:rPr>
            </w:pPr>
            <w:r w:rsidRPr="008A5091">
              <w:rPr>
                <w:rFonts w:ascii="Times New Roman" w:hAnsi="Times New Roman" w:cs="Times New Roman"/>
                <w:szCs w:val="24"/>
              </w:rPr>
              <w:t>Option 3: Partial PRB allocation to be considered in Test model design if to reuse the similar test configuration as UE.”</w:t>
            </w:r>
          </w:p>
          <w:p w:rsidR="00DA0FF8" w:rsidRPr="008A5091" w:rsidRDefault="00DA0FF8" w:rsidP="00DA0FF8">
            <w:pPr>
              <w:rPr>
                <w:rFonts w:ascii="Times New Roman" w:hAnsi="Times New Roman" w:cs="Times New Roman"/>
                <w:szCs w:val="24"/>
              </w:rPr>
            </w:pPr>
            <w:r w:rsidRPr="008A5091">
              <w:rPr>
                <w:rFonts w:ascii="Times New Roman" w:hAnsi="Times New Roman" w:cs="Times New Roman"/>
                <w:b/>
                <w:szCs w:val="24"/>
              </w:rPr>
              <w:t>For aggregated power control accuracy agreements</w:t>
            </w:r>
            <w:r w:rsidRPr="008A5091">
              <w:rPr>
                <w:rFonts w:ascii="Times New Roman" w:hAnsi="Times New Roman" w:cs="Times New Roman"/>
                <w:szCs w:val="24"/>
              </w:rPr>
              <w:t>:</w:t>
            </w:r>
          </w:p>
          <w:p w:rsidR="00DA0FF8" w:rsidRPr="00DA0FF8" w:rsidRDefault="00DA0FF8" w:rsidP="00DA0FF8">
            <w:pPr>
              <w:rPr>
                <w:szCs w:val="21"/>
              </w:rPr>
            </w:pPr>
            <w:r w:rsidRPr="008A5091">
              <w:rPr>
                <w:rFonts w:ascii="Times New Roman" w:eastAsia="等线" w:hAnsi="Times New Roman" w:cs="Times New Roman"/>
              </w:rPr>
              <w:t>NO detailed conformance test cases for this requirement, FFS whether can be jointly verified or covered by dynamic range conformance test cases</w:t>
            </w:r>
          </w:p>
        </w:tc>
      </w:tr>
    </w:tbl>
    <w:p w:rsidR="00DA0FF8" w:rsidRDefault="00F75311" w:rsidP="006C170D">
      <w:pPr>
        <w:rPr>
          <w:szCs w:val="21"/>
        </w:rPr>
      </w:pPr>
      <w:r>
        <w:rPr>
          <w:szCs w:val="21"/>
        </w:rPr>
        <w:t>What’s even worse, there was hardly any supporting view shared in 2</w:t>
      </w:r>
      <w:r w:rsidRPr="00DA0FF8">
        <w:rPr>
          <w:szCs w:val="21"/>
          <w:vertAlign w:val="superscript"/>
        </w:rPr>
        <w:t>nd</w:t>
      </w:r>
      <w:r>
        <w:rPr>
          <w:szCs w:val="21"/>
        </w:rPr>
        <w:t xml:space="preserve"> round </w:t>
      </w:r>
      <w:r w:rsidR="0077304F">
        <w:rPr>
          <w:szCs w:val="21"/>
        </w:rPr>
        <w:t>for the option on relative power control accuracy</w:t>
      </w:r>
      <w:r>
        <w:rPr>
          <w:szCs w:val="21"/>
        </w:rPr>
        <w:t>, which makes it’s not reasonable to capture any detail conclusion in the</w:t>
      </w:r>
      <w:r w:rsidR="00F21189">
        <w:rPr>
          <w:szCs w:val="21"/>
        </w:rPr>
        <w:t xml:space="preserve"> WF. That’s why at last we just agreed below WF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21189" w:rsidTr="00F21189">
        <w:tc>
          <w:tcPr>
            <w:tcW w:w="10456" w:type="dxa"/>
          </w:tcPr>
          <w:p w:rsidR="00F21189" w:rsidRPr="008A5091" w:rsidRDefault="00F21189" w:rsidP="00F21189">
            <w:pPr>
              <w:rPr>
                <w:rFonts w:ascii="Times New Roman" w:eastAsia="等线" w:hAnsi="Times New Roman" w:cs="Times New Roman"/>
                <w:b/>
                <w:szCs w:val="21"/>
              </w:rPr>
            </w:pPr>
            <w:r w:rsidRPr="008A5091">
              <w:rPr>
                <w:rFonts w:ascii="Times New Roman" w:eastAsia="等线" w:hAnsi="Times New Roman" w:cs="Times New Roman"/>
                <w:b/>
                <w:szCs w:val="21"/>
              </w:rPr>
              <w:t xml:space="preserve">Further Way forward </w:t>
            </w:r>
          </w:p>
          <w:p w:rsidR="00F21189" w:rsidRPr="008A5091" w:rsidRDefault="00F21189" w:rsidP="00F21189">
            <w:pPr>
              <w:rPr>
                <w:rFonts w:ascii="Times New Roman" w:hAnsi="Times New Roman" w:cs="Times New Roman"/>
                <w:szCs w:val="21"/>
              </w:rPr>
            </w:pPr>
            <w:r w:rsidRPr="008A5091">
              <w:rPr>
                <w:rFonts w:ascii="Times New Roman" w:hAnsi="Times New Roman" w:cs="Times New Roman"/>
                <w:szCs w:val="21"/>
              </w:rPr>
              <w:t>According to feedback from companies during 2</w:t>
            </w:r>
            <w:r w:rsidRPr="008A5091">
              <w:rPr>
                <w:rFonts w:ascii="Times New Roman" w:hAnsi="Times New Roman" w:cs="Times New Roman"/>
                <w:szCs w:val="21"/>
                <w:vertAlign w:val="superscript"/>
              </w:rPr>
              <w:t>nd</w:t>
            </w:r>
            <w:r w:rsidRPr="008A5091">
              <w:rPr>
                <w:rFonts w:ascii="Times New Roman" w:hAnsi="Times New Roman" w:cs="Times New Roman"/>
                <w:szCs w:val="21"/>
              </w:rPr>
              <w:t xml:space="preserve"> round the preference is both power control accuracy requirements can be verified together with dynamic range. However there is no extensive discussion on that. Hence it is suggested </w:t>
            </w:r>
          </w:p>
          <w:p w:rsidR="00F21189" w:rsidRPr="008A5091" w:rsidRDefault="00F21189" w:rsidP="00F21189">
            <w:pPr>
              <w:pStyle w:val="a7"/>
              <w:numPr>
                <w:ilvl w:val="0"/>
                <w:numId w:val="2"/>
              </w:numPr>
              <w:ind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 w:rsidRPr="008A5091">
              <w:rPr>
                <w:rFonts w:ascii="Times New Roman" w:hAnsi="Times New Roman" w:cs="Times New Roman"/>
                <w:sz w:val="21"/>
                <w:szCs w:val="21"/>
              </w:rPr>
              <w:t xml:space="preserve">Investigate further whether based current test points agreed for dynamic range whether the test purpose for both relative power control accuracy and aggregated power control accuracy can be covered. </w:t>
            </w:r>
          </w:p>
          <w:p w:rsidR="00F21189" w:rsidRPr="00F21189" w:rsidRDefault="00F21189" w:rsidP="006C170D">
            <w:pPr>
              <w:pStyle w:val="a7"/>
              <w:numPr>
                <w:ilvl w:val="0"/>
                <w:numId w:val="2"/>
              </w:numPr>
              <w:ind w:firstLineChars="0"/>
              <w:rPr>
                <w:rFonts w:cstheme="minorHAnsi"/>
                <w:sz w:val="20"/>
                <w:szCs w:val="20"/>
              </w:rPr>
            </w:pPr>
            <w:r w:rsidRPr="008A5091">
              <w:rPr>
                <w:rFonts w:ascii="Times New Roman" w:hAnsi="Times New Roman" w:cs="Times New Roman"/>
                <w:sz w:val="21"/>
                <w:szCs w:val="21"/>
              </w:rPr>
              <w:t>Proposal on test point/configuration for relative power accuracy is not precluded</w:t>
            </w:r>
            <w:r w:rsidRPr="008A50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F21189" w:rsidRDefault="00AC0590" w:rsidP="006C170D">
      <w:pPr>
        <w:rPr>
          <w:szCs w:val="21"/>
        </w:rPr>
      </w:pPr>
      <w:r>
        <w:rPr>
          <w:szCs w:val="21"/>
        </w:rPr>
        <w:t xml:space="preserve">According to above WF, it is suggested to review whether the test points defined for dynamic range can cover the test purpose on power control accuracy. </w:t>
      </w:r>
      <w:r w:rsidR="008E50F4">
        <w:rPr>
          <w:szCs w:val="21"/>
        </w:rPr>
        <w:t>Compared with below test point 1 and test point 2, both adjustment on both PRB allocation an</w:t>
      </w:r>
      <w:r w:rsidR="008A5091">
        <w:rPr>
          <w:szCs w:val="21"/>
        </w:rPr>
        <w:t xml:space="preserve">d PSD are addressed, which means the relative power control can be verified to some extent in agreed dynamic </w:t>
      </w:r>
      <w:r w:rsidR="008A5091">
        <w:rPr>
          <w:szCs w:val="21"/>
        </w:rPr>
        <w:lastRenderedPageBreak/>
        <w:t xml:space="preserve">range test procedure.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C0590" w:rsidTr="00AC0590">
        <w:tc>
          <w:tcPr>
            <w:tcW w:w="10456" w:type="dxa"/>
          </w:tcPr>
          <w:p w:rsidR="00AC0590" w:rsidRPr="008A5091" w:rsidRDefault="00AC0590" w:rsidP="00AC0590">
            <w:pPr>
              <w:pStyle w:val="a7"/>
              <w:numPr>
                <w:ilvl w:val="2"/>
                <w:numId w:val="3"/>
              </w:numPr>
              <w:spacing w:after="120"/>
              <w:ind w:firstLineChars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8A509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Test points 1: Maximum output power with full RB allocation and maximum output power </w:t>
            </w:r>
          </w:p>
          <w:p w:rsidR="00AC0590" w:rsidRPr="008A5091" w:rsidRDefault="00AC0590" w:rsidP="00AC0590">
            <w:pPr>
              <w:pStyle w:val="a7"/>
              <w:numPr>
                <w:ilvl w:val="2"/>
                <w:numId w:val="3"/>
              </w:numPr>
              <w:spacing w:after="120"/>
              <w:ind w:firstLineChars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8A509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Test points 2: single RB allocation with 5/10 dB lower PSD as used in test point 1)</w:t>
            </w:r>
          </w:p>
          <w:p w:rsidR="00AC0590" w:rsidRPr="00AC0590" w:rsidRDefault="00AC0590" w:rsidP="006C170D">
            <w:pPr>
              <w:pStyle w:val="a7"/>
              <w:numPr>
                <w:ilvl w:val="2"/>
                <w:numId w:val="3"/>
              </w:numPr>
              <w:spacing w:after="120"/>
              <w:ind w:firstLineChars="0"/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8A509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Test point 1- test point 2 =  X+Y </w:t>
            </w:r>
            <w:r w:rsidRPr="008A509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（</w:t>
            </w:r>
            <w:r w:rsidRPr="008A509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+/- uncertainty FFS </w:t>
            </w:r>
            <w:r w:rsidRPr="008A509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）</w:t>
            </w:r>
          </w:p>
        </w:tc>
      </w:tr>
    </w:tbl>
    <w:p w:rsidR="008A5091" w:rsidRDefault="008A5091" w:rsidP="006C170D">
      <w:pPr>
        <w:rPr>
          <w:szCs w:val="21"/>
        </w:rPr>
      </w:pPr>
      <w:r>
        <w:rPr>
          <w:rFonts w:hint="eastAsia"/>
          <w:szCs w:val="21"/>
        </w:rPr>
        <w:t>F</w:t>
      </w:r>
      <w:r>
        <w:rPr>
          <w:szCs w:val="21"/>
        </w:rPr>
        <w:t xml:space="preserve">or aggregated power control, even though this can’t be reflected in dynamic range verification, this should be checked to some extent in transmitted power on the IAB-MT capability to maintain the power at fixed level. </w:t>
      </w:r>
    </w:p>
    <w:p w:rsidR="008A5091" w:rsidRDefault="008A5091" w:rsidP="006C170D">
      <w:pPr>
        <w:rPr>
          <w:szCs w:val="21"/>
        </w:rPr>
      </w:pPr>
      <w:r w:rsidRPr="00A70B6C">
        <w:rPr>
          <w:b/>
          <w:szCs w:val="21"/>
        </w:rPr>
        <w:t>Observation 1</w:t>
      </w:r>
      <w:r>
        <w:rPr>
          <w:szCs w:val="21"/>
        </w:rPr>
        <w:t>:</w:t>
      </w:r>
      <w:r w:rsidR="00A70B6C">
        <w:rPr>
          <w:szCs w:val="21"/>
        </w:rPr>
        <w:t xml:space="preserve"> Relative power accuracy can be verified in power dynamic range</w:t>
      </w:r>
    </w:p>
    <w:p w:rsidR="00AC0590" w:rsidRPr="00E74E2E" w:rsidRDefault="00A70B6C" w:rsidP="006C170D">
      <w:pPr>
        <w:rPr>
          <w:szCs w:val="21"/>
        </w:rPr>
      </w:pPr>
      <w:r w:rsidRPr="00A70B6C">
        <w:rPr>
          <w:b/>
          <w:szCs w:val="21"/>
        </w:rPr>
        <w:t>Observation 2</w:t>
      </w:r>
      <w:r>
        <w:rPr>
          <w:szCs w:val="21"/>
        </w:rPr>
        <w:t xml:space="preserve">: Aggregated power accuracy can be verified in transmitted power. </w:t>
      </w:r>
    </w:p>
    <w:p w:rsidR="008A5091" w:rsidRPr="009676EF" w:rsidRDefault="008A5091" w:rsidP="008A5091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 </w:t>
      </w:r>
    </w:p>
    <w:p w:rsidR="006C170D" w:rsidRPr="00E74E2E" w:rsidRDefault="004648DA">
      <w:pPr>
        <w:rPr>
          <w:szCs w:val="21"/>
        </w:rPr>
      </w:pPr>
      <w:r>
        <w:rPr>
          <w:rFonts w:hint="eastAsia"/>
          <w:szCs w:val="21"/>
        </w:rPr>
        <w:t>O</w:t>
      </w:r>
      <w:r>
        <w:rPr>
          <w:szCs w:val="21"/>
        </w:rPr>
        <w:t>ur observation is that relative power accuracy and aggregated power accuracy can be verified by other transmitter requirement</w:t>
      </w:r>
      <w:r w:rsidR="008A6CDC">
        <w:rPr>
          <w:szCs w:val="21"/>
        </w:rPr>
        <w:t>s</w:t>
      </w:r>
      <w:r>
        <w:rPr>
          <w:szCs w:val="21"/>
        </w:rPr>
        <w:t>. However, it is not against to go with explicitly test case if detail agreement can achieved during Apr meeting. But if no conclusion on that direction</w:t>
      </w:r>
      <w:r w:rsidR="008A6CDC">
        <w:rPr>
          <w:szCs w:val="21"/>
        </w:rPr>
        <w:t xml:space="preserve"> within this meeting</w:t>
      </w:r>
      <w:bookmarkStart w:id="0" w:name="_GoBack"/>
      <w:bookmarkEnd w:id="0"/>
      <w:r>
        <w:rPr>
          <w:szCs w:val="21"/>
        </w:rPr>
        <w:t>, considering the leftover meeting cycle for REL</w:t>
      </w:r>
      <w:r w:rsidR="008A6CDC">
        <w:rPr>
          <w:szCs w:val="21"/>
        </w:rPr>
        <w:t>-</w:t>
      </w:r>
      <w:r>
        <w:rPr>
          <w:szCs w:val="21"/>
        </w:rPr>
        <w:t xml:space="preserve">16 IAB, it is suggested not to define dedicated test case for power control requirement for IAB-MT. </w:t>
      </w:r>
    </w:p>
    <w:sectPr w:rsidR="006C170D" w:rsidRPr="00E74E2E" w:rsidSect="006C170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849" w:rsidRDefault="008F4849" w:rsidP="006C170D">
      <w:r>
        <w:separator/>
      </w:r>
    </w:p>
  </w:endnote>
  <w:endnote w:type="continuationSeparator" w:id="0">
    <w:p w:rsidR="008F4849" w:rsidRDefault="008F4849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849" w:rsidRDefault="008F4849" w:rsidP="006C170D">
      <w:r>
        <w:separator/>
      </w:r>
    </w:p>
  </w:footnote>
  <w:footnote w:type="continuationSeparator" w:id="0">
    <w:p w:rsidR="008F4849" w:rsidRDefault="008F4849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960F51"/>
    <w:multiLevelType w:val="hybridMultilevel"/>
    <w:tmpl w:val="B8A2A8DC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13FDE"/>
    <w:rsid w:val="000F4059"/>
    <w:rsid w:val="0016269A"/>
    <w:rsid w:val="001C2F89"/>
    <w:rsid w:val="001C7D79"/>
    <w:rsid w:val="0025315D"/>
    <w:rsid w:val="002C243D"/>
    <w:rsid w:val="004648DA"/>
    <w:rsid w:val="004B40D6"/>
    <w:rsid w:val="004E4598"/>
    <w:rsid w:val="005C1B2D"/>
    <w:rsid w:val="005E52EE"/>
    <w:rsid w:val="006C170D"/>
    <w:rsid w:val="00757381"/>
    <w:rsid w:val="0077304F"/>
    <w:rsid w:val="007A133A"/>
    <w:rsid w:val="0080710F"/>
    <w:rsid w:val="0088215A"/>
    <w:rsid w:val="00882E64"/>
    <w:rsid w:val="008A5091"/>
    <w:rsid w:val="008A6CDC"/>
    <w:rsid w:val="008E50F4"/>
    <w:rsid w:val="008F4849"/>
    <w:rsid w:val="00960C16"/>
    <w:rsid w:val="009676EF"/>
    <w:rsid w:val="009D1509"/>
    <w:rsid w:val="00A46680"/>
    <w:rsid w:val="00A70B6C"/>
    <w:rsid w:val="00AC0590"/>
    <w:rsid w:val="00AF0EC9"/>
    <w:rsid w:val="00B20A3D"/>
    <w:rsid w:val="00B331EA"/>
    <w:rsid w:val="00C87B9E"/>
    <w:rsid w:val="00CB3A45"/>
    <w:rsid w:val="00CB5566"/>
    <w:rsid w:val="00CC53B3"/>
    <w:rsid w:val="00CD5855"/>
    <w:rsid w:val="00DA0FF8"/>
    <w:rsid w:val="00DE2561"/>
    <w:rsid w:val="00E25D0F"/>
    <w:rsid w:val="00E74E2E"/>
    <w:rsid w:val="00F009E9"/>
    <w:rsid w:val="00F21189"/>
    <w:rsid w:val="00F7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7DC874-927E-4523-BAC8-AE383825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basedOn w:val="a1"/>
    <w:uiPriority w:val="39"/>
    <w:rsid w:val="00DA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2"/>
    <w:uiPriority w:val="34"/>
    <w:qFormat/>
    <w:rsid w:val="00F211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7"/>
    <w:uiPriority w:val="34"/>
    <w:qFormat/>
    <w:locked/>
    <w:rsid w:val="00F2118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728</Words>
  <Characters>4155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18</cp:revision>
  <dcterms:created xsi:type="dcterms:W3CDTF">2021-03-26T07:15:00Z</dcterms:created>
  <dcterms:modified xsi:type="dcterms:W3CDTF">2021-04-02T09:37:00Z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