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98-bis-e</w:t>
      </w:r>
      <w:r w:rsidRPr="00EA74C3">
        <w:rPr>
          <w:rStyle w:val="af9"/>
          <w:rFonts w:ascii="Arial" w:eastAsia="宋体" w:hAnsi="Arial" w:cs="Arial" w:hint="eastAsia"/>
        </w:rPr>
        <w:tab/>
      </w:r>
      <w:r w:rsidRPr="006243C7">
        <w:rPr>
          <w:rStyle w:val="af9"/>
          <w:rFonts w:ascii="Arial" w:eastAsia="宋体" w:hAnsi="Arial" w:cs="Arial"/>
        </w:rPr>
        <w:t>R4-2</w:t>
      </w:r>
      <w:r>
        <w:rPr>
          <w:rStyle w:val="af9"/>
          <w:rFonts w:ascii="Arial" w:eastAsia="宋体" w:hAnsi="Arial" w:cs="Arial" w:hint="eastAsia"/>
        </w:rPr>
        <w:t>1</w:t>
      </w:r>
      <w:r w:rsidR="0072129D">
        <w:rPr>
          <w:rStyle w:val="af9"/>
          <w:rFonts w:ascii="Arial" w:eastAsia="宋体" w:hAnsi="Arial" w:cs="Arial" w:hint="eastAsia"/>
        </w:rPr>
        <w:t>04808</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Pr>
          <w:rStyle w:val="af9"/>
          <w:rFonts w:ascii="Arial" w:eastAsia="宋体" w:hAnsi="Arial" w:cs="Arial" w:hint="eastAsia"/>
        </w:rPr>
        <w:t>12</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xml:space="preserve">. – </w:t>
      </w:r>
      <w:r>
        <w:rPr>
          <w:rStyle w:val="af9"/>
          <w:rFonts w:ascii="Arial" w:eastAsia="宋体" w:hAnsi="Arial" w:cs="Arial" w:hint="eastAsia"/>
        </w:rPr>
        <w:t>20</w:t>
      </w:r>
      <w:r w:rsidRPr="00977743">
        <w:rPr>
          <w:rStyle w:val="af9"/>
          <w:rFonts w:ascii="Arial" w:eastAsia="宋体" w:hAnsi="Arial" w:cs="Arial"/>
          <w:vertAlign w:val="superscript"/>
        </w:rPr>
        <w:t>th</w:t>
      </w:r>
      <w:r w:rsidRPr="00E11D29">
        <w:rPr>
          <w:rStyle w:val="af9"/>
          <w:rFonts w:ascii="Arial" w:eastAsia="宋体" w:hAnsi="Arial" w:cs="Arial"/>
        </w:rPr>
        <w:t xml:space="preserve"> </w:t>
      </w:r>
      <w:r>
        <w:rPr>
          <w:rStyle w:val="af9"/>
          <w:rFonts w:ascii="Arial" w:eastAsia="宋体" w:hAnsi="Arial" w:cs="Arial" w:hint="eastAsia"/>
        </w:rPr>
        <w:t>Apr</w:t>
      </w:r>
      <w:r w:rsidRPr="00E11D29">
        <w:rPr>
          <w:rStyle w:val="af9"/>
          <w:rFonts w:ascii="Arial" w:eastAsia="宋体" w:hAnsi="Arial" w:cs="Arial"/>
        </w:rPr>
        <w:t>., 2021</w:t>
      </w:r>
    </w:p>
    <w:p w:rsidR="00034C96" w:rsidRPr="00C02493"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74241">
        <w:rPr>
          <w:rFonts w:ascii="Arial" w:hAnsi="Arial" w:cs="Arial" w:hint="eastAsia"/>
          <w:b w:val="0"/>
        </w:rPr>
        <w:t>O</w:t>
      </w:r>
      <w:r w:rsidR="00F74241" w:rsidRPr="00F74241">
        <w:rPr>
          <w:rFonts w:ascii="Arial" w:hAnsi="Arial" w:cs="Arial"/>
          <w:b w:val="0"/>
        </w:rPr>
        <w:t>n NTN architecture and RF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322EF">
        <w:rPr>
          <w:rFonts w:ascii="Arial" w:hAnsi="Arial" w:cs="Arial" w:hint="eastAsia"/>
          <w:b w:val="0"/>
        </w:rPr>
        <w:t>8</w:t>
      </w:r>
      <w:r w:rsidR="00632958">
        <w:rPr>
          <w:rFonts w:ascii="Arial" w:hAnsi="Arial" w:cs="Arial" w:hint="eastAsia"/>
          <w:b w:val="0"/>
        </w:rPr>
        <w:t>.</w:t>
      </w:r>
      <w:r w:rsidR="004322EF">
        <w:rPr>
          <w:rFonts w:ascii="Arial" w:hAnsi="Arial" w:cs="Arial" w:hint="eastAsia"/>
          <w:b w:val="0"/>
        </w:rPr>
        <w:t>8</w:t>
      </w:r>
      <w:r w:rsidR="00F166D9">
        <w:rPr>
          <w:rFonts w:ascii="Arial" w:hAnsi="Arial" w:cs="Arial" w:hint="eastAsia"/>
          <w:b w:val="0"/>
        </w:rPr>
        <w:t>.</w:t>
      </w:r>
      <w:r w:rsidR="007C011D">
        <w:rPr>
          <w:rFonts w:ascii="Arial" w:hAnsi="Arial" w:cs="Arial" w:hint="eastAsia"/>
          <w:b w:val="0"/>
        </w:rPr>
        <w:t>1.2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74241" w:rsidRDefault="00F74241" w:rsidP="00F74241">
      <w:pPr>
        <w:rPr>
          <w:lang w:val="en-US"/>
        </w:rPr>
      </w:pPr>
      <w:r>
        <w:rPr>
          <w:lang w:val="en-US"/>
        </w:rPr>
        <w:t>T</w:t>
      </w:r>
      <w:r>
        <w:rPr>
          <w:rFonts w:hint="eastAsia"/>
          <w:lang w:val="en-US"/>
        </w:rPr>
        <w:t>here were extensive discussions during the past RAN4 meeting</w:t>
      </w:r>
      <w:r w:rsidR="003C55F5">
        <w:rPr>
          <w:rFonts w:hint="eastAsia"/>
          <w:lang w:val="en-US"/>
        </w:rPr>
        <w:t>s</w:t>
      </w:r>
      <w:r>
        <w:rPr>
          <w:rFonts w:hint="eastAsia"/>
          <w:lang w:val="en-US"/>
        </w:rPr>
        <w:t xml:space="preserve"> and a WF on NTN solutions was approved [1] in RAN4#98e. </w:t>
      </w:r>
      <w:r>
        <w:rPr>
          <w:lang w:val="en-US"/>
        </w:rPr>
        <w:t>T</w:t>
      </w:r>
      <w:r>
        <w:rPr>
          <w:rFonts w:hint="eastAsia"/>
          <w:lang w:val="en-US"/>
        </w:rPr>
        <w:t xml:space="preserve">he following was discussed but </w:t>
      </w:r>
      <w:r>
        <w:rPr>
          <w:lang w:val="en-US"/>
        </w:rPr>
        <w:t>without</w:t>
      </w:r>
      <w:r>
        <w:rPr>
          <w:rFonts w:hint="eastAsia"/>
          <w:lang w:val="en-US"/>
        </w:rPr>
        <w:t xml:space="preserve"> consensus reached.</w:t>
      </w:r>
      <w:r w:rsidRPr="00F74241">
        <w:rPr>
          <w:lang w:val="en-US"/>
        </w:rPr>
        <w:t xml:space="preserve"> </w:t>
      </w:r>
      <w:r>
        <w:rPr>
          <w:lang w:val="en-US"/>
        </w:rPr>
        <w:t>W</w:t>
      </w:r>
      <w:r>
        <w:rPr>
          <w:rFonts w:hint="eastAsia"/>
          <w:lang w:val="en-US"/>
        </w:rPr>
        <w:t>hat</w:t>
      </w:r>
      <w:r>
        <w:rPr>
          <w:lang w:val="en-US"/>
        </w:rPr>
        <w:t>’</w:t>
      </w:r>
      <w:r>
        <w:rPr>
          <w:rFonts w:hint="eastAsia"/>
          <w:lang w:val="en-US"/>
        </w:rPr>
        <w:t xml:space="preserve">s essential now is how we treat the NTN architecture in </w:t>
      </w:r>
      <w:r>
        <w:rPr>
          <w:lang w:val="en-US"/>
        </w:rPr>
        <w:t>c</w:t>
      </w:r>
      <w:bookmarkStart w:id="1" w:name="_GoBack"/>
      <w:bookmarkEnd w:id="1"/>
      <w:r>
        <w:rPr>
          <w:lang w:val="en-US"/>
        </w:rPr>
        <w:t>onjunction</w:t>
      </w:r>
      <w:r>
        <w:rPr>
          <w:rFonts w:hint="eastAsia"/>
          <w:lang w:val="en-US"/>
        </w:rPr>
        <w:t xml:space="preserve"> for developing </w:t>
      </w:r>
      <w:r>
        <w:rPr>
          <w:lang w:val="en-US"/>
        </w:rPr>
        <w:t>manageable</w:t>
      </w:r>
      <w:r>
        <w:rPr>
          <w:rFonts w:hint="eastAsia"/>
          <w:lang w:val="en-US"/>
        </w:rPr>
        <w:t xml:space="preserve"> RAN4 RF requirements.</w:t>
      </w:r>
    </w:p>
    <w:p w:rsidR="00F74241" w:rsidRDefault="00F74241" w:rsidP="00F74241">
      <w:pPr>
        <w:rPr>
          <w:lang w:val="en-US"/>
        </w:rPr>
      </w:pPr>
      <w:r w:rsidRPr="00F74241">
        <w:rPr>
          <w:noProof/>
          <w:lang w:val="en-US"/>
        </w:rPr>
        <mc:AlternateContent>
          <mc:Choice Requires="wps">
            <w:drawing>
              <wp:inline distT="0" distB="0" distL="0" distR="0">
                <wp:extent cx="6109855" cy="1403985"/>
                <wp:effectExtent l="0" t="0" r="24765" b="2095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855" cy="1403985"/>
                        </a:xfrm>
                        <a:prstGeom prst="rect">
                          <a:avLst/>
                        </a:prstGeom>
                        <a:solidFill>
                          <a:srgbClr val="FFFFFF"/>
                        </a:solidFill>
                        <a:ln w="9525">
                          <a:solidFill>
                            <a:srgbClr val="000000"/>
                          </a:solidFill>
                          <a:miter lim="800000"/>
                          <a:headEnd/>
                          <a:tailEnd/>
                        </a:ln>
                      </wps:spPr>
                      <wps:txbx>
                        <w:txbxContent>
                          <w:p w:rsidR="00D0649A" w:rsidRPr="00085138" w:rsidRDefault="00D0649A" w:rsidP="00F74241">
                            <w:pPr>
                              <w:pStyle w:val="aff0"/>
                              <w:snapToGrid w:val="0"/>
                              <w:spacing w:beforeLines="20" w:before="48" w:afterLines="20" w:after="48"/>
                              <w:ind w:firstLine="284"/>
                              <w:rPr>
                                <w:b/>
                                <w:lang w:val="en-US"/>
                              </w:rPr>
                            </w:pPr>
                            <w:r w:rsidRPr="00085138">
                              <w:rPr>
                                <w:b/>
                                <w:lang w:val="en-US"/>
                              </w:rPr>
                              <w:t xml:space="preserve">Topic #2: </w:t>
                            </w:r>
                            <w:r w:rsidRPr="00DF5F44">
                              <w:rPr>
                                <w:lang w:val="en-US"/>
                              </w:rPr>
                              <w:t>RAN4 NTN Architecture</w:t>
                            </w:r>
                          </w:p>
                          <w:p w:rsidR="00D0649A" w:rsidRPr="007B631E" w:rsidRDefault="00D0649A" w:rsidP="00F7424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 xml:space="preserve">RAN4 shall define the corresponding RF requirements for service link between UE and satellite </w:t>
                            </w:r>
                          </w:p>
                          <w:p w:rsidR="00D0649A" w:rsidRPr="007B631E" w:rsidRDefault="00D0649A" w:rsidP="00F7424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From service link RF requirements aspect, candidate options for the components:</w:t>
                            </w:r>
                          </w:p>
                          <w:p w:rsidR="00D0649A" w:rsidRPr="007B631E" w:rsidRDefault="00D0649A" w:rsidP="00F74241">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1: Satellite + feeder link + NTN-Gateway as a single entity </w:t>
                            </w:r>
                          </w:p>
                          <w:p w:rsidR="00D0649A" w:rsidRPr="007B631E" w:rsidRDefault="00D0649A" w:rsidP="00F74241">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2: Satellite + feeder link + NTN-Gateway + gNB as a single entity </w:t>
                            </w:r>
                          </w:p>
                          <w:p w:rsidR="00D0649A" w:rsidRPr="007B631E" w:rsidRDefault="00D0649A" w:rsidP="00F7424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FFS whether RAN4 shall define RF requirements for the linkage between NTN-Gateway and gNB</w:t>
                            </w:r>
                          </w:p>
                          <w:p w:rsidR="00D0649A" w:rsidRPr="007B631E" w:rsidRDefault="00D0649A" w:rsidP="00F74241">
                            <w:pPr>
                              <w:pStyle w:val="aff0"/>
                              <w:numPr>
                                <w:ilvl w:val="1"/>
                                <w:numId w:val="29"/>
                              </w:numPr>
                              <w:tabs>
                                <w:tab w:val="clear" w:pos="1440"/>
                                <w:tab w:val="num" w:pos="1080"/>
                              </w:tabs>
                              <w:snapToGrid w:val="0"/>
                              <w:ind w:left="1083" w:hanging="357"/>
                              <w:rPr>
                                <w:sz w:val="18"/>
                                <w:lang w:val="en-US"/>
                              </w:rPr>
                            </w:pPr>
                            <w:r w:rsidRPr="007B631E">
                              <w:rPr>
                                <w:sz w:val="18"/>
                                <w:lang w:val="en-US"/>
                              </w:rPr>
                              <w:t>Companies are encouraged to further clarify and discuss the assumption of the linkage between NTN-Gateway and gNB</w:t>
                            </w:r>
                          </w:p>
                          <w:p w:rsidR="00D0649A" w:rsidRPr="00F74241" w:rsidRDefault="00D0649A" w:rsidP="0072129D">
                            <w:pPr>
                              <w:pStyle w:val="afa"/>
                              <w:widowControl/>
                              <w:numPr>
                                <w:ilvl w:val="0"/>
                                <w:numId w:val="18"/>
                              </w:numPr>
                              <w:tabs>
                                <w:tab w:val="clear" w:pos="720"/>
                              </w:tabs>
                              <w:snapToGrid w:val="0"/>
                              <w:spacing w:beforeLines="20" w:before="48" w:afterLines="20" w:after="48" w:line="240" w:lineRule="auto"/>
                              <w:ind w:firstLineChars="0"/>
                              <w:jc w:val="left"/>
                            </w:pPr>
                            <w:r w:rsidRPr="0072129D">
                              <w:rPr>
                                <w:rFonts w:eastAsiaTheme="minorEastAsia"/>
                                <w:sz w:val="18"/>
                              </w:rPr>
                              <w:t xml:space="preserve">RAN4 shall continue discussion to investigate if (NTN Payload-Feeder Link-NTN Gateway) as a Relay is contradictory with transparent satellite assumption in Rel-17.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">
                <v:textbox style="mso-fit-shape-to-text:t">
                  <w:txbxContent>
                    <w:p w:rsidR="00D0649A" w:rsidRPr="00085138" w:rsidRDefault="00D0649A" w:rsidP="00F74241">
                      <w:pPr>
                        <w:pStyle w:val="aff0"/>
                        <w:snapToGrid w:val="0"/>
                        <w:spacing w:beforeLines="20" w:before="48" w:afterLines="20" w:after="48"/>
                        <w:ind w:firstLine="284"/>
                        <w:rPr>
                          <w:b/>
                          <w:lang w:val="en-US"/>
                        </w:rPr>
                      </w:pPr>
                      <w:r w:rsidRPr="00085138">
                        <w:rPr>
                          <w:b/>
                          <w:lang w:val="en-US"/>
                        </w:rPr>
                        <w:t xml:space="preserve">Topic #2: </w:t>
                      </w:r>
                      <w:r w:rsidRPr="00DF5F44">
                        <w:rPr>
                          <w:lang w:val="en-US"/>
                        </w:rPr>
                        <w:t>RAN4 NTN Architecture</w:t>
                      </w:r>
                    </w:p>
                    <w:p w:rsidR="00D0649A" w:rsidRPr="007B631E" w:rsidRDefault="00D0649A" w:rsidP="00F7424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 xml:space="preserve">RAN4 shall define the corresponding RF requirements for service link between UE and satellite </w:t>
                      </w:r>
                    </w:p>
                    <w:p w:rsidR="00D0649A" w:rsidRPr="007B631E" w:rsidRDefault="00D0649A" w:rsidP="00F7424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From service link RF requirements aspect, candidate options for the components:</w:t>
                      </w:r>
                    </w:p>
                    <w:p w:rsidR="00D0649A" w:rsidRPr="007B631E" w:rsidRDefault="00D0649A" w:rsidP="00F74241">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1: Satellite + feeder link + NTN-Gateway as a single entity </w:t>
                      </w:r>
                    </w:p>
                    <w:p w:rsidR="00D0649A" w:rsidRPr="007B631E" w:rsidRDefault="00D0649A" w:rsidP="00F74241">
                      <w:pPr>
                        <w:pStyle w:val="aff0"/>
                        <w:numPr>
                          <w:ilvl w:val="1"/>
                          <w:numId w:val="29"/>
                        </w:numPr>
                        <w:tabs>
                          <w:tab w:val="clear" w:pos="1440"/>
                          <w:tab w:val="num" w:pos="1080"/>
                        </w:tabs>
                        <w:snapToGrid w:val="0"/>
                        <w:ind w:left="1083" w:hanging="357"/>
                        <w:rPr>
                          <w:sz w:val="18"/>
                          <w:lang w:val="en-US"/>
                        </w:rPr>
                      </w:pPr>
                      <w:r w:rsidRPr="007B631E">
                        <w:rPr>
                          <w:sz w:val="18"/>
                          <w:lang w:val="en-US"/>
                        </w:rPr>
                        <w:t xml:space="preserve">Option 2: Satellite + feeder link + NTN-Gateway + gNB as a single entity </w:t>
                      </w:r>
                    </w:p>
                    <w:p w:rsidR="00D0649A" w:rsidRPr="007B631E" w:rsidRDefault="00D0649A" w:rsidP="00F74241">
                      <w:pPr>
                        <w:pStyle w:val="afa"/>
                        <w:widowControl/>
                        <w:numPr>
                          <w:ilvl w:val="0"/>
                          <w:numId w:val="18"/>
                        </w:numPr>
                        <w:tabs>
                          <w:tab w:val="clear" w:pos="720"/>
                        </w:tabs>
                        <w:snapToGrid w:val="0"/>
                        <w:spacing w:beforeLines="20" w:before="48" w:afterLines="20" w:after="48" w:line="240" w:lineRule="auto"/>
                        <w:ind w:firstLineChars="0"/>
                        <w:jc w:val="left"/>
                        <w:rPr>
                          <w:rFonts w:eastAsiaTheme="minorEastAsia"/>
                          <w:sz w:val="18"/>
                        </w:rPr>
                      </w:pPr>
                      <w:r w:rsidRPr="007B631E">
                        <w:rPr>
                          <w:rFonts w:eastAsiaTheme="minorEastAsia"/>
                          <w:sz w:val="18"/>
                        </w:rPr>
                        <w:t>FFS whether RAN4 shall define RF requirements for the linkage between NTN-Gateway and gNB</w:t>
                      </w:r>
                    </w:p>
                    <w:p w:rsidR="00D0649A" w:rsidRPr="007B631E" w:rsidRDefault="00D0649A" w:rsidP="00F74241">
                      <w:pPr>
                        <w:pStyle w:val="aff0"/>
                        <w:numPr>
                          <w:ilvl w:val="1"/>
                          <w:numId w:val="29"/>
                        </w:numPr>
                        <w:tabs>
                          <w:tab w:val="clear" w:pos="1440"/>
                          <w:tab w:val="num" w:pos="1080"/>
                        </w:tabs>
                        <w:snapToGrid w:val="0"/>
                        <w:ind w:left="1083" w:hanging="357"/>
                        <w:rPr>
                          <w:sz w:val="18"/>
                          <w:lang w:val="en-US"/>
                        </w:rPr>
                      </w:pPr>
                      <w:r w:rsidRPr="007B631E">
                        <w:rPr>
                          <w:sz w:val="18"/>
                          <w:lang w:val="en-US"/>
                        </w:rPr>
                        <w:t>Companies are encouraged to further clarify and discuss the assumption of the linkage between NTN-Gateway and gNB</w:t>
                      </w:r>
                    </w:p>
                    <w:p w:rsidR="00D0649A" w:rsidRPr="00F74241" w:rsidRDefault="00D0649A" w:rsidP="0072129D">
                      <w:pPr>
                        <w:pStyle w:val="afa"/>
                        <w:widowControl/>
                        <w:numPr>
                          <w:ilvl w:val="0"/>
                          <w:numId w:val="18"/>
                        </w:numPr>
                        <w:tabs>
                          <w:tab w:val="clear" w:pos="720"/>
                        </w:tabs>
                        <w:snapToGrid w:val="0"/>
                        <w:spacing w:beforeLines="20" w:before="48" w:afterLines="20" w:after="48" w:line="240" w:lineRule="auto"/>
                        <w:ind w:firstLineChars="0"/>
                        <w:jc w:val="left"/>
                      </w:pPr>
                      <w:r w:rsidRPr="0072129D">
                        <w:rPr>
                          <w:rFonts w:eastAsiaTheme="minorEastAsia"/>
                          <w:sz w:val="18"/>
                        </w:rPr>
                        <w:t xml:space="preserve">RAN4 shall continue discussion to investigate if (NTN Payload-Feeder Link-NTN Gateway) as a Relay is contradictory with transparent satellite assumption in Rel-17. </w:t>
                      </w:r>
                    </w:p>
                  </w:txbxContent>
                </v:textbox>
                <w10:anchorlock/>
              </v:shape>
            </w:pict>
          </mc:Fallback>
        </mc:AlternateContent>
      </w:r>
    </w:p>
    <w:p w:rsidR="00F166D9" w:rsidRPr="007B631E" w:rsidRDefault="00F74241" w:rsidP="00F74241">
      <w:pPr>
        <w:rPr>
          <w:sz w:val="20"/>
        </w:rPr>
      </w:pPr>
      <w:r w:rsidRPr="00F74241">
        <w:rPr>
          <w:rFonts w:hint="eastAsia"/>
          <w:lang w:val="en-US"/>
        </w:rPr>
        <w:t xml:space="preserve">This paper will </w:t>
      </w:r>
      <w:r w:rsidR="001B473C">
        <w:rPr>
          <w:rFonts w:hint="eastAsia"/>
          <w:lang w:val="en-US"/>
        </w:rPr>
        <w:t>present our understanding</w:t>
      </w:r>
      <w:r w:rsidRPr="00F74241">
        <w:rPr>
          <w:rFonts w:hint="eastAsia"/>
          <w:lang w:val="en-US"/>
        </w:rPr>
        <w:t xml:space="preserve"> on </w:t>
      </w:r>
      <w:r w:rsidR="001B473C">
        <w:rPr>
          <w:rFonts w:hint="eastAsia"/>
          <w:lang w:val="en-US"/>
        </w:rPr>
        <w:t>these open issues</w:t>
      </w:r>
      <w:r w:rsidRPr="00F74241">
        <w:rPr>
          <w:rFonts w:hint="eastAsia"/>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50F54" w:rsidRDefault="00450F54" w:rsidP="00FE7434">
      <w:pPr>
        <w:spacing w:before="0" w:after="120"/>
        <w:jc w:val="left"/>
        <w:rPr>
          <w:sz w:val="20"/>
          <w:lang w:val="en-US"/>
        </w:rPr>
      </w:pPr>
      <w:r w:rsidRPr="00450CE8">
        <w:t xml:space="preserve">The satellite </w:t>
      </w:r>
      <w:r>
        <w:rPr>
          <w:rFonts w:hint="eastAsia"/>
        </w:rPr>
        <w:t xml:space="preserve">payload </w:t>
      </w:r>
      <w:r w:rsidRPr="00450CE8">
        <w:t xml:space="preserve">implements frequency conversion and a Radio Frequency amplifier in both up link and down link direction. </w:t>
      </w:r>
      <w:r>
        <w:rPr>
          <w:rFonts w:hint="eastAsia"/>
        </w:rPr>
        <w:t xml:space="preserve">It </w:t>
      </w:r>
      <w:r w:rsidRPr="00450CE8">
        <w:t>repeats the NR-</w:t>
      </w:r>
      <w:proofErr w:type="spellStart"/>
      <w:r w:rsidRPr="00450CE8">
        <w:t>Uu</w:t>
      </w:r>
      <w:proofErr w:type="spellEnd"/>
      <w:r w:rsidRPr="00450CE8">
        <w:t xml:space="preserve"> radio interface from the feeder link (between the NTN gateway and the satellite) to the service link (between the satellite and</w:t>
      </w:r>
      <w:r>
        <w:t xml:space="preserve"> the UE) and vice versa</w:t>
      </w:r>
      <w:r>
        <w:rPr>
          <w:rFonts w:hint="eastAsia"/>
        </w:rPr>
        <w:t xml:space="preserve">. </w:t>
      </w:r>
      <w:r>
        <w:t>I</w:t>
      </w:r>
      <w:r>
        <w:rPr>
          <w:rFonts w:hint="eastAsia"/>
        </w:rPr>
        <w:t xml:space="preserve">t seems like this type of NTN payload is acting like a repeater. </w:t>
      </w:r>
      <w:r>
        <w:t>H</w:t>
      </w:r>
      <w:r>
        <w:rPr>
          <w:rFonts w:hint="eastAsia"/>
        </w:rPr>
        <w:t xml:space="preserve">owever it does not necessarily mean that repeater type of requirement is applicable for NTN by default. </w:t>
      </w:r>
      <w:r>
        <w:t>W</w:t>
      </w:r>
      <w:r>
        <w:rPr>
          <w:rFonts w:hint="eastAsia"/>
        </w:rPr>
        <w:t>hat decides is also related to how we treat the NTN satellite and ground components and whether there is standard interface between all the components.</w:t>
      </w:r>
    </w:p>
    <w:p w:rsidR="00F74241" w:rsidRPr="00D0649A" w:rsidRDefault="00450F54" w:rsidP="00FE7434">
      <w:pPr>
        <w:spacing w:before="0" w:after="120"/>
        <w:jc w:val="left"/>
      </w:pPr>
      <w:r w:rsidRPr="00D0649A">
        <w:t>I</w:t>
      </w:r>
      <w:r w:rsidRPr="00D0649A">
        <w:rPr>
          <w:rFonts w:hint="eastAsia"/>
        </w:rPr>
        <w:t>n last RAN3 meeting, t</w:t>
      </w:r>
      <w:r w:rsidR="00F74241" w:rsidRPr="00D0649A">
        <w:rPr>
          <w:rFonts w:hint="eastAsia"/>
        </w:rPr>
        <w:t xml:space="preserve">he </w:t>
      </w:r>
      <w:r w:rsidRPr="00D0649A">
        <w:rPr>
          <w:rFonts w:hint="eastAsia"/>
        </w:rPr>
        <w:t xml:space="preserve">following networking-RAN architecture has been included in 38.300 for NTN. </w:t>
      </w:r>
      <w:r w:rsidRPr="00D0649A">
        <w:t>I</w:t>
      </w:r>
      <w:r w:rsidRPr="00D0649A">
        <w:rPr>
          <w:rFonts w:hint="eastAsia"/>
        </w:rPr>
        <w:t xml:space="preserve">t is </w:t>
      </w:r>
      <w:r w:rsidRPr="00D0649A">
        <w:t>apparent</w:t>
      </w:r>
      <w:r w:rsidRPr="00D0649A">
        <w:rPr>
          <w:rFonts w:hint="eastAsia"/>
        </w:rPr>
        <w:t xml:space="preserve"> that </w:t>
      </w:r>
      <w:r w:rsidRPr="00D0649A">
        <w:t>Satellite + feeder link + NTN-Gateway + gNB as a single entity</w:t>
      </w:r>
      <w:r w:rsidRPr="00D0649A">
        <w:rPr>
          <w:rFonts w:hint="eastAsia"/>
        </w:rPr>
        <w:t xml:space="preserve"> is treated as single entity. </w:t>
      </w:r>
      <w:r w:rsidRPr="00D0649A">
        <w:t>T</w:t>
      </w:r>
      <w:r w:rsidRPr="00D0649A">
        <w:rPr>
          <w:rFonts w:hint="eastAsia"/>
        </w:rPr>
        <w:t xml:space="preserve">his entity is seen as a black box </w:t>
      </w:r>
      <w:r w:rsidRPr="00D0649A">
        <w:t>without</w:t>
      </w:r>
      <w:r w:rsidRPr="00D0649A">
        <w:rPr>
          <w:rFonts w:hint="eastAsia"/>
        </w:rPr>
        <w:t xml:space="preserve"> any interface standardized between the components.</w:t>
      </w:r>
    </w:p>
    <w:p w:rsidR="00F74241" w:rsidRDefault="00F74241" w:rsidP="00F74241">
      <w:pPr>
        <w:spacing w:before="0" w:after="120"/>
        <w:jc w:val="center"/>
      </w:pPr>
      <w:r>
        <w:object w:dxaOrig="15036" w:dyaOrig="5676">
          <v:shape id="_x0000_i1025" type="#_x0000_t75" style="width:342.8pt;height:129.15pt" o:ole="">
            <v:imagedata r:id="rId9" o:title=""/>
          </v:shape>
          <o:OLEObject Type="Embed" ProgID="Visio.Drawing.11" ShapeID="_x0000_i1025" DrawAspect="Content" ObjectID="_1678899881" r:id="rId10"/>
        </w:object>
      </w:r>
    </w:p>
    <w:p w:rsidR="00F74241" w:rsidRDefault="00F74241" w:rsidP="00F74241">
      <w:pPr>
        <w:spacing w:before="0" w:after="120"/>
        <w:jc w:val="center"/>
        <w:rPr>
          <w:sz w:val="20"/>
          <w:lang w:val="en-US"/>
        </w:rPr>
      </w:pPr>
      <w:r w:rsidRPr="002A7FFE">
        <w:rPr>
          <w:sz w:val="20"/>
          <w:lang w:val="en-US"/>
        </w:rPr>
        <w:t>Figure 1: Networking-RAN architecture with transparent satellite</w:t>
      </w:r>
    </w:p>
    <w:p w:rsidR="00450F54" w:rsidRPr="00D0649A" w:rsidRDefault="00450F54" w:rsidP="00D0649A">
      <w:pPr>
        <w:spacing w:before="0" w:after="120"/>
        <w:jc w:val="left"/>
        <w:rPr>
          <w:b/>
        </w:rPr>
      </w:pPr>
      <w:r w:rsidRPr="00D0649A">
        <w:rPr>
          <w:rFonts w:hint="eastAsia"/>
          <w:b/>
        </w:rPr>
        <w:lastRenderedPageBreak/>
        <w:t xml:space="preserve">Observation: </w:t>
      </w:r>
      <w:r w:rsidRPr="00D0649A">
        <w:rPr>
          <w:b/>
        </w:rPr>
        <w:t xml:space="preserve">Satellite + feeder link + NTN-Gateway + gNB </w:t>
      </w:r>
      <w:proofErr w:type="gramStart"/>
      <w:r w:rsidR="00E6014F">
        <w:rPr>
          <w:rFonts w:hint="eastAsia"/>
          <w:b/>
        </w:rPr>
        <w:t>is</w:t>
      </w:r>
      <w:proofErr w:type="gramEnd"/>
      <w:r w:rsidR="00E6014F">
        <w:rPr>
          <w:rFonts w:hint="eastAsia"/>
          <w:b/>
        </w:rPr>
        <w:t xml:space="preserve"> treated as</w:t>
      </w:r>
      <w:r w:rsidRPr="00D0649A">
        <w:rPr>
          <w:b/>
        </w:rPr>
        <w:t xml:space="preserve"> a single entity</w:t>
      </w:r>
      <w:r w:rsidRPr="00D0649A">
        <w:rPr>
          <w:rFonts w:hint="eastAsia"/>
          <w:b/>
        </w:rPr>
        <w:t>, which means Option 2 in [1] is correct understanding.</w:t>
      </w:r>
    </w:p>
    <w:p w:rsidR="00450F54" w:rsidRPr="00E6014F" w:rsidRDefault="00D0649A" w:rsidP="00D0649A">
      <w:pPr>
        <w:spacing w:before="0" w:after="120"/>
        <w:jc w:val="left"/>
        <w:rPr>
          <w:b/>
          <w:u w:val="single"/>
        </w:rPr>
      </w:pPr>
      <w:r w:rsidRPr="00E6014F">
        <w:rPr>
          <w:rFonts w:hint="eastAsia"/>
          <w:b/>
          <w:u w:val="single"/>
        </w:rPr>
        <w:t xml:space="preserve">Proposal 1: Treat </w:t>
      </w:r>
      <w:r w:rsidRPr="00E6014F">
        <w:rPr>
          <w:b/>
          <w:u w:val="single"/>
        </w:rPr>
        <w:t>Satellite + feeder link + NTN-Gateway + gNB</w:t>
      </w:r>
      <w:r w:rsidRPr="00E6014F">
        <w:rPr>
          <w:rFonts w:hint="eastAsia"/>
          <w:b/>
          <w:u w:val="single"/>
        </w:rPr>
        <w:t xml:space="preserve"> as a single </w:t>
      </w:r>
      <w:r w:rsidRPr="00E6014F">
        <w:rPr>
          <w:b/>
          <w:u w:val="single"/>
        </w:rPr>
        <w:t>entity</w:t>
      </w:r>
      <w:r w:rsidR="001D46E2" w:rsidRPr="00E6014F">
        <w:rPr>
          <w:rFonts w:hint="eastAsia"/>
          <w:b/>
          <w:u w:val="single"/>
        </w:rPr>
        <w:t xml:space="preserve"> (black box)</w:t>
      </w:r>
      <w:r w:rsidRPr="00E6014F">
        <w:rPr>
          <w:rFonts w:hint="eastAsia"/>
          <w:b/>
          <w:u w:val="single"/>
        </w:rPr>
        <w:t>.</w:t>
      </w:r>
    </w:p>
    <w:p w:rsidR="00D0649A" w:rsidRDefault="00D0649A" w:rsidP="00D0649A">
      <w:pPr>
        <w:spacing w:beforeLines="100" w:before="240" w:after="120"/>
        <w:jc w:val="left"/>
      </w:pPr>
      <w:r w:rsidRPr="00D0649A">
        <w:t xml:space="preserve">RAN4 </w:t>
      </w:r>
      <w:r w:rsidRPr="00D0649A">
        <w:rPr>
          <w:rFonts w:hint="eastAsia"/>
        </w:rPr>
        <w:t>agreed to</w:t>
      </w:r>
      <w:r w:rsidRPr="00D0649A">
        <w:t xml:space="preserve"> define the corresponding RF requirements for service link between UE and satellite</w:t>
      </w:r>
      <w:r>
        <w:rPr>
          <w:rFonts w:hint="eastAsia"/>
        </w:rPr>
        <w:t xml:space="preserve">. </w:t>
      </w:r>
      <w:r>
        <w:t>I</w:t>
      </w:r>
      <w:r>
        <w:rPr>
          <w:rFonts w:hint="eastAsia"/>
        </w:rPr>
        <w:t>t is</w:t>
      </w:r>
      <w:r w:rsidRPr="00D0649A">
        <w:rPr>
          <w:rFonts w:hint="eastAsia"/>
        </w:rPr>
        <w:t xml:space="preserve"> FFS on whether to specify </w:t>
      </w:r>
      <w:r w:rsidRPr="00D0649A">
        <w:t>RF requirements for the linkage between NTN-Gateway and gNB</w:t>
      </w:r>
      <w:r>
        <w:rPr>
          <w:rFonts w:hint="eastAsia"/>
        </w:rPr>
        <w:t xml:space="preserve">. </w:t>
      </w:r>
      <w:r>
        <w:t>O</w:t>
      </w:r>
      <w:r>
        <w:rPr>
          <w:rFonts w:hint="eastAsia"/>
        </w:rPr>
        <w:t xml:space="preserve">ne important fact is that there is no standard interface between NTN-Gateway and gNB. </w:t>
      </w:r>
      <w:r>
        <w:t>T</w:t>
      </w:r>
      <w:r>
        <w:rPr>
          <w:rFonts w:hint="eastAsia"/>
        </w:rPr>
        <w:t xml:space="preserve">hus it is not possible to specify any requirement on this interface. </w:t>
      </w:r>
      <w:r>
        <w:t>T</w:t>
      </w:r>
      <w:r>
        <w:rPr>
          <w:rFonts w:hint="eastAsia"/>
        </w:rPr>
        <w:t>he splitting of requirements between the components within the black box has to be done later outside of 3GPP.</w:t>
      </w:r>
    </w:p>
    <w:p w:rsidR="00D0649A" w:rsidRDefault="00D0649A" w:rsidP="00D0649A">
      <w:pPr>
        <w:spacing w:before="0" w:after="120"/>
        <w:jc w:val="left"/>
        <w:rPr>
          <w:b/>
        </w:rPr>
      </w:pPr>
      <w:r w:rsidRPr="00D0649A">
        <w:rPr>
          <w:rFonts w:hint="eastAsia"/>
          <w:b/>
        </w:rPr>
        <w:t xml:space="preserve">Observation 2: RF </w:t>
      </w:r>
      <w:r w:rsidRPr="00D0649A">
        <w:rPr>
          <w:b/>
        </w:rPr>
        <w:t>requirement</w:t>
      </w:r>
      <w:r w:rsidRPr="00D0649A">
        <w:rPr>
          <w:rFonts w:hint="eastAsia"/>
          <w:b/>
        </w:rPr>
        <w:t xml:space="preserve"> is not </w:t>
      </w:r>
      <w:r w:rsidRPr="00D0649A">
        <w:rPr>
          <w:b/>
        </w:rPr>
        <w:t>possible</w:t>
      </w:r>
      <w:r w:rsidRPr="00D0649A">
        <w:rPr>
          <w:rFonts w:hint="eastAsia"/>
          <w:b/>
        </w:rPr>
        <w:t xml:space="preserve"> to be specified between the </w:t>
      </w:r>
      <w:r w:rsidRPr="00D0649A">
        <w:rPr>
          <w:b/>
        </w:rPr>
        <w:t>components</w:t>
      </w:r>
      <w:r w:rsidRPr="00D0649A">
        <w:rPr>
          <w:rFonts w:hint="eastAsia"/>
          <w:b/>
        </w:rPr>
        <w:t xml:space="preserve"> within the black box</w:t>
      </w:r>
      <w:r w:rsidR="00E6014F">
        <w:rPr>
          <w:rFonts w:hint="eastAsia"/>
          <w:b/>
        </w:rPr>
        <w:t xml:space="preserve"> </w:t>
      </w:r>
      <w:r w:rsidR="00E6014F" w:rsidRPr="00D0649A">
        <w:rPr>
          <w:rFonts w:hint="eastAsia"/>
          <w:b/>
        </w:rPr>
        <w:t>due to lack of standard interface</w:t>
      </w:r>
      <w:r w:rsidRPr="00D0649A">
        <w:rPr>
          <w:rFonts w:hint="eastAsia"/>
          <w:b/>
        </w:rPr>
        <w:t>.</w:t>
      </w:r>
    </w:p>
    <w:p w:rsidR="00D0649A" w:rsidRPr="00E6014F" w:rsidRDefault="00D0649A" w:rsidP="00D0649A">
      <w:pPr>
        <w:spacing w:before="0" w:after="120"/>
        <w:jc w:val="left"/>
        <w:rPr>
          <w:b/>
          <w:u w:val="single"/>
        </w:rPr>
      </w:pPr>
      <w:r w:rsidRPr="00E6014F">
        <w:rPr>
          <w:rFonts w:hint="eastAsia"/>
          <w:b/>
          <w:u w:val="single"/>
        </w:rPr>
        <w:t xml:space="preserve">Proposal 2: It is proposed that no RF requirement is defined </w:t>
      </w:r>
      <w:r w:rsidRPr="00E6014F">
        <w:rPr>
          <w:b/>
          <w:u w:val="single"/>
        </w:rPr>
        <w:t>for the linkage between NTN-Gateway and</w:t>
      </w:r>
      <w:r w:rsidRPr="00D0649A">
        <w:rPr>
          <w:b/>
        </w:rPr>
        <w:t xml:space="preserve"> </w:t>
      </w:r>
      <w:r w:rsidRPr="00E6014F">
        <w:rPr>
          <w:b/>
          <w:u w:val="single"/>
        </w:rPr>
        <w:t>gNB</w:t>
      </w:r>
      <w:r w:rsidRPr="00E6014F">
        <w:rPr>
          <w:rFonts w:hint="eastAsia"/>
          <w:b/>
          <w:u w:val="single"/>
        </w:rPr>
        <w:t xml:space="preserve">. RAN4 should focus on defining RF requirement for service link only. </w:t>
      </w:r>
    </w:p>
    <w:p w:rsidR="001D46E2" w:rsidRDefault="00D0649A" w:rsidP="00D0649A">
      <w:pPr>
        <w:spacing w:beforeLines="100" w:before="240" w:after="120"/>
        <w:jc w:val="left"/>
      </w:pPr>
      <w:r w:rsidRPr="00D0649A">
        <w:t>T</w:t>
      </w:r>
      <w:r w:rsidRPr="00D0649A">
        <w:rPr>
          <w:rFonts w:hint="eastAsia"/>
        </w:rPr>
        <w:t xml:space="preserve">he next question is what type </w:t>
      </w:r>
      <w:r>
        <w:rPr>
          <w:rFonts w:hint="eastAsia"/>
        </w:rPr>
        <w:t xml:space="preserve">of requirement is applicable for NTN. </w:t>
      </w:r>
      <w:r>
        <w:t>C</w:t>
      </w:r>
      <w:r>
        <w:rPr>
          <w:rFonts w:hint="eastAsia"/>
        </w:rPr>
        <w:t>andidates include</w:t>
      </w:r>
      <w:r w:rsidR="001D46E2">
        <w:rPr>
          <w:rFonts w:hint="eastAsia"/>
        </w:rPr>
        <w:t xml:space="preserve"> repeat-alike requirements, </w:t>
      </w:r>
      <w:r w:rsidR="007C011D">
        <w:rPr>
          <w:rFonts w:hint="eastAsia"/>
        </w:rPr>
        <w:t>Relay</w:t>
      </w:r>
      <w:r w:rsidR="001D46E2">
        <w:rPr>
          <w:rFonts w:hint="eastAsia"/>
        </w:rPr>
        <w:t>-</w:t>
      </w:r>
      <w:r>
        <w:rPr>
          <w:rFonts w:hint="eastAsia"/>
        </w:rPr>
        <w:t xml:space="preserve">alike </w:t>
      </w:r>
      <w:r>
        <w:t>requirement</w:t>
      </w:r>
      <w:r>
        <w:rPr>
          <w:rFonts w:hint="eastAsia"/>
        </w:rPr>
        <w:t xml:space="preserve"> </w:t>
      </w:r>
      <w:r w:rsidR="001D46E2">
        <w:rPr>
          <w:rFonts w:hint="eastAsia"/>
        </w:rPr>
        <w:t xml:space="preserve">and BS-alike requirement. </w:t>
      </w:r>
      <w:r w:rsidR="001D46E2">
        <w:t>O</w:t>
      </w:r>
      <w:r w:rsidR="001D46E2">
        <w:rPr>
          <w:rFonts w:hint="eastAsia"/>
        </w:rPr>
        <w:t xml:space="preserve">ur </w:t>
      </w:r>
      <w:r w:rsidR="001D46E2">
        <w:t>understanding</w:t>
      </w:r>
      <w:r w:rsidR="001D46E2">
        <w:rPr>
          <w:rFonts w:hint="eastAsia"/>
        </w:rPr>
        <w:t xml:space="preserve"> is that repeat-alike requirements and </w:t>
      </w:r>
      <w:r w:rsidR="007C011D">
        <w:rPr>
          <w:rFonts w:hint="eastAsia"/>
        </w:rPr>
        <w:t>Relay</w:t>
      </w:r>
      <w:r w:rsidR="001D46E2">
        <w:rPr>
          <w:rFonts w:hint="eastAsia"/>
        </w:rPr>
        <w:t xml:space="preserve">-alike </w:t>
      </w:r>
      <w:r w:rsidR="001D46E2">
        <w:t>requirement</w:t>
      </w:r>
      <w:r w:rsidR="001D46E2">
        <w:rPr>
          <w:rFonts w:hint="eastAsia"/>
        </w:rPr>
        <w:t xml:space="preserve"> are not applicable for NTN since both input and output </w:t>
      </w:r>
      <w:r w:rsidR="001D46E2">
        <w:t>should</w:t>
      </w:r>
      <w:r w:rsidR="001D46E2">
        <w:rPr>
          <w:rFonts w:hint="eastAsia"/>
        </w:rPr>
        <w:t xml:space="preserve"> be </w:t>
      </w:r>
      <w:r w:rsidR="001D46E2">
        <w:t>considered</w:t>
      </w:r>
      <w:r w:rsidR="001D46E2">
        <w:rPr>
          <w:rFonts w:hint="eastAsia"/>
        </w:rPr>
        <w:t xml:space="preserve"> for both of these 2 types of requirements. </w:t>
      </w:r>
      <w:r w:rsidR="001D46E2">
        <w:t>H</w:t>
      </w:r>
      <w:r w:rsidR="001D46E2">
        <w:rPr>
          <w:rFonts w:hint="eastAsia"/>
        </w:rPr>
        <w:t>owever RF requirements can only be specified for service link</w:t>
      </w:r>
      <w:r w:rsidR="001D46E2" w:rsidRPr="001D46E2">
        <w:rPr>
          <w:rFonts w:hint="eastAsia"/>
        </w:rPr>
        <w:t xml:space="preserve"> </w:t>
      </w:r>
      <w:r w:rsidR="001D46E2">
        <w:rPr>
          <w:rFonts w:hint="eastAsia"/>
        </w:rPr>
        <w:t xml:space="preserve">as aforementioned. </w:t>
      </w:r>
      <w:r w:rsidR="001D46E2">
        <w:t>S</w:t>
      </w:r>
      <w:r w:rsidR="001D46E2">
        <w:rPr>
          <w:rFonts w:hint="eastAsia"/>
        </w:rPr>
        <w:t xml:space="preserve">o we think only BS-alike requirement can be specified for NTN. </w:t>
      </w:r>
      <w:r w:rsidR="001D46E2">
        <w:t>W</w:t>
      </w:r>
      <w:r w:rsidR="001D46E2">
        <w:rPr>
          <w:rFonts w:hint="eastAsia"/>
        </w:rPr>
        <w:t xml:space="preserve">e can just assuming that a BS is located on the satellite and leave </w:t>
      </w:r>
      <w:r w:rsidR="001D46E2">
        <w:t>requirement</w:t>
      </w:r>
      <w:r w:rsidR="001D46E2">
        <w:rPr>
          <w:rFonts w:hint="eastAsia"/>
        </w:rPr>
        <w:t xml:space="preserve"> </w:t>
      </w:r>
      <w:r w:rsidR="001D46E2">
        <w:t>splitting</w:t>
      </w:r>
      <w:r w:rsidR="001D46E2">
        <w:rPr>
          <w:rFonts w:hint="eastAsia"/>
        </w:rPr>
        <w:t xml:space="preserve"> between components within the black box for out of 3GPP.</w:t>
      </w:r>
    </w:p>
    <w:p w:rsidR="00D0649A" w:rsidRPr="00E6014F" w:rsidRDefault="001D46E2" w:rsidP="00D0649A">
      <w:pPr>
        <w:spacing w:beforeLines="100" w:before="240" w:after="120"/>
        <w:jc w:val="left"/>
        <w:rPr>
          <w:b/>
          <w:u w:val="single"/>
        </w:rPr>
      </w:pPr>
      <w:r w:rsidRPr="00E6014F">
        <w:rPr>
          <w:rFonts w:hint="eastAsia"/>
          <w:b/>
          <w:u w:val="single"/>
        </w:rPr>
        <w:t>Proposal 3: It is proposed to only specify BS-alike requirements for NTN.</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w:t>
      </w:r>
      <w:r w:rsidR="007C011D">
        <w:rPr>
          <w:rFonts w:hint="eastAsia"/>
          <w:sz w:val="20"/>
        </w:rPr>
        <w:t>contribution further</w:t>
      </w:r>
      <w:r>
        <w:rPr>
          <w:rFonts w:hint="eastAsia"/>
          <w:sz w:val="20"/>
        </w:rPr>
        <w:t xml:space="preserve"> discussed the </w:t>
      </w:r>
      <w:r w:rsidR="007C011D">
        <w:rPr>
          <w:rFonts w:hint="eastAsia"/>
          <w:sz w:val="20"/>
        </w:rPr>
        <w:t xml:space="preserve">NTN architecture and its impact on RF requirements. </w:t>
      </w:r>
      <w:r w:rsidR="007C011D">
        <w:rPr>
          <w:sz w:val="20"/>
        </w:rPr>
        <w:t>T</w:t>
      </w:r>
      <w:r w:rsidR="007C011D">
        <w:rPr>
          <w:rFonts w:hint="eastAsia"/>
          <w:sz w:val="20"/>
        </w:rPr>
        <w:t>he following observations and proposals are concluded.</w:t>
      </w:r>
    </w:p>
    <w:p w:rsidR="00E6014F" w:rsidRPr="00D0649A" w:rsidRDefault="00E6014F" w:rsidP="00E6014F">
      <w:pPr>
        <w:spacing w:before="0" w:after="120"/>
        <w:jc w:val="left"/>
        <w:rPr>
          <w:b/>
        </w:rPr>
      </w:pPr>
      <w:r w:rsidRPr="00D0649A">
        <w:rPr>
          <w:rFonts w:hint="eastAsia"/>
          <w:b/>
        </w:rPr>
        <w:t xml:space="preserve">Observation: </w:t>
      </w:r>
      <w:r w:rsidRPr="00D0649A">
        <w:rPr>
          <w:b/>
        </w:rPr>
        <w:t xml:space="preserve">Satellite + feeder link + NTN-Gateway + gNB </w:t>
      </w:r>
      <w:proofErr w:type="gramStart"/>
      <w:r>
        <w:rPr>
          <w:rFonts w:hint="eastAsia"/>
          <w:b/>
        </w:rPr>
        <w:t>is</w:t>
      </w:r>
      <w:proofErr w:type="gramEnd"/>
      <w:r>
        <w:rPr>
          <w:rFonts w:hint="eastAsia"/>
          <w:b/>
        </w:rPr>
        <w:t xml:space="preserve"> treated as</w:t>
      </w:r>
      <w:r w:rsidRPr="00D0649A">
        <w:rPr>
          <w:b/>
        </w:rPr>
        <w:t xml:space="preserve"> a single entity</w:t>
      </w:r>
      <w:r w:rsidRPr="00D0649A">
        <w:rPr>
          <w:rFonts w:hint="eastAsia"/>
          <w:b/>
        </w:rPr>
        <w:t>, which means Option 2 in [1] is correct understanding.</w:t>
      </w:r>
    </w:p>
    <w:p w:rsidR="00E6014F" w:rsidRPr="00E6014F" w:rsidRDefault="00E6014F" w:rsidP="00E6014F">
      <w:pPr>
        <w:spacing w:before="0" w:after="120"/>
        <w:jc w:val="left"/>
        <w:rPr>
          <w:b/>
          <w:u w:val="single"/>
        </w:rPr>
      </w:pPr>
      <w:r w:rsidRPr="00E6014F">
        <w:rPr>
          <w:rFonts w:hint="eastAsia"/>
          <w:b/>
          <w:u w:val="single"/>
        </w:rPr>
        <w:t xml:space="preserve">Proposal 1: Treat </w:t>
      </w:r>
      <w:r w:rsidRPr="00E6014F">
        <w:rPr>
          <w:b/>
          <w:u w:val="single"/>
        </w:rPr>
        <w:t>Satellite + feeder link + NTN-Gateway + gNB</w:t>
      </w:r>
      <w:r w:rsidRPr="00E6014F">
        <w:rPr>
          <w:rFonts w:hint="eastAsia"/>
          <w:b/>
          <w:u w:val="single"/>
        </w:rPr>
        <w:t xml:space="preserve"> as a single </w:t>
      </w:r>
      <w:r w:rsidRPr="00E6014F">
        <w:rPr>
          <w:b/>
          <w:u w:val="single"/>
        </w:rPr>
        <w:t>entity</w:t>
      </w:r>
      <w:r w:rsidRPr="00E6014F">
        <w:rPr>
          <w:rFonts w:hint="eastAsia"/>
          <w:b/>
          <w:u w:val="single"/>
        </w:rPr>
        <w:t xml:space="preserve"> (black box).</w:t>
      </w:r>
    </w:p>
    <w:p w:rsidR="00E6014F" w:rsidRDefault="00E6014F" w:rsidP="00E6014F">
      <w:pPr>
        <w:spacing w:before="0" w:after="120"/>
        <w:jc w:val="left"/>
        <w:rPr>
          <w:b/>
        </w:rPr>
      </w:pPr>
      <w:r w:rsidRPr="00D0649A">
        <w:rPr>
          <w:rFonts w:hint="eastAsia"/>
          <w:b/>
        </w:rPr>
        <w:t xml:space="preserve">Observation 2: RF </w:t>
      </w:r>
      <w:r w:rsidRPr="00D0649A">
        <w:rPr>
          <w:b/>
        </w:rPr>
        <w:t>requirement</w:t>
      </w:r>
      <w:r w:rsidRPr="00D0649A">
        <w:rPr>
          <w:rFonts w:hint="eastAsia"/>
          <w:b/>
        </w:rPr>
        <w:t xml:space="preserve"> is not </w:t>
      </w:r>
      <w:r w:rsidRPr="00D0649A">
        <w:rPr>
          <w:b/>
        </w:rPr>
        <w:t>possible</w:t>
      </w:r>
      <w:r w:rsidRPr="00D0649A">
        <w:rPr>
          <w:rFonts w:hint="eastAsia"/>
          <w:b/>
        </w:rPr>
        <w:t xml:space="preserve"> to be specified between the </w:t>
      </w:r>
      <w:r w:rsidRPr="00D0649A">
        <w:rPr>
          <w:b/>
        </w:rPr>
        <w:t>components</w:t>
      </w:r>
      <w:r w:rsidRPr="00D0649A">
        <w:rPr>
          <w:rFonts w:hint="eastAsia"/>
          <w:b/>
        </w:rPr>
        <w:t xml:space="preserve"> within the black box</w:t>
      </w:r>
      <w:r>
        <w:rPr>
          <w:rFonts w:hint="eastAsia"/>
          <w:b/>
        </w:rPr>
        <w:t xml:space="preserve"> </w:t>
      </w:r>
      <w:r w:rsidRPr="00D0649A">
        <w:rPr>
          <w:rFonts w:hint="eastAsia"/>
          <w:b/>
        </w:rPr>
        <w:t>due to lack of standard interface.</w:t>
      </w:r>
    </w:p>
    <w:p w:rsidR="00E6014F" w:rsidRPr="00E6014F" w:rsidRDefault="00E6014F" w:rsidP="00E6014F">
      <w:pPr>
        <w:spacing w:before="0" w:after="120"/>
        <w:jc w:val="left"/>
        <w:rPr>
          <w:b/>
          <w:u w:val="single"/>
        </w:rPr>
      </w:pPr>
      <w:r w:rsidRPr="00E6014F">
        <w:rPr>
          <w:rFonts w:hint="eastAsia"/>
          <w:b/>
          <w:u w:val="single"/>
        </w:rPr>
        <w:t xml:space="preserve">Proposal 2: It is proposed that no RF requirement is defined </w:t>
      </w:r>
      <w:r w:rsidRPr="00E6014F">
        <w:rPr>
          <w:b/>
          <w:u w:val="single"/>
        </w:rPr>
        <w:t>for the linkage between NTN-Gateway and gNB</w:t>
      </w:r>
      <w:r w:rsidRPr="00E6014F">
        <w:rPr>
          <w:rFonts w:hint="eastAsia"/>
          <w:b/>
          <w:u w:val="single"/>
        </w:rPr>
        <w:t xml:space="preserve">. RAN4 should focus on defining RF requirement for service link only. </w:t>
      </w:r>
    </w:p>
    <w:p w:rsidR="00E6014F" w:rsidRPr="00E6014F" w:rsidRDefault="00E6014F" w:rsidP="00E6014F">
      <w:pPr>
        <w:spacing w:beforeLines="100" w:before="240" w:after="120"/>
        <w:jc w:val="left"/>
        <w:rPr>
          <w:b/>
          <w:u w:val="single"/>
        </w:rPr>
      </w:pPr>
      <w:r w:rsidRPr="00E6014F">
        <w:rPr>
          <w:rFonts w:hint="eastAsia"/>
          <w:b/>
          <w:u w:val="single"/>
        </w:rPr>
        <w:t>Proposal 3: It is proposed to only specify BS-alike requirements for NTN.</w:t>
      </w:r>
    </w:p>
    <w:p w:rsidR="009A65AB" w:rsidRPr="00E6014F" w:rsidRDefault="009A65AB"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7B631E" w:rsidRPr="007B631E" w:rsidRDefault="009973FC" w:rsidP="007B631E">
      <w:pPr>
        <w:pStyle w:val="ab"/>
        <w:ind w:left="540" w:hangingChars="270" w:hanging="540"/>
        <w:rPr>
          <w:sz w:val="20"/>
        </w:rPr>
      </w:pPr>
      <w:r>
        <w:rPr>
          <w:rFonts w:hint="eastAsia"/>
          <w:sz w:val="20"/>
        </w:rPr>
        <w:t>[1]</w:t>
      </w:r>
      <w:r w:rsidR="00C02493">
        <w:rPr>
          <w:rFonts w:hint="eastAsia"/>
          <w:sz w:val="20"/>
        </w:rPr>
        <w:tab/>
      </w:r>
      <w:r w:rsidR="007B631E" w:rsidRPr="007B631E">
        <w:rPr>
          <w:sz w:val="20"/>
        </w:rPr>
        <w:t>R4-2103877</w:t>
      </w:r>
      <w:r w:rsidR="007B631E">
        <w:rPr>
          <w:rFonts w:hint="eastAsia"/>
          <w:sz w:val="20"/>
        </w:rPr>
        <w:t xml:space="preserve">, </w:t>
      </w:r>
      <w:r w:rsidR="007B631E" w:rsidRPr="007B631E">
        <w:rPr>
          <w:sz w:val="20"/>
        </w:rPr>
        <w:t>WF for NTN general part</w:t>
      </w:r>
      <w:r w:rsidR="007B631E">
        <w:rPr>
          <w:rFonts w:hint="eastAsia"/>
          <w:sz w:val="20"/>
        </w:rPr>
        <w:t xml:space="preserve">, </w:t>
      </w:r>
      <w:r w:rsidR="007B631E" w:rsidRPr="007B631E">
        <w:rPr>
          <w:sz w:val="20"/>
        </w:rPr>
        <w:t>Thales</w:t>
      </w:r>
    </w:p>
    <w:p w:rsidR="00442503" w:rsidRPr="00F57C0A" w:rsidRDefault="00442503" w:rsidP="00442503">
      <w:pPr>
        <w:spacing w:before="0" w:after="120"/>
        <w:jc w:val="left"/>
        <w:rPr>
          <w:sz w:val="20"/>
        </w:rPr>
      </w:pPr>
    </w:p>
    <w:sectPr w:rsidR="00442503" w:rsidRPr="00F57C0A"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5F9" w:rsidRDefault="006575F9" w:rsidP="0095591C">
      <w:pPr>
        <w:spacing w:after="60"/>
        <w:ind w:left="210"/>
      </w:pPr>
      <w:r>
        <w:separator/>
      </w:r>
    </w:p>
    <w:p w:rsidR="006575F9" w:rsidRDefault="006575F9"/>
  </w:endnote>
  <w:endnote w:type="continuationSeparator" w:id="0">
    <w:p w:rsidR="006575F9" w:rsidRDefault="006575F9" w:rsidP="0095591C">
      <w:pPr>
        <w:spacing w:after="60"/>
        <w:ind w:left="210"/>
      </w:pPr>
      <w:r>
        <w:continuationSeparator/>
      </w:r>
    </w:p>
    <w:p w:rsidR="006575F9" w:rsidRDefault="00657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9A" w:rsidRDefault="00D0649A"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2129D">
      <w:t>1</w:t>
    </w:r>
    <w:r>
      <w:fldChar w:fldCharType="end"/>
    </w:r>
  </w:p>
  <w:p w:rsidR="00D0649A" w:rsidRDefault="00D06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5F9" w:rsidRDefault="006575F9" w:rsidP="0095591C">
      <w:pPr>
        <w:spacing w:after="60"/>
        <w:ind w:left="210"/>
      </w:pPr>
      <w:r>
        <w:separator/>
      </w:r>
    </w:p>
    <w:p w:rsidR="006575F9" w:rsidRDefault="006575F9"/>
  </w:footnote>
  <w:footnote w:type="continuationSeparator" w:id="0">
    <w:p w:rsidR="006575F9" w:rsidRDefault="006575F9" w:rsidP="0095591C">
      <w:pPr>
        <w:spacing w:after="60"/>
        <w:ind w:left="210"/>
      </w:pPr>
      <w:r>
        <w:continuationSeparator/>
      </w:r>
    </w:p>
    <w:p w:rsidR="006575F9" w:rsidRDefault="006575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49A" w:rsidRDefault="00D0649A"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0649A" w:rsidRDefault="00D064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8">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19">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0">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21">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22">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26">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7">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num w:numId="1">
    <w:abstractNumId w:val="17"/>
  </w:num>
  <w:num w:numId="2">
    <w:abstractNumId w:val="3"/>
  </w:num>
  <w:num w:numId="3">
    <w:abstractNumId w:val="1"/>
  </w:num>
  <w:num w:numId="4">
    <w:abstractNumId w:val="13"/>
  </w:num>
  <w:num w:numId="5">
    <w:abstractNumId w:val="6"/>
  </w:num>
  <w:num w:numId="6">
    <w:abstractNumId w:val="28"/>
  </w:num>
  <w:num w:numId="7">
    <w:abstractNumId w:val="2"/>
  </w:num>
  <w:num w:numId="8">
    <w:abstractNumId w:val="15"/>
  </w:num>
  <w:num w:numId="9">
    <w:abstractNumId w:val="10"/>
  </w:num>
  <w:num w:numId="10">
    <w:abstractNumId w:val="24"/>
  </w:num>
  <w:num w:numId="11">
    <w:abstractNumId w:val="29"/>
  </w:num>
  <w:num w:numId="12">
    <w:abstractNumId w:val="30"/>
  </w:num>
  <w:num w:numId="13">
    <w:abstractNumId w:val="11"/>
  </w:num>
  <w:num w:numId="14">
    <w:abstractNumId w:val="12"/>
  </w:num>
  <w:num w:numId="15">
    <w:abstractNumId w:val="9"/>
  </w:num>
  <w:num w:numId="16">
    <w:abstractNumId w:val="23"/>
  </w:num>
  <w:num w:numId="17">
    <w:abstractNumId w:val="0"/>
  </w:num>
  <w:num w:numId="18">
    <w:abstractNumId w:val="14"/>
  </w:num>
  <w:num w:numId="19">
    <w:abstractNumId w:val="16"/>
  </w:num>
  <w:num w:numId="20">
    <w:abstractNumId w:val="20"/>
  </w:num>
  <w:num w:numId="21">
    <w:abstractNumId w:val="27"/>
  </w:num>
  <w:num w:numId="22">
    <w:abstractNumId w:val="22"/>
  </w:num>
  <w:num w:numId="23">
    <w:abstractNumId w:val="8"/>
  </w:num>
  <w:num w:numId="24">
    <w:abstractNumId w:val="21"/>
  </w:num>
  <w:num w:numId="25">
    <w:abstractNumId w:val="18"/>
  </w:num>
  <w:num w:numId="26">
    <w:abstractNumId w:val="7"/>
  </w:num>
  <w:num w:numId="27">
    <w:abstractNumId w:val="25"/>
  </w:num>
  <w:num w:numId="28">
    <w:abstractNumId w:val="26"/>
  </w:num>
  <w:num w:numId="29">
    <w:abstractNumId w:val="19"/>
  </w:num>
  <w:num w:numId="30">
    <w:abstractNumId w:val="5"/>
  </w:num>
  <w:num w:numId="31">
    <w:abstractNumId w:val="4"/>
  </w:num>
  <w:num w:numId="32">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83"/>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C1D"/>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F5E97-769F-4202-B4AC-6501B3E91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2021-04-02T12:18:00Z</dcterms:created>
  <dcterms:modified xsi:type="dcterms:W3CDTF">2021-04-02T12:18:00Z</dcterms:modified>
</cp:coreProperties>
</file>