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79977676" w:rsidR="00803510" w:rsidRPr="00A412D5" w:rsidRDefault="00604DAE" w:rsidP="00803510">
      <w:pPr>
        <w:pStyle w:val="3GPPHeader"/>
        <w:spacing w:after="0"/>
        <w:rPr>
          <w:lang w:val="en-US"/>
        </w:rPr>
      </w:pPr>
      <w:r w:rsidRPr="00A412D5">
        <w:rPr>
          <w:lang w:val="en-US"/>
        </w:rPr>
        <w:t xml:space="preserve">3GPP TSG-RAN WG4 Meeting </w:t>
      </w:r>
      <w:r w:rsidR="00AD7B8E" w:rsidRPr="00A412D5">
        <w:rPr>
          <w:lang w:val="en-US"/>
        </w:rPr>
        <w:t># 98-bis-e</w:t>
      </w:r>
      <w:r w:rsidR="00803510" w:rsidRPr="00A412D5">
        <w:rPr>
          <w:lang w:val="en-US"/>
        </w:rPr>
        <w:tab/>
      </w:r>
      <w:r w:rsidR="001E6E65" w:rsidRPr="001E6E65">
        <w:rPr>
          <w:lang w:val="en-US"/>
        </w:rPr>
        <w:t>R4-2104572</w:t>
      </w:r>
    </w:p>
    <w:p w14:paraId="091FE811" w14:textId="6C1F43C9" w:rsidR="00803510" w:rsidRPr="00A412D5" w:rsidRDefault="00AD7B8E" w:rsidP="00803510">
      <w:pPr>
        <w:pStyle w:val="3GPPHeader"/>
        <w:spacing w:after="0"/>
        <w:rPr>
          <w:lang w:val="en-US"/>
        </w:rPr>
      </w:pPr>
      <w:r w:rsidRPr="00A412D5">
        <w:rPr>
          <w:lang w:val="en-US"/>
        </w:rPr>
        <w:t>Electronic Meeting, Apr. 12-20, 2021</w:t>
      </w:r>
    </w:p>
    <w:p w14:paraId="26F858F2" w14:textId="77777777" w:rsidR="0043450E" w:rsidRPr="00A412D5" w:rsidRDefault="0043450E" w:rsidP="0043450E">
      <w:pPr>
        <w:overflowPunct/>
        <w:autoSpaceDE/>
        <w:autoSpaceDN/>
        <w:adjustRightInd/>
        <w:textAlignment w:val="auto"/>
        <w:rPr>
          <w:rFonts w:ascii="Arial" w:hAnsi="Arial"/>
          <w:b/>
          <w:noProof/>
          <w:sz w:val="24"/>
          <w:lang w:val="en-US"/>
        </w:rPr>
      </w:pP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12331883"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r w:rsidR="00AD7B8E" w:rsidRPr="00A412D5">
        <w:rPr>
          <w:sz w:val="22"/>
        </w:rPr>
        <w:t>Exploiting full potential of UE Tx power</w:t>
      </w:r>
    </w:p>
    <w:p w14:paraId="23226DA5" w14:textId="71BE171E"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777A5C" w:rsidRPr="00A412D5">
        <w:rPr>
          <w:sz w:val="22"/>
        </w:rPr>
        <w:t>7</w:t>
      </w:r>
      <w:r w:rsidR="00562F8C" w:rsidRPr="00A412D5">
        <w:rPr>
          <w:sz w:val="22"/>
        </w:rPr>
        <w:t>.</w:t>
      </w:r>
      <w:r w:rsidR="001E6E65" w:rsidRPr="00A412D5">
        <w:rPr>
          <w:sz w:val="22"/>
        </w:rPr>
        <w:t>1</w:t>
      </w:r>
      <w:r w:rsidR="001E6E65">
        <w:rPr>
          <w:sz w:val="22"/>
        </w:rPr>
        <w:t>9</w:t>
      </w:r>
      <w:r w:rsidR="00562F8C" w:rsidRPr="00A412D5">
        <w:rPr>
          <w:sz w:val="22"/>
        </w:rPr>
        <w:t>.</w:t>
      </w:r>
      <w:r w:rsidR="00777A5C" w:rsidRPr="00A412D5">
        <w:rPr>
          <w:sz w:val="22"/>
        </w:rPr>
        <w:t>4</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148CA651" w14:textId="40765A34" w:rsidR="000A3CB6" w:rsidRPr="00A412D5" w:rsidRDefault="000A3CB6" w:rsidP="002D746B">
      <w:pPr>
        <w:rPr>
          <w:lang w:eastAsia="ko-KR"/>
        </w:rPr>
      </w:pPr>
      <w:r w:rsidRPr="00A412D5">
        <w:t>RAN</w:t>
      </w:r>
      <w:r w:rsidR="00F82F84" w:rsidRPr="00A412D5">
        <w:t>4</w:t>
      </w:r>
      <w:r w:rsidR="00126055" w:rsidRPr="00A412D5">
        <w:t>#9</w:t>
      </w:r>
      <w:r w:rsidR="00F82F84" w:rsidRPr="00A412D5">
        <w:t>8</w:t>
      </w:r>
      <w:r w:rsidR="008926AE" w:rsidRPr="00A412D5">
        <w:t>-</w:t>
      </w:r>
      <w:r w:rsidR="00F62561" w:rsidRPr="00A412D5">
        <w:t>e</w:t>
      </w:r>
      <w:r w:rsidR="005155DE" w:rsidRPr="00A412D5">
        <w:t xml:space="preserve"> </w:t>
      </w:r>
      <w:r w:rsidR="00F82F84" w:rsidRPr="00A412D5">
        <w:t xml:space="preserve">further discussed </w:t>
      </w:r>
      <w:r w:rsidR="00F82F84" w:rsidRPr="00A412D5">
        <w:rPr>
          <w:lang w:val="en-US"/>
        </w:rPr>
        <w:t xml:space="preserve">how to fully take advantage of the hardware capability already present in the UE and ways to lift the restriction on maximum output power imposed by the power class </w:t>
      </w:r>
      <w:r w:rsidR="00A412D5">
        <w:rPr>
          <w:lang w:val="en-US"/>
        </w:rPr>
        <w:t xml:space="preserve">for </w:t>
      </w:r>
      <w:r w:rsidR="00A412D5" w:rsidRPr="00A412D5">
        <w:rPr>
          <w:lang w:val="en-US"/>
        </w:rPr>
        <w:t>uplink inter-band CA</w:t>
      </w:r>
      <w:r w:rsidR="00F82F84" w:rsidRPr="00A412D5">
        <w:rPr>
          <w:lang w:val="en-US"/>
        </w:rPr>
        <w:t xml:space="preserve">. The idea was originally proposed in [1] in RAN4#97-e. </w:t>
      </w:r>
      <w:bookmarkStart w:id="0" w:name="_Hlk58440727"/>
      <w:r w:rsidR="00A412D5">
        <w:rPr>
          <w:lang w:val="en-US"/>
        </w:rPr>
        <w:t xml:space="preserve">We in principle support the idea to fully leverage UE’s hardware ability and </w:t>
      </w:r>
      <w:r w:rsidR="00A412D5">
        <w:rPr>
          <w:lang w:eastAsia="ko-KR"/>
        </w:rPr>
        <w:t>t</w:t>
      </w:r>
      <w:r w:rsidR="00F82F84" w:rsidRPr="00A412D5">
        <w:rPr>
          <w:lang w:eastAsia="ko-KR"/>
        </w:rPr>
        <w:t>his contribution addresses some concerns</w:t>
      </w:r>
      <w:r w:rsidR="00A412D5">
        <w:rPr>
          <w:lang w:eastAsia="ko-KR"/>
        </w:rPr>
        <w:t xml:space="preserve"> have been raised so far </w:t>
      </w:r>
      <w:r w:rsidR="0050020A" w:rsidRPr="00A412D5">
        <w:rPr>
          <w:lang w:eastAsia="ko-KR"/>
        </w:rPr>
        <w:t>on the solution proposed in [1]</w:t>
      </w:r>
      <w:r w:rsidR="00F82F84" w:rsidRPr="00A412D5">
        <w:rPr>
          <w:lang w:eastAsia="ko-KR"/>
        </w:rPr>
        <w:t>.</w:t>
      </w:r>
    </w:p>
    <w:bookmarkEnd w:id="0"/>
    <w:p w14:paraId="2DF59AA2" w14:textId="3FC866AD" w:rsidR="000D164D" w:rsidRPr="00A412D5" w:rsidRDefault="000D164D" w:rsidP="000D164D">
      <w:pPr>
        <w:pStyle w:val="Heading1"/>
        <w:ind w:left="709" w:hanging="709"/>
      </w:pPr>
      <w:r w:rsidRPr="00A412D5">
        <w:t>2</w:t>
      </w:r>
      <w:r w:rsidRPr="00A412D5">
        <w:tab/>
      </w:r>
      <w:r w:rsidR="0050020A" w:rsidRPr="00A412D5">
        <w:t>Identified issues for the solution in [1]</w:t>
      </w:r>
    </w:p>
    <w:p w14:paraId="03662557" w14:textId="5D2C2D38" w:rsidR="00000B77" w:rsidRPr="00A412D5" w:rsidRDefault="0050020A" w:rsidP="009157FA">
      <w:r w:rsidRPr="00A412D5">
        <w:t>In [1], in order to lift the restriction on maximum output power, removing the P</w:t>
      </w:r>
      <w:r w:rsidRPr="00A412D5">
        <w:rPr>
          <w:vertAlign w:val="subscript"/>
        </w:rPr>
        <w:t>PowerClass</w:t>
      </w:r>
      <w:r w:rsidRPr="00A412D5">
        <w:t xml:space="preserve"> term within the P</w:t>
      </w:r>
      <w:r w:rsidRPr="00A412D5">
        <w:rPr>
          <w:vertAlign w:val="subscript"/>
        </w:rPr>
        <w:t>CMAX_H</w:t>
      </w:r>
      <w:r w:rsidRPr="00A412D5">
        <w:t xml:space="preserve"> for </w:t>
      </w:r>
      <w:r w:rsidR="00A412D5" w:rsidRPr="00A412D5">
        <w:t xml:space="preserve">uplink inter-band CA </w:t>
      </w:r>
      <w:r w:rsidRPr="00A412D5">
        <w:t xml:space="preserve">was proposed. Now </w:t>
      </w:r>
      <w:r w:rsidR="004E1F7C" w:rsidRPr="00A412D5">
        <w:t xml:space="preserve">since the UEs with this feature does not need </w:t>
      </w:r>
      <w:r w:rsidR="00A412D5">
        <w:t xml:space="preserve">a </w:t>
      </w:r>
      <w:r w:rsidR="00A412D5" w:rsidRPr="00A412D5">
        <w:t>P</w:t>
      </w:r>
      <w:r w:rsidR="00A412D5" w:rsidRPr="00A412D5">
        <w:rPr>
          <w:vertAlign w:val="subscript"/>
        </w:rPr>
        <w:t>PowerClass</w:t>
      </w:r>
      <w:r w:rsidR="00A412D5" w:rsidRPr="00A412D5">
        <w:t xml:space="preserve"> term</w:t>
      </w:r>
      <w:r w:rsidR="004E1F7C" w:rsidRPr="00A412D5">
        <w:t xml:space="preserve"> </w:t>
      </w:r>
      <w:r w:rsidR="00A412D5">
        <w:t>in</w:t>
      </w:r>
      <w:r w:rsidR="004E1F7C" w:rsidRPr="00A412D5">
        <w:t xml:space="preserve"> P</w:t>
      </w:r>
      <w:r w:rsidR="004E1F7C" w:rsidRPr="00A412D5">
        <w:rPr>
          <w:vertAlign w:val="subscript"/>
        </w:rPr>
        <w:t>CMAX_H</w:t>
      </w:r>
      <w:r w:rsidR="004E1F7C" w:rsidRPr="00A412D5">
        <w:t xml:space="preserve">, </w:t>
      </w:r>
      <w:r w:rsidR="00914AA9" w:rsidRPr="00A412D5">
        <w:t xml:space="preserve">it seems that </w:t>
      </w:r>
      <w:r w:rsidR="004E1F7C" w:rsidRPr="00A412D5">
        <w:t>people thought that the UE</w:t>
      </w:r>
      <w:r w:rsidR="00A412D5">
        <w:t>s</w:t>
      </w:r>
      <w:r w:rsidR="004E1F7C" w:rsidRPr="00A412D5">
        <w:t xml:space="preserve"> would not report </w:t>
      </w:r>
      <w:r w:rsidR="00914AA9" w:rsidRPr="00A412D5">
        <w:t xml:space="preserve">the </w:t>
      </w:r>
      <w:r w:rsidR="004E1F7C" w:rsidRPr="00A412D5">
        <w:t xml:space="preserve">PC for </w:t>
      </w:r>
      <w:r w:rsidR="00A412D5" w:rsidRPr="00A412D5">
        <w:t>uplink inter-band CA</w:t>
      </w:r>
      <w:r w:rsidR="004E1F7C" w:rsidRPr="00A412D5">
        <w:t xml:space="preserve">. Hence, gNBs would consider that </w:t>
      </w:r>
      <w:r w:rsidR="00A412D5">
        <w:t xml:space="preserve">the </w:t>
      </w:r>
      <w:r w:rsidR="004E1F7C" w:rsidRPr="00A412D5">
        <w:t>UE</w:t>
      </w:r>
      <w:r w:rsidR="00A412D5">
        <w:t>s</w:t>
      </w:r>
      <w:r w:rsidR="004E1F7C" w:rsidRPr="00A412D5">
        <w:t xml:space="preserve">’ power class for </w:t>
      </w:r>
      <w:r w:rsidR="00A412D5">
        <w:t xml:space="preserve">the </w:t>
      </w:r>
      <w:r w:rsidR="00A412D5" w:rsidRPr="00A412D5">
        <w:t xml:space="preserve">uplink inter-band CA </w:t>
      </w:r>
      <w:r w:rsidR="004E1F7C" w:rsidRPr="00A412D5">
        <w:t xml:space="preserve">is the default PC, i.e., PC3. That means the gNBs cannot distinguish the existing </w:t>
      </w:r>
      <w:r w:rsidR="00914AA9" w:rsidRPr="00A412D5">
        <w:t xml:space="preserve">PC3 </w:t>
      </w:r>
      <w:r w:rsidR="004E1F7C" w:rsidRPr="00A412D5">
        <w:t xml:space="preserve">UEs </w:t>
      </w:r>
      <w:r w:rsidR="00A412D5" w:rsidRPr="00A412D5">
        <w:t xml:space="preserve">for uplink inter-band CA </w:t>
      </w:r>
      <w:r w:rsidR="004E1F7C" w:rsidRPr="00A412D5">
        <w:t xml:space="preserve">and </w:t>
      </w:r>
      <w:r w:rsidR="00A412D5">
        <w:t xml:space="preserve">the </w:t>
      </w:r>
      <w:r w:rsidR="004E1F7C" w:rsidRPr="00A412D5">
        <w:t xml:space="preserve">new UEs so that </w:t>
      </w:r>
      <w:r w:rsidR="00914AA9" w:rsidRPr="00A412D5">
        <w:t xml:space="preserve">it was pointed out that </w:t>
      </w:r>
      <w:r w:rsidR="004E1F7C" w:rsidRPr="00A412D5">
        <w:t xml:space="preserve">there is a backward compatible issue. </w:t>
      </w:r>
    </w:p>
    <w:p w14:paraId="299937BC" w14:textId="7DF212CF" w:rsidR="00000B77" w:rsidRPr="00A412D5" w:rsidRDefault="004664C9" w:rsidP="004664C9">
      <w:pPr>
        <w:rPr>
          <w:b/>
          <w:bCs/>
        </w:rPr>
      </w:pPr>
      <w:r w:rsidRPr="00A412D5">
        <w:rPr>
          <w:b/>
          <w:bCs/>
        </w:rPr>
        <w:t>Observation 1: There is a b</w:t>
      </w:r>
      <w:r w:rsidR="00000B77" w:rsidRPr="00A412D5">
        <w:rPr>
          <w:b/>
          <w:bCs/>
        </w:rPr>
        <w:t>ackward compatibility</w:t>
      </w:r>
      <w:r w:rsidRPr="00A412D5">
        <w:rPr>
          <w:b/>
          <w:bCs/>
        </w:rPr>
        <w:t xml:space="preserve"> issue i</w:t>
      </w:r>
      <w:r w:rsidR="00000B77" w:rsidRPr="00A412D5">
        <w:rPr>
          <w:b/>
          <w:bCs/>
        </w:rPr>
        <w:t xml:space="preserve">f a PC for </w:t>
      </w:r>
      <w:r w:rsidR="00A412D5" w:rsidRPr="00A412D5">
        <w:rPr>
          <w:b/>
          <w:bCs/>
        </w:rPr>
        <w:t xml:space="preserve">uplink inter-band CA </w:t>
      </w:r>
      <w:r w:rsidR="00000B77" w:rsidRPr="00A412D5">
        <w:rPr>
          <w:b/>
          <w:bCs/>
        </w:rPr>
        <w:t>is not reported by UEs</w:t>
      </w:r>
      <w:r w:rsidRPr="00A412D5">
        <w:rPr>
          <w:b/>
          <w:bCs/>
        </w:rPr>
        <w:t xml:space="preserve">. </w:t>
      </w:r>
      <w:r w:rsidRPr="00A412D5">
        <w:rPr>
          <w:b/>
          <w:bCs/>
        </w:rPr>
        <w:br/>
        <w:t xml:space="preserve">Because </w:t>
      </w:r>
      <w:r w:rsidR="00000B77" w:rsidRPr="00A412D5">
        <w:rPr>
          <w:b/>
          <w:bCs/>
        </w:rPr>
        <w:t xml:space="preserve">gNBs would consider the UEs supporting the default PC for </w:t>
      </w:r>
      <w:r w:rsidR="00A412D5">
        <w:rPr>
          <w:b/>
          <w:bCs/>
        </w:rPr>
        <w:t xml:space="preserve">the </w:t>
      </w:r>
      <w:r w:rsidR="00A412D5" w:rsidRPr="00A412D5">
        <w:rPr>
          <w:b/>
          <w:bCs/>
        </w:rPr>
        <w:t>uplink inter-band CA</w:t>
      </w:r>
      <w:r w:rsidR="00000B77" w:rsidRPr="00A412D5">
        <w:rPr>
          <w:b/>
          <w:bCs/>
        </w:rPr>
        <w:t>. Hence, the gNBs cannot</w:t>
      </w:r>
      <w:r w:rsidRPr="00A412D5">
        <w:rPr>
          <w:b/>
          <w:bCs/>
        </w:rPr>
        <w:t xml:space="preserve"> </w:t>
      </w:r>
      <w:r w:rsidR="00000B77" w:rsidRPr="00A412D5">
        <w:rPr>
          <w:b/>
          <w:bCs/>
        </w:rPr>
        <w:t>distinguish legacy UEs without this feature and new UEs with it.</w:t>
      </w:r>
    </w:p>
    <w:p w14:paraId="655B89FD" w14:textId="5DED95D1" w:rsidR="0050020A" w:rsidRPr="00A412D5" w:rsidRDefault="00000B77" w:rsidP="009157FA">
      <w:r w:rsidRPr="00A412D5">
        <w:t xml:space="preserve">Or, perhaps, we may be able to interpret the proposal in a different way. </w:t>
      </w:r>
      <w:r w:rsidR="004E1F7C" w:rsidRPr="00A412D5">
        <w:t>The proposal in [1] does not say that P</w:t>
      </w:r>
      <w:r w:rsidR="004E1F7C" w:rsidRPr="00A412D5">
        <w:rPr>
          <w:vertAlign w:val="subscript"/>
        </w:rPr>
        <w:t>PowerClass</w:t>
      </w:r>
      <w:r w:rsidR="004E1F7C" w:rsidRPr="00A412D5">
        <w:t xml:space="preserve"> term </w:t>
      </w:r>
      <w:r w:rsidR="00A412D5">
        <w:t xml:space="preserve">in </w:t>
      </w:r>
      <w:r w:rsidR="004E1F7C" w:rsidRPr="00A412D5">
        <w:t>P</w:t>
      </w:r>
      <w:r w:rsidR="004E1F7C" w:rsidRPr="00A412D5">
        <w:rPr>
          <w:vertAlign w:val="subscript"/>
        </w:rPr>
        <w:t>CMAX_L</w:t>
      </w:r>
      <w:r w:rsidR="004E1F7C" w:rsidRPr="00A412D5">
        <w:t xml:space="preserve"> </w:t>
      </w:r>
      <w:r w:rsidR="00A412D5" w:rsidRPr="00A412D5">
        <w:t xml:space="preserve">for uplink inter-band CA </w:t>
      </w:r>
      <w:r w:rsidR="004E1F7C" w:rsidRPr="00A412D5">
        <w:t>is removed</w:t>
      </w:r>
      <w:r w:rsidR="00914AA9" w:rsidRPr="00A412D5">
        <w:t xml:space="preserve"> as well</w:t>
      </w:r>
      <w:r w:rsidR="004E1F7C" w:rsidRPr="00A412D5">
        <w:t xml:space="preserve">. </w:t>
      </w:r>
      <w:r w:rsidRPr="00A412D5">
        <w:t xml:space="preserve">In this case, </w:t>
      </w:r>
      <w:r w:rsidR="004E1F7C" w:rsidRPr="00A412D5">
        <w:t xml:space="preserve">it seems that the UEs with the new feature still report </w:t>
      </w:r>
      <w:r w:rsidR="00914AA9" w:rsidRPr="00A412D5">
        <w:t xml:space="preserve">the </w:t>
      </w:r>
      <w:r w:rsidR="004E1F7C" w:rsidRPr="00A412D5">
        <w:t xml:space="preserve">PC for </w:t>
      </w:r>
      <w:r w:rsidR="00A412D5" w:rsidRPr="00A412D5">
        <w:t>uplink inter-band CA</w:t>
      </w:r>
      <w:r w:rsidR="004E1F7C" w:rsidRPr="00A412D5">
        <w:t xml:space="preserve">. </w:t>
      </w:r>
      <w:r w:rsidR="00141324" w:rsidRPr="00A412D5">
        <w:t xml:space="preserve">Though </w:t>
      </w:r>
      <w:r w:rsidR="00914AA9" w:rsidRPr="00A412D5">
        <w:t xml:space="preserve">now </w:t>
      </w:r>
      <w:r w:rsidR="004E1F7C" w:rsidRPr="00A412D5">
        <w:t xml:space="preserve">the aforementioned backward compatible issue </w:t>
      </w:r>
      <w:r w:rsidRPr="00A412D5">
        <w:t xml:space="preserve">is resolved, this would raise </w:t>
      </w:r>
      <w:r w:rsidR="00141324" w:rsidRPr="00A412D5">
        <w:t xml:space="preserve">a new issue </w:t>
      </w:r>
      <w:r w:rsidRPr="00A412D5">
        <w:t xml:space="preserve">that </w:t>
      </w:r>
      <w:r w:rsidR="00141324" w:rsidRPr="00A412D5">
        <w:t xml:space="preserve">the </w:t>
      </w:r>
      <w:r w:rsidR="00914AA9" w:rsidRPr="00A412D5">
        <w:t xml:space="preserve">meaning of the </w:t>
      </w:r>
      <w:r w:rsidR="00141324" w:rsidRPr="00A412D5">
        <w:t>reported PC</w:t>
      </w:r>
      <w:r w:rsidR="00914AA9" w:rsidRPr="00A412D5">
        <w:t xml:space="preserve"> </w:t>
      </w:r>
      <w:r w:rsidRPr="00A412D5">
        <w:t>becomes</w:t>
      </w:r>
      <w:r w:rsidR="00914AA9" w:rsidRPr="00A412D5">
        <w:t xml:space="preserve"> unclear</w:t>
      </w:r>
      <w:r w:rsidR="00141324" w:rsidRPr="00A412D5">
        <w:t xml:space="preserve">, since PC means the maximum output power for any transmission bandwidth within the channel bandwidth of NR carrier unless otherwise stated while even higher power is transmitted </w:t>
      </w:r>
      <w:r w:rsidR="00914AA9" w:rsidRPr="00A412D5">
        <w:t xml:space="preserve">than the reported PC </w:t>
      </w:r>
      <w:r w:rsidR="00141324" w:rsidRPr="00A412D5">
        <w:t>by the UE.</w:t>
      </w:r>
      <w:r w:rsidR="00E2059F" w:rsidRPr="00A412D5">
        <w:t xml:space="preserve"> </w:t>
      </w:r>
      <w:r w:rsidR="00A412D5">
        <w:t>In addition, t</w:t>
      </w:r>
      <w:r w:rsidR="00E2059F" w:rsidRPr="00A412D5">
        <w:t xml:space="preserve">hough the solution in [1] lifts the upper limitation of the UE power by removing the PC </w:t>
      </w:r>
      <w:r w:rsidR="00A412D5">
        <w:t xml:space="preserve">for </w:t>
      </w:r>
      <w:r w:rsidR="00A412D5" w:rsidRPr="00A412D5">
        <w:t>uplink inter-band CA</w:t>
      </w:r>
      <w:r w:rsidR="00E2059F" w:rsidRPr="00A412D5">
        <w:t>, still P</w:t>
      </w:r>
      <w:r w:rsidR="00E2059F" w:rsidRPr="00A412D5">
        <w:rPr>
          <w:vertAlign w:val="subscript"/>
        </w:rPr>
        <w:t>CMAX_H</w:t>
      </w:r>
      <w:r w:rsidR="00E2059F" w:rsidRPr="00A412D5">
        <w:t xml:space="preserve"> shall take MIN{</w:t>
      </w:r>
      <w:r w:rsidR="00E2059F" w:rsidRPr="00A412D5">
        <w:rPr>
          <w:rFonts w:cs="Vrinda"/>
          <w:lang w:bidi="bn-IN"/>
        </w:rPr>
        <w:t>10 log</w:t>
      </w:r>
      <w:r w:rsidR="00E2059F" w:rsidRPr="00A412D5">
        <w:rPr>
          <w:rFonts w:cs="Vrinda"/>
          <w:vertAlign w:val="subscript"/>
          <w:lang w:bidi="bn-IN"/>
        </w:rPr>
        <w:t>10</w:t>
      </w:r>
      <w:r w:rsidR="00E2059F" w:rsidRPr="00A412D5">
        <w:rPr>
          <w:rFonts w:cs="Vrinda"/>
          <w:lang w:bidi="bn-IN"/>
        </w:rPr>
        <w:t xml:space="preserve"> </w:t>
      </w:r>
      <w:r w:rsidR="00E2059F" w:rsidRPr="00A412D5">
        <w:t xml:space="preserve">∑ </w:t>
      </w:r>
      <w:r w:rsidR="00E2059F" w:rsidRPr="00A412D5">
        <w:rPr>
          <w:rFonts w:cs="Vrinda"/>
          <w:lang w:bidi="bn-IN"/>
        </w:rPr>
        <w:t>p</w:t>
      </w:r>
      <w:r w:rsidR="00E2059F" w:rsidRPr="00A412D5">
        <w:rPr>
          <w:rFonts w:cs="Vrinda"/>
          <w:vertAlign w:val="subscript"/>
          <w:lang w:bidi="bn-IN"/>
        </w:rPr>
        <w:t xml:space="preserve">EMAX,c </w:t>
      </w:r>
      <w:r w:rsidR="00E2059F" w:rsidRPr="00A412D5">
        <w:rPr>
          <w:rFonts w:cs="Vrinda"/>
          <w:lang w:bidi="bn-IN"/>
        </w:rPr>
        <w:t xml:space="preserve">, </w:t>
      </w:r>
      <w:r w:rsidR="00E2059F" w:rsidRPr="00A412D5">
        <w:rPr>
          <w:lang w:bidi="bn-IN"/>
        </w:rPr>
        <w:t>P</w:t>
      </w:r>
      <w:r w:rsidR="00E2059F" w:rsidRPr="00A412D5">
        <w:rPr>
          <w:vertAlign w:val="subscript"/>
          <w:lang w:bidi="bn-IN"/>
        </w:rPr>
        <w:t>EMAX,CA</w:t>
      </w:r>
      <w:r w:rsidR="00E2059F" w:rsidRPr="00A412D5">
        <w:rPr>
          <w:rFonts w:cs="Vrinda"/>
          <w:lang w:bidi="bn-IN"/>
        </w:rPr>
        <w:t xml:space="preserve">}, each of the terms of the MIN formula is determined by cell specific values. P-max for </w:t>
      </w:r>
      <w:r w:rsidR="007F6E08" w:rsidRPr="00A412D5">
        <w:rPr>
          <w:rFonts w:cs="Vrinda"/>
          <w:lang w:bidi="bn-IN"/>
        </w:rPr>
        <w:t xml:space="preserve">each band and P-max for </w:t>
      </w:r>
      <w:r w:rsidR="00A412D5" w:rsidRPr="00A412D5">
        <w:t>uplink inter-band CA</w:t>
      </w:r>
      <w:r w:rsidR="00A412D5" w:rsidRPr="00A412D5">
        <w:rPr>
          <w:rFonts w:cs="Vrinda"/>
          <w:lang w:bidi="bn-IN"/>
        </w:rPr>
        <w:t xml:space="preserve"> </w:t>
      </w:r>
      <w:r w:rsidR="00A412D5">
        <w:rPr>
          <w:rFonts w:cs="Vrinda"/>
          <w:lang w:bidi="bn-IN"/>
        </w:rPr>
        <w:t xml:space="preserve">may </w:t>
      </w:r>
      <w:r w:rsidR="007F6E08" w:rsidRPr="00A412D5">
        <w:rPr>
          <w:rFonts w:cs="Vrinda"/>
          <w:lang w:bidi="bn-IN"/>
        </w:rPr>
        <w:t xml:space="preserve">be 29dBm if PC1.5 is </w:t>
      </w:r>
      <w:r w:rsidR="00A412D5">
        <w:rPr>
          <w:rFonts w:cs="Vrinda"/>
          <w:lang w:bidi="bn-IN"/>
        </w:rPr>
        <w:t>allowed in the network</w:t>
      </w:r>
      <w:r w:rsidR="007F6E08" w:rsidRPr="00A412D5">
        <w:rPr>
          <w:rFonts w:cs="Vrinda"/>
          <w:lang w:bidi="bn-IN"/>
        </w:rPr>
        <w:t>. In this case, the UEs with this feature supports 23dBm+26dBm PA configuration, the</w:t>
      </w:r>
      <w:r w:rsidR="00A412D5">
        <w:rPr>
          <w:rFonts w:cs="Vrinda"/>
          <w:lang w:bidi="bn-IN"/>
        </w:rPr>
        <w:t xml:space="preserve"> achievable </w:t>
      </w:r>
      <w:r w:rsidR="007F6E08" w:rsidRPr="00A412D5">
        <w:rPr>
          <w:rFonts w:cs="Vrinda"/>
          <w:lang w:bidi="bn-IN"/>
        </w:rPr>
        <w:t xml:space="preserve">output power is 27.8dBm, but </w:t>
      </w:r>
      <w:r w:rsidR="00A412D5" w:rsidRPr="00A412D5">
        <w:t>P</w:t>
      </w:r>
      <w:r w:rsidR="00A412D5" w:rsidRPr="00A412D5">
        <w:rPr>
          <w:vertAlign w:val="subscript"/>
        </w:rPr>
        <w:t>CMAX_H</w:t>
      </w:r>
      <w:r w:rsidR="00A412D5" w:rsidRPr="00A412D5">
        <w:t xml:space="preserve"> </w:t>
      </w:r>
      <w:r w:rsidR="007F6E08" w:rsidRPr="00A412D5">
        <w:rPr>
          <w:rFonts w:cs="Vrinda"/>
          <w:lang w:bidi="bn-IN"/>
        </w:rPr>
        <w:t xml:space="preserve">becomes 29dBm. Hence the solution in [1] will generate an inconsistency between UEs’ real ability and </w:t>
      </w:r>
      <w:r w:rsidR="007F6E08" w:rsidRPr="00A412D5">
        <w:t>P</w:t>
      </w:r>
      <w:r w:rsidR="007F6E08" w:rsidRPr="00A412D5">
        <w:rPr>
          <w:vertAlign w:val="subscript"/>
        </w:rPr>
        <w:t>CMAX_H</w:t>
      </w:r>
      <w:r w:rsidR="007F6E08" w:rsidRPr="00A412D5">
        <w:rPr>
          <w:rFonts w:cs="Vrinda"/>
          <w:lang w:bidi="bn-IN"/>
        </w:rPr>
        <w:t>.</w:t>
      </w:r>
    </w:p>
    <w:p w14:paraId="39161F27" w14:textId="10107116" w:rsidR="00000B77" w:rsidRPr="00A412D5" w:rsidRDefault="004664C9" w:rsidP="00A412D5">
      <w:pPr>
        <w:rPr>
          <w:b/>
          <w:bCs/>
        </w:rPr>
      </w:pPr>
      <w:r w:rsidRPr="00A412D5">
        <w:rPr>
          <w:b/>
          <w:bCs/>
        </w:rPr>
        <w:t>Observation 2: There is a s</w:t>
      </w:r>
      <w:r w:rsidR="00000B77" w:rsidRPr="00A412D5">
        <w:rPr>
          <w:b/>
          <w:bCs/>
        </w:rPr>
        <w:t xml:space="preserve">pecification </w:t>
      </w:r>
      <w:r w:rsidR="007F6E08" w:rsidRPr="00A412D5">
        <w:rPr>
          <w:b/>
          <w:bCs/>
        </w:rPr>
        <w:t>inconsistency</w:t>
      </w:r>
      <w:r w:rsidRPr="00A412D5">
        <w:rPr>
          <w:b/>
          <w:bCs/>
        </w:rPr>
        <w:t xml:space="preserve"> if </w:t>
      </w:r>
      <w:r w:rsidR="00000B77" w:rsidRPr="00A412D5">
        <w:rPr>
          <w:b/>
          <w:bCs/>
        </w:rPr>
        <w:t xml:space="preserve">a PC for </w:t>
      </w:r>
      <w:r w:rsidR="00A412D5" w:rsidRPr="00A412D5">
        <w:rPr>
          <w:b/>
          <w:bCs/>
        </w:rPr>
        <w:t xml:space="preserve">uplink inter-band CA </w:t>
      </w:r>
      <w:r w:rsidR="00000B77" w:rsidRPr="00A412D5">
        <w:rPr>
          <w:b/>
          <w:bCs/>
        </w:rPr>
        <w:t>is reported by UEs</w:t>
      </w:r>
      <w:r w:rsidRPr="00A412D5">
        <w:rPr>
          <w:b/>
          <w:bCs/>
        </w:rPr>
        <w:t xml:space="preserve">. Because </w:t>
      </w:r>
      <w:r w:rsidR="007F6E08" w:rsidRPr="00A412D5">
        <w:rPr>
          <w:b/>
          <w:bCs/>
        </w:rPr>
        <w:t>P</w:t>
      </w:r>
      <w:r w:rsidR="007F6E08" w:rsidRPr="00A412D5">
        <w:rPr>
          <w:rFonts w:ascii="Times New Roman Bold" w:hAnsi="Times New Roman Bold"/>
          <w:b/>
          <w:bCs/>
          <w:vertAlign w:val="subscript"/>
        </w:rPr>
        <w:t>CMAX_H</w:t>
      </w:r>
      <w:r w:rsidR="007F6E08" w:rsidRPr="00A412D5">
        <w:rPr>
          <w:b/>
          <w:bCs/>
        </w:rPr>
        <w:t xml:space="preserve"> cannot reflect UE’s real ability and/or the meaning of PC may be ambiguous.</w:t>
      </w:r>
    </w:p>
    <w:p w14:paraId="44C22B26" w14:textId="1CF177E2" w:rsidR="00236D19" w:rsidRPr="00A412D5" w:rsidRDefault="00236D19" w:rsidP="009157FA">
      <w:r w:rsidRPr="00A412D5">
        <w:t xml:space="preserve">Another raised issue was </w:t>
      </w:r>
      <w:r w:rsidR="00A412D5">
        <w:t xml:space="preserve">that </w:t>
      </w:r>
      <w:r w:rsidRPr="00A412D5">
        <w:t>MPR, A-MPR and MSD requirements needs to be revisited.</w:t>
      </w:r>
    </w:p>
    <w:p w14:paraId="2B83481A" w14:textId="19FF4B89" w:rsidR="00ED5B5A" w:rsidRPr="00A412D5" w:rsidRDefault="00236D19" w:rsidP="009157FA">
      <w:r w:rsidRPr="00A412D5">
        <w:t xml:space="preserve">MPR is in principle band agnostic but Power class dependent. </w:t>
      </w:r>
      <w:r w:rsidR="004664C9" w:rsidRPr="00A412D5">
        <w:t xml:space="preserve">Regarding A-MPR, A-MPR itself is band and PC specific. </w:t>
      </w:r>
      <w:r w:rsidRPr="00A412D5">
        <w:t xml:space="preserve">Now what we are discussing is </w:t>
      </w:r>
      <w:r w:rsidR="00A412D5" w:rsidRPr="00A412D5">
        <w:t xml:space="preserve">uplink inter-band CA </w:t>
      </w:r>
      <w:r w:rsidRPr="00A412D5">
        <w:t xml:space="preserve">where </w:t>
      </w:r>
      <w:r w:rsidR="00A412D5">
        <w:t xml:space="preserve">band and PC specific </w:t>
      </w:r>
      <w:r w:rsidRPr="00A412D5">
        <w:t>MPR</w:t>
      </w:r>
      <w:r w:rsidR="004664C9" w:rsidRPr="00A412D5">
        <w:t xml:space="preserve"> and A-MPR</w:t>
      </w:r>
      <w:r w:rsidRPr="00A412D5">
        <w:t xml:space="preserve"> </w:t>
      </w:r>
      <w:r w:rsidR="004664C9" w:rsidRPr="00A412D5">
        <w:t>apply to each band</w:t>
      </w:r>
      <w:r w:rsidR="00A412D5" w:rsidRPr="00A412D5">
        <w:t xml:space="preserve"> within the uplink inter-band CA</w:t>
      </w:r>
      <w:r w:rsidR="004664C9" w:rsidRPr="00A412D5">
        <w:t xml:space="preserve"> regardless of the PC for </w:t>
      </w:r>
      <w:r w:rsidR="00A412D5" w:rsidRPr="00A412D5">
        <w:t>uplink inter-band CA</w:t>
      </w:r>
      <w:r w:rsidR="004664C9" w:rsidRPr="00A412D5">
        <w:t>.</w:t>
      </w:r>
      <w:r w:rsidRPr="00A412D5">
        <w:t xml:space="preserve"> This principle does not change even if we remove the PC for </w:t>
      </w:r>
      <w:r w:rsidR="00A412D5" w:rsidRPr="00A412D5">
        <w:t xml:space="preserve">uplink inter-band CA </w:t>
      </w:r>
      <w:r w:rsidRPr="00A412D5">
        <w:t>from P</w:t>
      </w:r>
      <w:r w:rsidRPr="00A412D5">
        <w:rPr>
          <w:vertAlign w:val="subscript"/>
        </w:rPr>
        <w:t>CMAX_H</w:t>
      </w:r>
      <w:r w:rsidRPr="00A412D5">
        <w:t>.</w:t>
      </w:r>
      <w:r w:rsidR="004664C9" w:rsidRPr="00A412D5">
        <w:t xml:space="preserve"> With respect to MSD, when we evaluate MSD for PC2 </w:t>
      </w:r>
      <w:r w:rsidR="00A412D5" w:rsidRPr="00A412D5">
        <w:t xml:space="preserve">uplink inter-band CA </w:t>
      </w:r>
      <w:r w:rsidR="004664C9" w:rsidRPr="00A412D5">
        <w:t>whose per band PC is 23dBm and 26dBm, respectively, we assume MSD</w:t>
      </w:r>
      <w:r w:rsidR="00ED5B5A" w:rsidRPr="00A412D5">
        <w:t xml:space="preserve"> due to IMD</w:t>
      </w:r>
      <w:r w:rsidR="004664C9" w:rsidRPr="00A412D5">
        <w:t xml:space="preserve"> </w:t>
      </w:r>
      <w:r w:rsidR="00EC6665" w:rsidRPr="00A412D5">
        <w:t xml:space="preserve">under </w:t>
      </w:r>
      <w:r w:rsidR="004664C9" w:rsidRPr="00A412D5">
        <w:t xml:space="preserve">the power allotment of 23dBm+23dBm </w:t>
      </w:r>
      <w:r w:rsidR="00ED5B5A" w:rsidRPr="00A412D5">
        <w:t xml:space="preserve">or MSD due to harmonic </w:t>
      </w:r>
      <w:r w:rsidR="00EC6665" w:rsidRPr="00A412D5">
        <w:t xml:space="preserve">under </w:t>
      </w:r>
      <w:r w:rsidR="00ED5B5A" w:rsidRPr="00A412D5">
        <w:t>the UL power of 23dBm or 26dBm. Hence</w:t>
      </w:r>
      <w:r w:rsidR="00EC6665" w:rsidRPr="00A412D5">
        <w:t>,</w:t>
      </w:r>
      <w:r w:rsidR="00ED5B5A" w:rsidRPr="00A412D5">
        <w:t xml:space="preserve"> we would not need to re-evaluate MSD again</w:t>
      </w:r>
      <w:r w:rsidR="00A412D5">
        <w:t xml:space="preserve"> due to introduction of this even higher power feature.</w:t>
      </w:r>
    </w:p>
    <w:p w14:paraId="126CE83B" w14:textId="2581580F" w:rsidR="00236D19" w:rsidRPr="00A412D5" w:rsidRDefault="00ED5B5A" w:rsidP="009157FA">
      <w:pPr>
        <w:rPr>
          <w:b/>
          <w:bCs/>
        </w:rPr>
      </w:pPr>
      <w:r w:rsidRPr="00A412D5">
        <w:rPr>
          <w:b/>
          <w:bCs/>
        </w:rPr>
        <w:t xml:space="preserve">Observation 3: </w:t>
      </w:r>
      <w:r w:rsidR="00A412D5" w:rsidRPr="00A412D5">
        <w:rPr>
          <w:b/>
          <w:bCs/>
        </w:rPr>
        <w:t>The introduction of a new concept to l</w:t>
      </w:r>
      <w:r w:rsidR="00A412D5" w:rsidRPr="00A412D5">
        <w:rPr>
          <w:b/>
          <w:bCs/>
          <w:lang w:val="en-US"/>
        </w:rPr>
        <w:t>ift the restriction on maximum output power imposed by the power class definition</w:t>
      </w:r>
      <w:r w:rsidR="00A412D5" w:rsidRPr="00A412D5">
        <w:rPr>
          <w:b/>
          <w:bCs/>
        </w:rPr>
        <w:t xml:space="preserve"> </w:t>
      </w:r>
      <w:r w:rsidR="00A412D5">
        <w:rPr>
          <w:b/>
          <w:bCs/>
        </w:rPr>
        <w:t xml:space="preserve">in principle </w:t>
      </w:r>
      <w:r w:rsidRPr="00A412D5">
        <w:rPr>
          <w:b/>
          <w:bCs/>
        </w:rPr>
        <w:t>does not require re-evaluation of MPR, A-MPR and MSD.</w:t>
      </w:r>
    </w:p>
    <w:p w14:paraId="630894C6" w14:textId="639590F6" w:rsidR="009157FA" w:rsidRPr="00A412D5" w:rsidRDefault="00EC6665" w:rsidP="009157FA">
      <w:r w:rsidRPr="00A412D5">
        <w:t xml:space="preserve">Another raised issue was how the UEs with the feature addresses SAR issue since the value contained in maxUplinkDutyCycle capability </w:t>
      </w:r>
      <w:r w:rsidR="00A412D5">
        <w:t xml:space="preserve">is </w:t>
      </w:r>
      <w:r w:rsidRPr="00A412D5">
        <w:t xml:space="preserve">intended to address the reported PC for </w:t>
      </w:r>
      <w:r w:rsidR="00A412D5" w:rsidRPr="00A412D5">
        <w:t>uplink inter-band CA</w:t>
      </w:r>
      <w:r w:rsidRPr="00A412D5">
        <w:t xml:space="preserve">. Hence, gNBs have no idea on an appropriate maxUplinkDutyCycle for UEs with </w:t>
      </w:r>
      <w:r w:rsidR="00A412D5">
        <w:t>this</w:t>
      </w:r>
      <w:r w:rsidRPr="00A412D5">
        <w:t xml:space="preserve"> new feature</w:t>
      </w:r>
      <w:r w:rsidR="00A412D5">
        <w:t xml:space="preserve"> unless redefine relation between </w:t>
      </w:r>
      <w:r w:rsidR="00A412D5" w:rsidRPr="00A412D5">
        <w:t>maxUplinkDutyCycle</w:t>
      </w:r>
      <w:r w:rsidR="00A412D5">
        <w:t xml:space="preserve"> and PC</w:t>
      </w:r>
      <w:r w:rsidRPr="00A412D5">
        <w:t xml:space="preserve">. </w:t>
      </w:r>
      <w:r w:rsidR="001E413F" w:rsidRPr="00A412D5">
        <w:t xml:space="preserve">Though this </w:t>
      </w:r>
      <w:r w:rsidR="00A412D5">
        <w:t xml:space="preserve">maybe an </w:t>
      </w:r>
      <w:r w:rsidR="001E413F" w:rsidRPr="00A412D5">
        <w:t>issue, this would not be a critical one</w:t>
      </w:r>
      <w:r w:rsidR="00A412D5">
        <w:t xml:space="preserve">. Because </w:t>
      </w:r>
      <w:r w:rsidR="001E413F" w:rsidRPr="00A412D5">
        <w:t xml:space="preserve">RAN4 has already </w:t>
      </w:r>
      <w:r w:rsidR="001E413F" w:rsidRPr="00A412D5">
        <w:lastRenderedPageBreak/>
        <w:t xml:space="preserve">specified PC2 </w:t>
      </w:r>
      <w:r w:rsidR="00A412D5" w:rsidRPr="00A412D5">
        <w:t xml:space="preserve">uplink inter-band CA </w:t>
      </w:r>
      <w:r w:rsidR="001E413F" w:rsidRPr="00A412D5">
        <w:t xml:space="preserve">without waiting for the introduction of maxUplinkDutyCycle solution dedicated to </w:t>
      </w:r>
      <w:r w:rsidR="00A412D5" w:rsidRPr="00A412D5">
        <w:t>uplink inter-band CA</w:t>
      </w:r>
      <w:r w:rsidR="00A412D5">
        <w:t xml:space="preserve"> and has considered </w:t>
      </w:r>
      <w:r w:rsidR="001E413F" w:rsidRPr="00A412D5">
        <w:t>P-MPR as default</w:t>
      </w:r>
      <w:r w:rsidR="00A412D5">
        <w:t xml:space="preserve"> solution</w:t>
      </w:r>
      <w:r w:rsidR="001E413F" w:rsidRPr="00A412D5">
        <w:t>. Therefore, P-MPR can be used as default solution until an enhanced maxUplinkDutyCycle is introduced. It is also noted that all the UEs supporting an inter band UL CA whose PA configurations like 23dBm+26dBm do not have to use this new feature.</w:t>
      </w:r>
      <w:r w:rsidR="00A412D5">
        <w:t xml:space="preserve"> </w:t>
      </w:r>
      <w:r w:rsidR="001E413F" w:rsidRPr="00A412D5">
        <w:t xml:space="preserve">Thus, UEs robust over SAR and heat issues would </w:t>
      </w:r>
      <w:r w:rsidR="00A412D5">
        <w:t>support this new feature</w:t>
      </w:r>
      <w:r w:rsidR="001E413F" w:rsidRPr="00A412D5">
        <w:t>.</w:t>
      </w:r>
    </w:p>
    <w:p w14:paraId="17C16783" w14:textId="7A1FDF52" w:rsidR="001E413F" w:rsidRPr="00A412D5" w:rsidRDefault="001E413F" w:rsidP="001E413F">
      <w:pPr>
        <w:rPr>
          <w:b/>
          <w:bCs/>
        </w:rPr>
      </w:pPr>
      <w:r w:rsidRPr="00A412D5">
        <w:rPr>
          <w:b/>
          <w:bCs/>
        </w:rPr>
        <w:t>Observation 4: A dedicated network</w:t>
      </w:r>
      <w:r w:rsidR="00A412D5">
        <w:rPr>
          <w:b/>
          <w:bCs/>
        </w:rPr>
        <w:t>-</w:t>
      </w:r>
      <w:r w:rsidRPr="00A412D5">
        <w:rPr>
          <w:b/>
          <w:bCs/>
        </w:rPr>
        <w:t xml:space="preserve">based SAR solution </w:t>
      </w:r>
      <w:r w:rsidR="00A412D5">
        <w:rPr>
          <w:b/>
          <w:bCs/>
        </w:rPr>
        <w:t>would be</w:t>
      </w:r>
      <w:r w:rsidRPr="00A412D5">
        <w:rPr>
          <w:b/>
          <w:bCs/>
        </w:rPr>
        <w:t xml:space="preserve"> necessary. That is, however, not a critical factor to stop the introduction of this feature. P-MPR can be used until the solution is introduced.</w:t>
      </w:r>
    </w:p>
    <w:p w14:paraId="59CBE812" w14:textId="47C591BF" w:rsidR="000D164D" w:rsidRPr="00A412D5" w:rsidRDefault="00BA303F" w:rsidP="000D164D">
      <w:pPr>
        <w:pStyle w:val="Heading1"/>
        <w:ind w:left="709" w:hanging="709"/>
      </w:pPr>
      <w:r w:rsidRPr="00A412D5">
        <w:t>3</w:t>
      </w:r>
      <w:r w:rsidR="000D164D" w:rsidRPr="00A412D5">
        <w:tab/>
      </w:r>
      <w:r w:rsidR="001E413F" w:rsidRPr="00A412D5">
        <w:t>How to address the raised issue</w:t>
      </w:r>
      <w:r w:rsidR="003B3ABC" w:rsidRPr="00A412D5">
        <w:t xml:space="preserve"> </w:t>
      </w:r>
    </w:p>
    <w:p w14:paraId="56921A64" w14:textId="236AC320" w:rsidR="006A0E34" w:rsidRPr="00A412D5" w:rsidRDefault="002D746B" w:rsidP="006A0E34">
      <w:pPr>
        <w:overflowPunct/>
        <w:autoSpaceDE/>
        <w:autoSpaceDN/>
        <w:adjustRightInd/>
        <w:textAlignment w:val="auto"/>
        <w:rPr>
          <w:lang w:eastAsia="ko-KR"/>
        </w:rPr>
      </w:pPr>
      <w:r w:rsidRPr="00A412D5">
        <w:rPr>
          <w:lang w:eastAsia="ko-KR"/>
        </w:rPr>
        <w:t xml:space="preserve">Based on the idea in [1], the achievable output power in terms of hardware is at most the sum of power classes for </w:t>
      </w:r>
      <w:r w:rsidR="00A412D5">
        <w:rPr>
          <w:lang w:eastAsia="ko-KR"/>
        </w:rPr>
        <w:t xml:space="preserve">individual </w:t>
      </w:r>
      <w:r w:rsidRPr="00A412D5">
        <w:rPr>
          <w:lang w:eastAsia="ko-KR"/>
        </w:rPr>
        <w:t xml:space="preserve">bands within </w:t>
      </w:r>
      <w:r w:rsidR="00A412D5" w:rsidRPr="00A412D5">
        <w:t>uplink inter-band CA</w:t>
      </w:r>
      <w:r w:rsidRPr="00A412D5">
        <w:rPr>
          <w:lang w:eastAsia="ko-KR"/>
        </w:rPr>
        <w:t xml:space="preserve">. </w:t>
      </w:r>
      <w:r w:rsidR="00A412D5">
        <w:rPr>
          <w:lang w:eastAsia="ko-KR"/>
        </w:rPr>
        <w:t>Hence</w:t>
      </w:r>
      <w:r w:rsidRPr="00A412D5">
        <w:rPr>
          <w:lang w:eastAsia="ko-KR"/>
        </w:rPr>
        <w:t xml:space="preserve">, the simplest way would be just considering </w:t>
      </w:r>
      <w:r w:rsidR="00A412D5" w:rsidRPr="00A412D5">
        <w:rPr>
          <w:lang w:bidi="bn-IN"/>
        </w:rPr>
        <w:t>P</w:t>
      </w:r>
      <w:r w:rsidR="00A412D5" w:rsidRPr="00A412D5">
        <w:rPr>
          <w:vertAlign w:val="subscript"/>
          <w:lang w:bidi="bn-IN"/>
        </w:rPr>
        <w:t>PowerClass</w:t>
      </w:r>
      <w:r w:rsidR="00A412D5" w:rsidRPr="00A412D5">
        <w:rPr>
          <w:lang w:eastAsia="ko-KR"/>
        </w:rPr>
        <w:t xml:space="preserve"> </w:t>
      </w:r>
      <w:r w:rsidRPr="00A412D5">
        <w:rPr>
          <w:lang w:eastAsia="ko-KR"/>
        </w:rPr>
        <w:t xml:space="preserve">for the </w:t>
      </w:r>
      <w:r w:rsidR="00A412D5" w:rsidRPr="00A412D5">
        <w:t>uplink inter-band CA</w:t>
      </w:r>
      <w:r w:rsidRPr="00A412D5">
        <w:rPr>
          <w:lang w:eastAsia="ko-KR"/>
        </w:rPr>
        <w:t xml:space="preserve"> as the sum of </w:t>
      </w:r>
      <w:r w:rsidR="00A412D5">
        <w:rPr>
          <w:lang w:eastAsia="ko-KR"/>
        </w:rPr>
        <w:t>PCs</w:t>
      </w:r>
      <w:r w:rsidRPr="00A412D5">
        <w:rPr>
          <w:lang w:eastAsia="ko-KR"/>
        </w:rPr>
        <w:t xml:space="preserve"> for </w:t>
      </w:r>
      <w:r w:rsidR="00653629">
        <w:rPr>
          <w:lang w:eastAsia="ko-KR"/>
        </w:rPr>
        <w:t xml:space="preserve">the respective </w:t>
      </w:r>
      <w:r w:rsidRPr="00A412D5">
        <w:rPr>
          <w:lang w:eastAsia="ko-KR"/>
        </w:rPr>
        <w:t xml:space="preserve">bands within the </w:t>
      </w:r>
      <w:r w:rsidR="00A412D5" w:rsidRPr="00A412D5">
        <w:t xml:space="preserve">CA </w:t>
      </w:r>
      <w:r w:rsidRPr="00A412D5">
        <w:rPr>
          <w:lang w:eastAsia="ko-KR"/>
        </w:rPr>
        <w:t xml:space="preserve">in </w:t>
      </w:r>
      <w:r w:rsidRPr="00A412D5">
        <w:t>P</w:t>
      </w:r>
      <w:r w:rsidRPr="00A412D5">
        <w:rPr>
          <w:vertAlign w:val="subscript"/>
        </w:rPr>
        <w:t>CMAX_L</w:t>
      </w:r>
      <w:r w:rsidRPr="00A412D5">
        <w:t xml:space="preserve"> and P</w:t>
      </w:r>
      <w:r w:rsidRPr="00A412D5">
        <w:rPr>
          <w:vertAlign w:val="subscript"/>
        </w:rPr>
        <w:t>CMAX_H</w:t>
      </w:r>
      <w:r w:rsidRPr="00A412D5">
        <w:rPr>
          <w:lang w:eastAsia="ko-KR"/>
        </w:rPr>
        <w:t xml:space="preserve">. However, replacing </w:t>
      </w:r>
      <w:r w:rsidRPr="00A412D5">
        <w:rPr>
          <w:lang w:bidi="bn-IN"/>
        </w:rPr>
        <w:t>P</w:t>
      </w:r>
      <w:r w:rsidRPr="00A412D5">
        <w:rPr>
          <w:vertAlign w:val="subscript"/>
          <w:lang w:bidi="bn-IN"/>
        </w:rPr>
        <w:t>PowerClass</w:t>
      </w:r>
      <w:r w:rsidRPr="00A412D5">
        <w:rPr>
          <w:lang w:eastAsia="ko-KR"/>
        </w:rPr>
        <w:t xml:space="preserve"> with the sum </w:t>
      </w:r>
      <w:r w:rsidR="00653629">
        <w:rPr>
          <w:lang w:eastAsia="ko-KR"/>
        </w:rPr>
        <w:t xml:space="preserve">in both </w:t>
      </w:r>
      <w:r w:rsidR="00653629" w:rsidRPr="00A412D5">
        <w:t>P</w:t>
      </w:r>
      <w:r w:rsidR="00653629" w:rsidRPr="00A412D5">
        <w:rPr>
          <w:vertAlign w:val="subscript"/>
        </w:rPr>
        <w:t>CMAX_L</w:t>
      </w:r>
      <w:r w:rsidR="00653629" w:rsidRPr="00A412D5">
        <w:t xml:space="preserve"> and P</w:t>
      </w:r>
      <w:r w:rsidR="00653629" w:rsidRPr="00A412D5">
        <w:rPr>
          <w:vertAlign w:val="subscript"/>
        </w:rPr>
        <w:t>CMAX_H</w:t>
      </w:r>
      <w:r w:rsidR="00653629" w:rsidRPr="00A412D5">
        <w:rPr>
          <w:lang w:eastAsia="ko-KR"/>
        </w:rPr>
        <w:t xml:space="preserve"> </w:t>
      </w:r>
      <w:r w:rsidRPr="00A412D5">
        <w:rPr>
          <w:lang w:eastAsia="ko-KR"/>
        </w:rPr>
        <w:t xml:space="preserve">means setting hurdle that UEs can meet minimum requirements as high. If that </w:t>
      </w:r>
      <w:r w:rsidR="00653629">
        <w:rPr>
          <w:lang w:eastAsia="ko-KR"/>
        </w:rPr>
        <w:t>becomes a concern</w:t>
      </w:r>
      <w:r w:rsidRPr="00A412D5">
        <w:rPr>
          <w:lang w:eastAsia="ko-KR"/>
        </w:rPr>
        <w:t xml:space="preserve">, </w:t>
      </w:r>
      <w:r w:rsidR="00A412D5">
        <w:rPr>
          <w:lang w:eastAsia="ko-KR"/>
        </w:rPr>
        <w:t xml:space="preserve">an alternative to mitigate the hurdle </w:t>
      </w:r>
      <w:r w:rsidRPr="00A412D5">
        <w:rPr>
          <w:lang w:eastAsia="ko-KR"/>
        </w:rPr>
        <w:t xml:space="preserve">could </w:t>
      </w:r>
      <w:r w:rsidR="00653629">
        <w:rPr>
          <w:lang w:eastAsia="ko-KR"/>
        </w:rPr>
        <w:t xml:space="preserve">keep the </w:t>
      </w:r>
      <w:r w:rsidR="00653629" w:rsidRPr="00A412D5">
        <w:t>P</w:t>
      </w:r>
      <w:r w:rsidR="00653629" w:rsidRPr="00A412D5">
        <w:rPr>
          <w:vertAlign w:val="subscript"/>
        </w:rPr>
        <w:t>CMAX_L</w:t>
      </w:r>
      <w:r w:rsidR="00A412D5">
        <w:rPr>
          <w:lang w:eastAsia="ko-KR"/>
        </w:rPr>
        <w:t xml:space="preserve">. </w:t>
      </w:r>
      <w:r w:rsidR="00653629">
        <w:rPr>
          <w:lang w:eastAsia="ko-KR"/>
        </w:rPr>
        <w:t xml:space="preserve">More specifically, the </w:t>
      </w:r>
      <w:r w:rsidR="00A412D5">
        <w:rPr>
          <w:lang w:eastAsia="ko-KR"/>
        </w:rPr>
        <w:t xml:space="preserve">alternative would be </w:t>
      </w:r>
      <w:r w:rsidR="00653629">
        <w:rPr>
          <w:lang w:eastAsia="ko-KR"/>
        </w:rPr>
        <w:t xml:space="preserve">relax the </w:t>
      </w:r>
      <w:r w:rsidR="00A412D5">
        <w:rPr>
          <w:lang w:eastAsia="ko-KR"/>
        </w:rPr>
        <w:t>replace</w:t>
      </w:r>
      <w:r w:rsidR="00653629">
        <w:rPr>
          <w:lang w:eastAsia="ko-KR"/>
        </w:rPr>
        <w:t>d</w:t>
      </w:r>
      <w:r w:rsidR="00A412D5">
        <w:rPr>
          <w:lang w:eastAsia="ko-KR"/>
        </w:rPr>
        <w:t xml:space="preserve"> </w:t>
      </w:r>
      <w:r w:rsidR="00A412D5" w:rsidRPr="00A412D5">
        <w:rPr>
          <w:lang w:bidi="bn-IN"/>
        </w:rPr>
        <w:t>P</w:t>
      </w:r>
      <w:r w:rsidR="00A412D5" w:rsidRPr="00A412D5">
        <w:rPr>
          <w:vertAlign w:val="subscript"/>
          <w:lang w:bidi="bn-IN"/>
        </w:rPr>
        <w:t>PowerClass</w:t>
      </w:r>
      <w:r w:rsidR="00A412D5">
        <w:rPr>
          <w:lang w:eastAsia="ko-KR"/>
        </w:rPr>
        <w:t xml:space="preserve"> </w:t>
      </w:r>
      <w:r w:rsidR="00653629">
        <w:rPr>
          <w:lang w:eastAsia="ko-KR"/>
        </w:rPr>
        <w:t xml:space="preserve">in </w:t>
      </w:r>
      <w:r w:rsidR="00653629" w:rsidRPr="00A412D5">
        <w:t>P</w:t>
      </w:r>
      <w:r w:rsidR="00653629" w:rsidRPr="00A412D5">
        <w:rPr>
          <w:vertAlign w:val="subscript"/>
        </w:rPr>
        <w:t>CMAX_L</w:t>
      </w:r>
      <w:r w:rsidR="00653629" w:rsidRPr="001E6E65">
        <w:t xml:space="preserve"> </w:t>
      </w:r>
      <w:r w:rsidR="00653629">
        <w:rPr>
          <w:lang w:eastAsia="ko-KR"/>
        </w:rPr>
        <w:t xml:space="preserve">by the </w:t>
      </w:r>
      <w:r w:rsidRPr="00A412D5">
        <w:rPr>
          <w:lang w:bidi="bn-IN"/>
        </w:rPr>
        <w:t>P</w:t>
      </w:r>
      <w:r w:rsidRPr="00A412D5">
        <w:rPr>
          <w:vertAlign w:val="subscript"/>
          <w:lang w:bidi="bn-IN"/>
        </w:rPr>
        <w:t>PowerClass</w:t>
      </w:r>
      <w:r w:rsidR="001E6E65">
        <w:rPr>
          <w:lang w:eastAsia="ko-KR"/>
        </w:rPr>
        <w:t xml:space="preserve">(the sum) </w:t>
      </w:r>
      <w:r w:rsidR="00653629">
        <w:rPr>
          <w:lang w:eastAsia="ko-KR"/>
        </w:rPr>
        <w:t>-</w:t>
      </w:r>
      <w:r w:rsidR="00653629" w:rsidRPr="00A412D5">
        <w:t xml:space="preserve"> </w:t>
      </w:r>
      <w:r w:rsidR="00653629">
        <w:rPr>
          <w:lang w:eastAsia="ko-KR"/>
        </w:rPr>
        <w:t>MAX</w:t>
      </w:r>
      <w:r w:rsidRPr="00A412D5">
        <w:rPr>
          <w:lang w:eastAsia="ko-KR"/>
        </w:rPr>
        <w:t xml:space="preserve">(PC for Band A, PC for Band B) for </w:t>
      </w:r>
      <w:r w:rsidR="00A412D5" w:rsidRPr="00A412D5">
        <w:t>uplink inter-band CA</w:t>
      </w:r>
      <w:r w:rsidR="00A412D5" w:rsidRPr="00A412D5">
        <w:rPr>
          <w:lang w:eastAsia="ko-KR"/>
        </w:rPr>
        <w:t xml:space="preserve"> </w:t>
      </w:r>
      <w:r w:rsidRPr="00A412D5">
        <w:rPr>
          <w:lang w:eastAsia="ko-KR"/>
        </w:rPr>
        <w:t>(A+B) with this new feature.</w:t>
      </w:r>
      <w:r w:rsidR="00A412D5">
        <w:rPr>
          <w:lang w:eastAsia="ko-KR"/>
        </w:rPr>
        <w:t xml:space="preserve"> </w:t>
      </w:r>
    </w:p>
    <w:p w14:paraId="29A645F9" w14:textId="42C0BA94" w:rsidR="00A412D5" w:rsidRPr="00A412D5" w:rsidRDefault="00EF45DB" w:rsidP="002D746B">
      <w:pPr>
        <w:rPr>
          <w:rFonts w:cs="Arial"/>
          <w:b/>
          <w:bCs/>
        </w:rPr>
      </w:pPr>
      <w:r w:rsidRPr="00A412D5">
        <w:rPr>
          <w:b/>
          <w:bCs/>
        </w:rPr>
        <w:t>Proposal:</w:t>
      </w:r>
      <w:r w:rsidR="002D746B" w:rsidRPr="00A412D5">
        <w:rPr>
          <w:rFonts w:cs="Arial"/>
          <w:b/>
          <w:bCs/>
        </w:rPr>
        <w:t xml:space="preserve"> Given that UEs supporting </w:t>
      </w:r>
      <w:r w:rsidR="00A412D5" w:rsidRPr="00A412D5">
        <w:rPr>
          <w:b/>
          <w:bCs/>
        </w:rPr>
        <w:t>uplink inter-band CA</w:t>
      </w:r>
      <w:r w:rsidR="00A412D5" w:rsidRPr="00A412D5">
        <w:rPr>
          <w:rFonts w:cs="Arial"/>
          <w:b/>
          <w:bCs/>
        </w:rPr>
        <w:t xml:space="preserve"> </w:t>
      </w:r>
      <w:r w:rsidR="002D746B" w:rsidRPr="00A412D5">
        <w:rPr>
          <w:rFonts w:cs="Arial"/>
          <w:b/>
          <w:bCs/>
        </w:rPr>
        <w:t>(Band A</w:t>
      </w:r>
      <w:r w:rsidR="00A412D5" w:rsidRPr="00A412D5">
        <w:rPr>
          <w:rFonts w:cs="Arial"/>
          <w:b/>
          <w:bCs/>
        </w:rPr>
        <w:t xml:space="preserve"> </w:t>
      </w:r>
      <w:r w:rsidR="002D746B" w:rsidRPr="00A412D5">
        <w:rPr>
          <w:rFonts w:cs="Arial"/>
          <w:b/>
          <w:bCs/>
        </w:rPr>
        <w:t>+</w:t>
      </w:r>
      <w:r w:rsidR="00A412D5" w:rsidRPr="00A412D5">
        <w:rPr>
          <w:rFonts w:cs="Arial"/>
          <w:b/>
          <w:bCs/>
        </w:rPr>
        <w:t xml:space="preserve"> </w:t>
      </w:r>
      <w:r w:rsidR="002D746B" w:rsidRPr="00A412D5">
        <w:rPr>
          <w:rFonts w:cs="Arial"/>
          <w:b/>
          <w:bCs/>
        </w:rPr>
        <w:t>Band B) with th</w:t>
      </w:r>
      <w:r w:rsidR="00A412D5" w:rsidRPr="00A412D5">
        <w:rPr>
          <w:rFonts w:cs="Arial"/>
          <w:b/>
          <w:bCs/>
        </w:rPr>
        <w:t>is even higher power feature</w:t>
      </w:r>
      <w:r w:rsidR="002D746B" w:rsidRPr="00A412D5">
        <w:rPr>
          <w:rFonts w:cs="Arial"/>
          <w:b/>
          <w:bCs/>
        </w:rPr>
        <w:t xml:space="preserve">, </w:t>
      </w:r>
      <w:r w:rsidR="00A412D5">
        <w:rPr>
          <w:rFonts w:cs="Arial"/>
          <w:b/>
          <w:bCs/>
        </w:rPr>
        <w:t xml:space="preserve">consider following </w:t>
      </w:r>
      <w:r w:rsidR="00A412D5" w:rsidRPr="00A412D5">
        <w:rPr>
          <w:rFonts w:cs="Arial"/>
          <w:b/>
          <w:bCs/>
        </w:rPr>
        <w:t>three alternatives</w:t>
      </w:r>
      <w:r w:rsidR="00A412D5">
        <w:rPr>
          <w:rFonts w:cs="Arial"/>
          <w:b/>
          <w:bCs/>
        </w:rPr>
        <w:t xml:space="preserve"> to address the raised issues</w:t>
      </w:r>
      <w:r w:rsidR="00A412D5" w:rsidRPr="00A412D5">
        <w:rPr>
          <w:rFonts w:cs="Arial"/>
          <w:b/>
          <w:bCs/>
        </w:rPr>
        <w:t>.</w:t>
      </w:r>
      <w:r w:rsidR="00A412D5">
        <w:rPr>
          <w:rFonts w:cs="Arial"/>
          <w:b/>
          <w:bCs/>
        </w:rPr>
        <w:t xml:space="preserve"> In the following, SUM is defined as </w:t>
      </w:r>
      <w:r w:rsidR="00A412D5" w:rsidRPr="00A412D5">
        <w:rPr>
          <w:b/>
          <w:bCs/>
          <w:lang w:eastAsia="ko-KR"/>
        </w:rPr>
        <w:t>the sum of PC for Band A and PC for Band B</w:t>
      </w:r>
    </w:p>
    <w:p w14:paraId="4121B661" w14:textId="7EB950FA" w:rsidR="00A412D5" w:rsidRPr="00A412D5" w:rsidRDefault="00A412D5" w:rsidP="002D746B">
      <w:pPr>
        <w:rPr>
          <w:b/>
          <w:bCs/>
          <w:lang w:eastAsia="ko-KR"/>
        </w:rPr>
      </w:pPr>
      <w:r w:rsidRPr="00A412D5">
        <w:rPr>
          <w:rFonts w:cs="Arial"/>
          <w:b/>
          <w:bCs/>
        </w:rPr>
        <w:t xml:space="preserve">Alternative 1: </w:t>
      </w:r>
      <w:r w:rsidRPr="00A412D5">
        <w:rPr>
          <w:rFonts w:cs="Arial" w:hint="eastAsia"/>
          <w:b/>
          <w:bCs/>
          <w:lang w:eastAsia="ja-JP"/>
        </w:rPr>
        <w:t>Replace</w:t>
      </w:r>
      <w:r w:rsidR="002D746B" w:rsidRPr="00A412D5">
        <w:rPr>
          <w:rFonts w:cs="Arial"/>
          <w:b/>
          <w:bCs/>
        </w:rPr>
        <w:t xml:space="preserve"> </w:t>
      </w:r>
      <w:r w:rsidR="002D746B" w:rsidRPr="00A412D5">
        <w:rPr>
          <w:b/>
          <w:bCs/>
          <w:lang w:bidi="bn-IN"/>
        </w:rPr>
        <w:t>P</w:t>
      </w:r>
      <w:r w:rsidR="002D746B" w:rsidRPr="00A412D5">
        <w:rPr>
          <w:rFonts w:ascii="Times New Roman Bold" w:hAnsi="Times New Roman Bold"/>
          <w:b/>
          <w:bCs/>
          <w:vertAlign w:val="subscript"/>
          <w:lang w:bidi="bn-IN"/>
        </w:rPr>
        <w:t>PowerClass</w:t>
      </w:r>
      <w:r w:rsidR="002D746B" w:rsidRPr="00A412D5">
        <w:rPr>
          <w:b/>
          <w:bCs/>
          <w:lang w:eastAsia="ko-KR"/>
        </w:rPr>
        <w:t xml:space="preserve"> in </w:t>
      </w:r>
      <w:r>
        <w:rPr>
          <w:b/>
          <w:bCs/>
          <w:lang w:eastAsia="ko-KR"/>
        </w:rPr>
        <w:t xml:space="preserve">both </w:t>
      </w:r>
      <w:r w:rsidR="002D746B" w:rsidRPr="00A412D5">
        <w:rPr>
          <w:b/>
          <w:bCs/>
        </w:rPr>
        <w:t>P</w:t>
      </w:r>
      <w:r w:rsidR="002D746B" w:rsidRPr="00A412D5">
        <w:rPr>
          <w:b/>
          <w:bCs/>
          <w:vertAlign w:val="subscript"/>
        </w:rPr>
        <w:t xml:space="preserve">CMAX_L </w:t>
      </w:r>
      <w:r w:rsidR="002D746B" w:rsidRPr="00A412D5">
        <w:rPr>
          <w:b/>
          <w:bCs/>
        </w:rPr>
        <w:t>and</w:t>
      </w:r>
      <w:r w:rsidR="002D746B" w:rsidRPr="00A412D5">
        <w:rPr>
          <w:b/>
          <w:bCs/>
          <w:vertAlign w:val="subscript"/>
        </w:rPr>
        <w:t xml:space="preserve"> </w:t>
      </w:r>
      <w:r w:rsidR="002D746B" w:rsidRPr="00A412D5">
        <w:rPr>
          <w:b/>
          <w:bCs/>
        </w:rPr>
        <w:t>P</w:t>
      </w:r>
      <w:r w:rsidR="002D746B" w:rsidRPr="00A412D5">
        <w:rPr>
          <w:b/>
          <w:bCs/>
          <w:vertAlign w:val="subscript"/>
        </w:rPr>
        <w:t>CMAX_H</w:t>
      </w:r>
      <w:r w:rsidR="002D746B" w:rsidRPr="00A412D5">
        <w:rPr>
          <w:b/>
          <w:bCs/>
          <w:lang w:eastAsia="ko-KR"/>
        </w:rPr>
        <w:t xml:space="preserve"> with </w:t>
      </w:r>
      <w:r>
        <w:rPr>
          <w:b/>
          <w:bCs/>
          <w:lang w:eastAsia="ko-KR"/>
        </w:rPr>
        <w:t>SUM</w:t>
      </w:r>
      <w:r w:rsidR="002D746B" w:rsidRPr="00A412D5">
        <w:rPr>
          <w:b/>
          <w:bCs/>
          <w:lang w:eastAsia="ko-KR"/>
        </w:rPr>
        <w:t>.</w:t>
      </w:r>
    </w:p>
    <w:p w14:paraId="03850AB9" w14:textId="7792F023" w:rsidR="00F7023C" w:rsidRDefault="00A412D5" w:rsidP="002D746B">
      <w:pPr>
        <w:rPr>
          <w:b/>
          <w:bCs/>
          <w:lang w:eastAsia="ko-KR"/>
        </w:rPr>
      </w:pPr>
      <w:r w:rsidRPr="001E6E65">
        <w:rPr>
          <w:b/>
          <w:bCs/>
          <w:lang w:eastAsia="ko-KR"/>
        </w:rPr>
        <w:t xml:space="preserve">Alternative </w:t>
      </w:r>
      <w:r w:rsidR="00653629" w:rsidRPr="001E6E65">
        <w:rPr>
          <w:b/>
          <w:bCs/>
          <w:lang w:eastAsia="ko-KR"/>
        </w:rPr>
        <w:t>2</w:t>
      </w:r>
      <w:r w:rsidRPr="001E6E65">
        <w:rPr>
          <w:b/>
          <w:bCs/>
          <w:lang w:eastAsia="ko-KR"/>
        </w:rPr>
        <w:t>: Replace</w:t>
      </w:r>
      <w:r w:rsidR="002D746B" w:rsidRPr="001E6E65">
        <w:rPr>
          <w:rFonts w:cs="Arial"/>
          <w:b/>
          <w:bCs/>
        </w:rPr>
        <w:t xml:space="preserve"> </w:t>
      </w:r>
      <w:r w:rsidR="002D746B" w:rsidRPr="001E6E65">
        <w:rPr>
          <w:b/>
          <w:bCs/>
          <w:lang w:bidi="bn-IN"/>
        </w:rPr>
        <w:t>P</w:t>
      </w:r>
      <w:r w:rsidR="002D746B" w:rsidRPr="001E6E65">
        <w:rPr>
          <w:b/>
          <w:bCs/>
          <w:vertAlign w:val="subscript"/>
          <w:lang w:bidi="bn-IN"/>
        </w:rPr>
        <w:t>PowerClass</w:t>
      </w:r>
      <w:r w:rsidR="002D746B" w:rsidRPr="001E6E65">
        <w:rPr>
          <w:b/>
          <w:bCs/>
          <w:lang w:eastAsia="ko-KR"/>
        </w:rPr>
        <w:t xml:space="preserve"> in </w:t>
      </w:r>
      <w:r w:rsidR="00653629" w:rsidRPr="001E6E65">
        <w:rPr>
          <w:b/>
          <w:bCs/>
          <w:lang w:eastAsia="ko-KR"/>
        </w:rPr>
        <w:t xml:space="preserve">both </w:t>
      </w:r>
      <w:r w:rsidR="002D746B" w:rsidRPr="001E6E65">
        <w:rPr>
          <w:b/>
          <w:bCs/>
        </w:rPr>
        <w:t>P</w:t>
      </w:r>
      <w:r w:rsidR="002D746B" w:rsidRPr="001E6E65">
        <w:rPr>
          <w:b/>
          <w:bCs/>
          <w:vertAlign w:val="subscript"/>
        </w:rPr>
        <w:t>CMAX_H</w:t>
      </w:r>
      <w:r w:rsidR="002D746B" w:rsidRPr="001E6E65">
        <w:rPr>
          <w:b/>
          <w:bCs/>
          <w:lang w:eastAsia="ko-KR"/>
        </w:rPr>
        <w:t xml:space="preserve"> </w:t>
      </w:r>
      <w:r w:rsidR="00653629" w:rsidRPr="001E6E65">
        <w:rPr>
          <w:b/>
          <w:bCs/>
        </w:rPr>
        <w:t>and</w:t>
      </w:r>
      <w:r w:rsidR="00653629" w:rsidRPr="001E6E65">
        <w:rPr>
          <w:b/>
          <w:bCs/>
          <w:vertAlign w:val="subscript"/>
        </w:rPr>
        <w:t xml:space="preserve"> </w:t>
      </w:r>
      <w:r w:rsidR="00653629" w:rsidRPr="001E6E65">
        <w:rPr>
          <w:b/>
          <w:bCs/>
        </w:rPr>
        <w:t>P</w:t>
      </w:r>
      <w:r w:rsidR="00653629" w:rsidRPr="001E6E65">
        <w:rPr>
          <w:b/>
          <w:bCs/>
          <w:vertAlign w:val="subscript"/>
        </w:rPr>
        <w:t>CMAX_H</w:t>
      </w:r>
      <w:r w:rsidR="00653629" w:rsidRPr="001E6E65">
        <w:rPr>
          <w:b/>
          <w:bCs/>
          <w:lang w:eastAsia="ko-KR"/>
        </w:rPr>
        <w:t xml:space="preserve"> </w:t>
      </w:r>
      <w:r w:rsidR="002D746B" w:rsidRPr="001E6E65">
        <w:rPr>
          <w:b/>
          <w:bCs/>
          <w:lang w:eastAsia="ko-KR"/>
        </w:rPr>
        <w:t xml:space="preserve">with </w:t>
      </w:r>
      <w:r w:rsidRPr="001E6E65">
        <w:rPr>
          <w:b/>
          <w:bCs/>
          <w:lang w:eastAsia="ko-KR"/>
        </w:rPr>
        <w:t>SUM</w:t>
      </w:r>
      <w:r w:rsidR="002D746B" w:rsidRPr="001E6E65">
        <w:rPr>
          <w:b/>
          <w:bCs/>
          <w:lang w:eastAsia="ko-KR"/>
        </w:rPr>
        <w:t xml:space="preserve"> and </w:t>
      </w:r>
      <w:r w:rsidR="00653629" w:rsidRPr="001E6E65">
        <w:rPr>
          <w:b/>
          <w:bCs/>
          <w:lang w:eastAsia="ko-KR"/>
        </w:rPr>
        <w:t xml:space="preserve">relax the </w:t>
      </w:r>
      <w:r w:rsidR="002D746B" w:rsidRPr="001E6E65">
        <w:rPr>
          <w:b/>
          <w:bCs/>
          <w:lang w:bidi="bn-IN"/>
        </w:rPr>
        <w:t>P</w:t>
      </w:r>
      <w:r w:rsidR="002D746B" w:rsidRPr="001E6E65">
        <w:rPr>
          <w:b/>
          <w:bCs/>
          <w:vertAlign w:val="subscript"/>
          <w:lang w:bidi="bn-IN"/>
        </w:rPr>
        <w:t>PowerClass</w:t>
      </w:r>
      <w:r w:rsidR="002D746B" w:rsidRPr="001E6E65">
        <w:rPr>
          <w:b/>
          <w:bCs/>
          <w:lang w:eastAsia="ko-KR"/>
        </w:rPr>
        <w:t xml:space="preserve"> in </w:t>
      </w:r>
      <w:r w:rsidR="002D746B" w:rsidRPr="001E6E65">
        <w:rPr>
          <w:b/>
          <w:bCs/>
        </w:rPr>
        <w:t>P</w:t>
      </w:r>
      <w:r w:rsidR="002D746B" w:rsidRPr="001E6E65">
        <w:rPr>
          <w:b/>
          <w:bCs/>
          <w:vertAlign w:val="subscript"/>
        </w:rPr>
        <w:t>CMAX_L</w:t>
      </w:r>
      <w:r w:rsidR="002D746B" w:rsidRPr="001E6E65">
        <w:rPr>
          <w:b/>
          <w:bCs/>
          <w:lang w:eastAsia="ko-KR"/>
        </w:rPr>
        <w:t xml:space="preserve"> </w:t>
      </w:r>
      <w:r w:rsidR="00653629" w:rsidRPr="001E6E65">
        <w:rPr>
          <w:b/>
          <w:bCs/>
          <w:lang w:eastAsia="ko-KR"/>
        </w:rPr>
        <w:t>by the</w:t>
      </w:r>
      <w:r w:rsidR="00653629" w:rsidRPr="001E6E65">
        <w:rPr>
          <w:b/>
          <w:bCs/>
          <w:lang w:bidi="bn-IN"/>
        </w:rPr>
        <w:t xml:space="preserve"> P</w:t>
      </w:r>
      <w:r w:rsidR="00653629" w:rsidRPr="001E6E65">
        <w:rPr>
          <w:b/>
          <w:bCs/>
          <w:vertAlign w:val="subscript"/>
          <w:lang w:bidi="bn-IN"/>
        </w:rPr>
        <w:t>PowerClass</w:t>
      </w:r>
      <w:r w:rsidR="001E6E65" w:rsidRPr="001E6E65">
        <w:rPr>
          <w:b/>
          <w:bCs/>
          <w:lang w:eastAsia="ko-KR"/>
        </w:rPr>
        <w:t>(the sum)</w:t>
      </w:r>
      <w:r w:rsidR="00653629" w:rsidRPr="001E6E65">
        <w:rPr>
          <w:b/>
          <w:bCs/>
          <w:lang w:eastAsia="ko-KR"/>
        </w:rPr>
        <w:t xml:space="preserve"> - MAX</w:t>
      </w:r>
      <w:r w:rsidR="002D746B" w:rsidRPr="001E6E65">
        <w:rPr>
          <w:b/>
          <w:bCs/>
          <w:lang w:eastAsia="ko-KR"/>
        </w:rPr>
        <w:t>(PC for</w:t>
      </w:r>
      <w:r w:rsidR="002D746B" w:rsidRPr="00A412D5">
        <w:rPr>
          <w:b/>
          <w:bCs/>
          <w:lang w:eastAsia="ko-KR"/>
        </w:rPr>
        <w:t xml:space="preserve"> Band A, PC for Band B).</w:t>
      </w:r>
    </w:p>
    <w:p w14:paraId="4063B845" w14:textId="39E87972" w:rsidR="00276F69" w:rsidRPr="00A412D5" w:rsidRDefault="00EF45DB" w:rsidP="00276F69">
      <w:pPr>
        <w:pStyle w:val="Heading1"/>
      </w:pPr>
      <w:r w:rsidRPr="00A412D5">
        <w:t>4</w:t>
      </w:r>
      <w:r w:rsidR="00276F69" w:rsidRPr="00A412D5">
        <w:tab/>
        <w:t>Conclusion</w:t>
      </w:r>
    </w:p>
    <w:p w14:paraId="3606577A" w14:textId="2A1DDF7E" w:rsidR="00DA03D6" w:rsidRPr="00A412D5" w:rsidRDefault="00C47C9F" w:rsidP="00276F69">
      <w:r w:rsidRPr="00A412D5">
        <w:t xml:space="preserve">In this contribution, </w:t>
      </w:r>
      <w:r w:rsidR="00EF45DB" w:rsidRPr="00A412D5">
        <w:t xml:space="preserve">we analysed </w:t>
      </w:r>
      <w:r w:rsidR="002D746B" w:rsidRPr="00A412D5">
        <w:t>the solution</w:t>
      </w:r>
      <w:r w:rsidR="00EF45DB" w:rsidRPr="00A412D5">
        <w:t xml:space="preserve"> proposed in </w:t>
      </w:r>
      <w:r w:rsidR="00FA723F" w:rsidRPr="00A412D5">
        <w:t>[1]</w:t>
      </w:r>
      <w:r w:rsidR="00364459" w:rsidRPr="00A412D5">
        <w:t xml:space="preserve"> and </w:t>
      </w:r>
      <w:r w:rsidR="002D746B" w:rsidRPr="00A412D5">
        <w:t>raised issues in RAN4#98-e. As a result, we obtained following observations and a proposal.</w:t>
      </w:r>
    </w:p>
    <w:p w14:paraId="3F2C7EC4" w14:textId="68E412E0" w:rsidR="001E6E65" w:rsidRDefault="001E6E65" w:rsidP="001E6E65">
      <w:pPr>
        <w:rPr>
          <w:b/>
          <w:bCs/>
        </w:rPr>
      </w:pPr>
      <w:r w:rsidRPr="00A412D5">
        <w:rPr>
          <w:b/>
          <w:bCs/>
        </w:rPr>
        <w:t xml:space="preserve">Observation 1: There is a backward compatibility issue if a PC for uplink inter-band CA is not reported by UEs. </w:t>
      </w:r>
      <w:r w:rsidRPr="00A412D5">
        <w:rPr>
          <w:b/>
          <w:bCs/>
        </w:rPr>
        <w:br/>
        <w:t xml:space="preserve">Because gNBs would consider the UEs supporting the default PC for </w:t>
      </w:r>
      <w:r>
        <w:rPr>
          <w:b/>
          <w:bCs/>
        </w:rPr>
        <w:t xml:space="preserve">the </w:t>
      </w:r>
      <w:r w:rsidRPr="00A412D5">
        <w:rPr>
          <w:b/>
          <w:bCs/>
        </w:rPr>
        <w:t>uplink inter-band CA. Hence, the gNBs cannot distinguish legacy UEs without this feature and new UEs with it.</w:t>
      </w:r>
    </w:p>
    <w:p w14:paraId="7C0A2805" w14:textId="77777777" w:rsidR="001E6E65" w:rsidRPr="00A412D5" w:rsidRDefault="001E6E65" w:rsidP="001E6E65">
      <w:pPr>
        <w:rPr>
          <w:b/>
          <w:bCs/>
        </w:rPr>
      </w:pPr>
      <w:r w:rsidRPr="00A412D5">
        <w:rPr>
          <w:b/>
          <w:bCs/>
        </w:rPr>
        <w:t>Observation 2: There is a specification inconsistency if a PC for uplink inter-band CA is reported by UEs. Because P</w:t>
      </w:r>
      <w:r w:rsidRPr="00A412D5">
        <w:rPr>
          <w:rFonts w:ascii="Times New Roman Bold" w:hAnsi="Times New Roman Bold"/>
          <w:b/>
          <w:bCs/>
          <w:vertAlign w:val="subscript"/>
        </w:rPr>
        <w:t>CMAX_H</w:t>
      </w:r>
      <w:r w:rsidRPr="00A412D5">
        <w:rPr>
          <w:b/>
          <w:bCs/>
        </w:rPr>
        <w:t xml:space="preserve"> cannot reflect UE’s real ability and/or the meaning of PC may be ambiguous.</w:t>
      </w:r>
    </w:p>
    <w:p w14:paraId="4BB87D47" w14:textId="77777777" w:rsidR="001E6E65" w:rsidRPr="00A412D5" w:rsidRDefault="001E6E65" w:rsidP="001E6E65">
      <w:pPr>
        <w:rPr>
          <w:b/>
          <w:bCs/>
        </w:rPr>
      </w:pPr>
      <w:r w:rsidRPr="00A412D5">
        <w:rPr>
          <w:b/>
          <w:bCs/>
        </w:rPr>
        <w:t>Observation 3: The introduction of a new concept to l</w:t>
      </w:r>
      <w:r w:rsidRPr="00A412D5">
        <w:rPr>
          <w:b/>
          <w:bCs/>
          <w:lang w:val="en-US"/>
        </w:rPr>
        <w:t>ift the restriction on maximum output power imposed by the power class definition</w:t>
      </w:r>
      <w:r w:rsidRPr="00A412D5">
        <w:rPr>
          <w:b/>
          <w:bCs/>
        </w:rPr>
        <w:t xml:space="preserve"> </w:t>
      </w:r>
      <w:r>
        <w:rPr>
          <w:b/>
          <w:bCs/>
        </w:rPr>
        <w:t xml:space="preserve">in principle </w:t>
      </w:r>
      <w:r w:rsidRPr="00A412D5">
        <w:rPr>
          <w:b/>
          <w:bCs/>
        </w:rPr>
        <w:t>does not require re-evaluation of MPR, A-MPR and MSD.</w:t>
      </w:r>
    </w:p>
    <w:p w14:paraId="31F1B5B6" w14:textId="77777777" w:rsidR="001E6E65" w:rsidRPr="00A412D5" w:rsidRDefault="001E6E65" w:rsidP="001E6E65">
      <w:pPr>
        <w:rPr>
          <w:b/>
          <w:bCs/>
        </w:rPr>
      </w:pPr>
      <w:r w:rsidRPr="00A412D5">
        <w:rPr>
          <w:b/>
          <w:bCs/>
        </w:rPr>
        <w:t>Observation 4: A dedicated network</w:t>
      </w:r>
      <w:r>
        <w:rPr>
          <w:b/>
          <w:bCs/>
        </w:rPr>
        <w:t>-</w:t>
      </w:r>
      <w:r w:rsidRPr="00A412D5">
        <w:rPr>
          <w:b/>
          <w:bCs/>
        </w:rPr>
        <w:t xml:space="preserve">based SAR solution </w:t>
      </w:r>
      <w:r>
        <w:rPr>
          <w:b/>
          <w:bCs/>
        </w:rPr>
        <w:t>would be</w:t>
      </w:r>
      <w:r w:rsidRPr="00A412D5">
        <w:rPr>
          <w:b/>
          <w:bCs/>
        </w:rPr>
        <w:t xml:space="preserve"> necessary. That is, however, not a critical factor to stop the introduction of this feature. P-MPR can be used until the solution is introduced.</w:t>
      </w:r>
    </w:p>
    <w:p w14:paraId="79FF521B" w14:textId="77777777" w:rsidR="001E6E65" w:rsidRPr="00A412D5" w:rsidRDefault="001E6E65" w:rsidP="001E6E65">
      <w:pPr>
        <w:rPr>
          <w:rFonts w:cs="Arial"/>
          <w:b/>
          <w:bCs/>
        </w:rPr>
      </w:pPr>
      <w:r w:rsidRPr="00A412D5">
        <w:rPr>
          <w:b/>
          <w:bCs/>
        </w:rPr>
        <w:t>Proposal:</w:t>
      </w:r>
      <w:r w:rsidRPr="00A412D5">
        <w:rPr>
          <w:rFonts w:cs="Arial"/>
          <w:b/>
          <w:bCs/>
        </w:rPr>
        <w:t xml:space="preserve"> Given that UEs supporting </w:t>
      </w:r>
      <w:r w:rsidRPr="00A412D5">
        <w:rPr>
          <w:b/>
          <w:bCs/>
        </w:rPr>
        <w:t>uplink inter-band CA</w:t>
      </w:r>
      <w:r w:rsidRPr="00A412D5">
        <w:rPr>
          <w:rFonts w:cs="Arial"/>
          <w:b/>
          <w:bCs/>
        </w:rPr>
        <w:t xml:space="preserve"> (Band A + Band B) with this even higher power feature, </w:t>
      </w:r>
      <w:r>
        <w:rPr>
          <w:rFonts w:cs="Arial"/>
          <w:b/>
          <w:bCs/>
        </w:rPr>
        <w:t xml:space="preserve">consider following </w:t>
      </w:r>
      <w:r w:rsidRPr="00A412D5">
        <w:rPr>
          <w:rFonts w:cs="Arial"/>
          <w:b/>
          <w:bCs/>
        </w:rPr>
        <w:t>three alternatives</w:t>
      </w:r>
      <w:r>
        <w:rPr>
          <w:rFonts w:cs="Arial"/>
          <w:b/>
          <w:bCs/>
        </w:rPr>
        <w:t xml:space="preserve"> to address the raised issues</w:t>
      </w:r>
      <w:r w:rsidRPr="00A412D5">
        <w:rPr>
          <w:rFonts w:cs="Arial"/>
          <w:b/>
          <w:bCs/>
        </w:rPr>
        <w:t>.</w:t>
      </w:r>
      <w:r>
        <w:rPr>
          <w:rFonts w:cs="Arial"/>
          <w:b/>
          <w:bCs/>
        </w:rPr>
        <w:t xml:space="preserve"> In the following, SUM is defined as </w:t>
      </w:r>
      <w:r w:rsidRPr="00A412D5">
        <w:rPr>
          <w:b/>
          <w:bCs/>
          <w:lang w:eastAsia="ko-KR"/>
        </w:rPr>
        <w:t>the sum of PC for Band A and PC for Band B</w:t>
      </w:r>
    </w:p>
    <w:p w14:paraId="52FDD4F6" w14:textId="77777777" w:rsidR="001E6E65" w:rsidRPr="00A412D5" w:rsidRDefault="001E6E65" w:rsidP="001E6E65">
      <w:pPr>
        <w:rPr>
          <w:b/>
          <w:bCs/>
          <w:lang w:eastAsia="ko-KR"/>
        </w:rPr>
      </w:pPr>
      <w:r w:rsidRPr="00A412D5">
        <w:rPr>
          <w:rFonts w:cs="Arial"/>
          <w:b/>
          <w:bCs/>
        </w:rPr>
        <w:t xml:space="preserve">Alternative 1: </w:t>
      </w:r>
      <w:r w:rsidRPr="00A412D5">
        <w:rPr>
          <w:rFonts w:cs="Arial" w:hint="eastAsia"/>
          <w:b/>
          <w:bCs/>
          <w:lang w:eastAsia="ja-JP"/>
        </w:rPr>
        <w:t>Replace</w:t>
      </w:r>
      <w:r w:rsidRPr="00A412D5">
        <w:rPr>
          <w:rFonts w:cs="Arial"/>
          <w:b/>
          <w:bCs/>
        </w:rPr>
        <w:t xml:space="preserve"> </w:t>
      </w:r>
      <w:r w:rsidRPr="00A412D5">
        <w:rPr>
          <w:b/>
          <w:bCs/>
          <w:lang w:bidi="bn-IN"/>
        </w:rPr>
        <w:t>P</w:t>
      </w:r>
      <w:r w:rsidRPr="00A412D5">
        <w:rPr>
          <w:rFonts w:ascii="Times New Roman Bold" w:hAnsi="Times New Roman Bold"/>
          <w:b/>
          <w:bCs/>
          <w:vertAlign w:val="subscript"/>
          <w:lang w:bidi="bn-IN"/>
        </w:rPr>
        <w:t>PowerClass</w:t>
      </w:r>
      <w:r w:rsidRPr="00A412D5">
        <w:rPr>
          <w:b/>
          <w:bCs/>
          <w:lang w:eastAsia="ko-KR"/>
        </w:rPr>
        <w:t xml:space="preserve"> in </w:t>
      </w:r>
      <w:r>
        <w:rPr>
          <w:b/>
          <w:bCs/>
          <w:lang w:eastAsia="ko-KR"/>
        </w:rPr>
        <w:t xml:space="preserve">both </w:t>
      </w:r>
      <w:r w:rsidRPr="00A412D5">
        <w:rPr>
          <w:b/>
          <w:bCs/>
        </w:rPr>
        <w:t>P</w:t>
      </w:r>
      <w:r w:rsidRPr="00A412D5">
        <w:rPr>
          <w:b/>
          <w:bCs/>
          <w:vertAlign w:val="subscript"/>
        </w:rPr>
        <w:t xml:space="preserve">CMAX_L </w:t>
      </w:r>
      <w:r w:rsidRPr="00A412D5">
        <w:rPr>
          <w:b/>
          <w:bCs/>
        </w:rPr>
        <w:t>and</w:t>
      </w:r>
      <w:r w:rsidRPr="00A412D5">
        <w:rPr>
          <w:b/>
          <w:bCs/>
          <w:vertAlign w:val="subscript"/>
        </w:rPr>
        <w:t xml:space="preserve"> </w:t>
      </w:r>
      <w:r w:rsidRPr="00A412D5">
        <w:rPr>
          <w:b/>
          <w:bCs/>
        </w:rPr>
        <w:t>P</w:t>
      </w:r>
      <w:r w:rsidRPr="00A412D5">
        <w:rPr>
          <w:b/>
          <w:bCs/>
          <w:vertAlign w:val="subscript"/>
        </w:rPr>
        <w:t>CMAX_H</w:t>
      </w:r>
      <w:r w:rsidRPr="00A412D5">
        <w:rPr>
          <w:b/>
          <w:bCs/>
          <w:lang w:eastAsia="ko-KR"/>
        </w:rPr>
        <w:t xml:space="preserve"> with </w:t>
      </w:r>
      <w:r>
        <w:rPr>
          <w:b/>
          <w:bCs/>
          <w:lang w:eastAsia="ko-KR"/>
        </w:rPr>
        <w:t>SUM</w:t>
      </w:r>
      <w:r w:rsidRPr="00A412D5">
        <w:rPr>
          <w:b/>
          <w:bCs/>
          <w:lang w:eastAsia="ko-KR"/>
        </w:rPr>
        <w:t>.</w:t>
      </w:r>
    </w:p>
    <w:p w14:paraId="10B5045A" w14:textId="5768BF66" w:rsidR="001E6E65" w:rsidRPr="00A412D5" w:rsidRDefault="001E6E65" w:rsidP="001E6E65">
      <w:pPr>
        <w:rPr>
          <w:b/>
          <w:bCs/>
          <w:lang w:eastAsia="ko-KR"/>
        </w:rPr>
      </w:pPr>
      <w:r w:rsidRPr="001E6E65">
        <w:rPr>
          <w:b/>
          <w:bCs/>
          <w:lang w:eastAsia="ko-KR"/>
        </w:rPr>
        <w:t xml:space="preserve">Alternative </w:t>
      </w:r>
      <w:r w:rsidRPr="007D3772">
        <w:rPr>
          <w:b/>
          <w:bCs/>
          <w:lang w:eastAsia="ko-KR"/>
        </w:rPr>
        <w:t>2: Replace</w:t>
      </w:r>
      <w:r w:rsidRPr="007D3772">
        <w:rPr>
          <w:rFonts w:cs="Arial"/>
          <w:b/>
          <w:bCs/>
        </w:rPr>
        <w:t xml:space="preserve"> </w:t>
      </w:r>
      <w:r w:rsidRPr="007D3772">
        <w:rPr>
          <w:b/>
          <w:bCs/>
          <w:lang w:bidi="bn-IN"/>
        </w:rPr>
        <w:t>P</w:t>
      </w:r>
      <w:r w:rsidRPr="007D3772">
        <w:rPr>
          <w:b/>
          <w:bCs/>
          <w:vertAlign w:val="subscript"/>
          <w:lang w:bidi="bn-IN"/>
        </w:rPr>
        <w:t>PowerClass</w:t>
      </w:r>
      <w:r w:rsidRPr="007D3772">
        <w:rPr>
          <w:b/>
          <w:bCs/>
          <w:lang w:eastAsia="ko-KR"/>
        </w:rPr>
        <w:t xml:space="preserve"> in both </w:t>
      </w:r>
      <w:r w:rsidRPr="007D3772">
        <w:rPr>
          <w:b/>
          <w:bCs/>
        </w:rPr>
        <w:t>P</w:t>
      </w:r>
      <w:r w:rsidRPr="007D3772">
        <w:rPr>
          <w:b/>
          <w:bCs/>
          <w:vertAlign w:val="subscript"/>
        </w:rPr>
        <w:t>CMAX_H</w:t>
      </w:r>
      <w:r w:rsidRPr="007D3772">
        <w:rPr>
          <w:b/>
          <w:bCs/>
          <w:lang w:eastAsia="ko-KR"/>
        </w:rPr>
        <w:t xml:space="preserve"> </w:t>
      </w:r>
      <w:r w:rsidRPr="007D3772">
        <w:rPr>
          <w:b/>
          <w:bCs/>
        </w:rPr>
        <w:t>and</w:t>
      </w:r>
      <w:r w:rsidRPr="007D3772">
        <w:rPr>
          <w:b/>
          <w:bCs/>
          <w:vertAlign w:val="subscript"/>
        </w:rPr>
        <w:t xml:space="preserve"> </w:t>
      </w:r>
      <w:r w:rsidRPr="007D3772">
        <w:rPr>
          <w:b/>
          <w:bCs/>
        </w:rPr>
        <w:t>P</w:t>
      </w:r>
      <w:r w:rsidRPr="007D3772">
        <w:rPr>
          <w:b/>
          <w:bCs/>
          <w:vertAlign w:val="subscript"/>
        </w:rPr>
        <w:t>CMAX_H</w:t>
      </w:r>
      <w:r w:rsidRPr="007D3772">
        <w:rPr>
          <w:b/>
          <w:bCs/>
          <w:lang w:eastAsia="ko-KR"/>
        </w:rPr>
        <w:t xml:space="preserve"> with SUM and relax the </w:t>
      </w:r>
      <w:r w:rsidRPr="007D3772">
        <w:rPr>
          <w:b/>
          <w:bCs/>
          <w:lang w:bidi="bn-IN"/>
        </w:rPr>
        <w:t>P</w:t>
      </w:r>
      <w:r w:rsidRPr="007D3772">
        <w:rPr>
          <w:b/>
          <w:bCs/>
          <w:vertAlign w:val="subscript"/>
          <w:lang w:bidi="bn-IN"/>
        </w:rPr>
        <w:t>PowerClass</w:t>
      </w:r>
      <w:r w:rsidRPr="007D3772">
        <w:rPr>
          <w:b/>
          <w:bCs/>
          <w:lang w:eastAsia="ko-KR"/>
        </w:rPr>
        <w:t xml:space="preserve"> in </w:t>
      </w:r>
      <w:r w:rsidRPr="007D3772">
        <w:rPr>
          <w:b/>
          <w:bCs/>
        </w:rPr>
        <w:t>P</w:t>
      </w:r>
      <w:r w:rsidRPr="007D3772">
        <w:rPr>
          <w:b/>
          <w:bCs/>
          <w:vertAlign w:val="subscript"/>
        </w:rPr>
        <w:t>CMAX_L</w:t>
      </w:r>
      <w:r w:rsidRPr="007D3772">
        <w:rPr>
          <w:b/>
          <w:bCs/>
          <w:lang w:eastAsia="ko-KR"/>
        </w:rPr>
        <w:t xml:space="preserve"> by the</w:t>
      </w:r>
      <w:r w:rsidRPr="007D3772">
        <w:rPr>
          <w:b/>
          <w:bCs/>
          <w:lang w:bidi="bn-IN"/>
        </w:rPr>
        <w:t xml:space="preserve"> P</w:t>
      </w:r>
      <w:r w:rsidRPr="007D3772">
        <w:rPr>
          <w:b/>
          <w:bCs/>
          <w:vertAlign w:val="subscript"/>
          <w:lang w:bidi="bn-IN"/>
        </w:rPr>
        <w:t>PowerClass</w:t>
      </w:r>
      <w:r w:rsidRPr="007D3772">
        <w:rPr>
          <w:b/>
          <w:bCs/>
          <w:lang w:eastAsia="ko-KR"/>
        </w:rPr>
        <w:t>(the sum)</w:t>
      </w:r>
      <w:r w:rsidRPr="001E6E65">
        <w:rPr>
          <w:b/>
          <w:bCs/>
          <w:lang w:eastAsia="ko-KR"/>
        </w:rPr>
        <w:t xml:space="preserve"> </w:t>
      </w:r>
      <w:r w:rsidRPr="007D3772">
        <w:rPr>
          <w:b/>
          <w:bCs/>
          <w:lang w:eastAsia="ko-KR"/>
        </w:rPr>
        <w:t>- MAX(PC for</w:t>
      </w:r>
      <w:r w:rsidRPr="00A412D5">
        <w:rPr>
          <w:b/>
          <w:bCs/>
          <w:lang w:eastAsia="ko-KR"/>
        </w:rPr>
        <w:t xml:space="preserve"> Band A, PC for Band B).</w:t>
      </w:r>
    </w:p>
    <w:p w14:paraId="08E8FE59" w14:textId="3F01D42C" w:rsidR="00F62561" w:rsidRPr="00A412D5" w:rsidRDefault="00276F69" w:rsidP="00F62561">
      <w:pPr>
        <w:pStyle w:val="Heading1"/>
      </w:pPr>
      <w:r w:rsidRPr="00A412D5">
        <w:t>5</w:t>
      </w:r>
      <w:r w:rsidR="00F62561" w:rsidRPr="00A412D5">
        <w:tab/>
        <w:t>References</w:t>
      </w:r>
    </w:p>
    <w:p w14:paraId="072CEF36" w14:textId="1A805285" w:rsidR="00E101DD" w:rsidRPr="00A412D5" w:rsidRDefault="00F62561" w:rsidP="002D746B">
      <w:r w:rsidRPr="00A412D5">
        <w:t xml:space="preserve">[1] </w:t>
      </w:r>
      <w:r w:rsidR="00F82F84" w:rsidRPr="00A412D5">
        <w:t>R4-2016439</w:t>
      </w:r>
      <w:r w:rsidRPr="00A412D5">
        <w:t xml:space="preserve">, </w:t>
      </w:r>
      <w:r w:rsidR="00F82F84" w:rsidRPr="00A412D5">
        <w:t>Upper limits on output power for dual PA</w:t>
      </w:r>
      <w:r w:rsidRPr="00A412D5">
        <w:t xml:space="preserve">, </w:t>
      </w:r>
      <w:r w:rsidR="00F82F84" w:rsidRPr="00A412D5">
        <w:t>Qualcomm Incorporated</w:t>
      </w:r>
    </w:p>
    <w:sectPr w:rsidR="00E101DD" w:rsidRPr="00A412D5"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FE601" w14:textId="77777777" w:rsidR="004E1F7C" w:rsidRDefault="004E1F7C" w:rsidP="002B3503">
      <w:pPr>
        <w:spacing w:after="0"/>
      </w:pPr>
      <w:r>
        <w:separator/>
      </w:r>
    </w:p>
  </w:endnote>
  <w:endnote w:type="continuationSeparator" w:id="0">
    <w:p w14:paraId="32D4F655" w14:textId="77777777" w:rsidR="004E1F7C" w:rsidRDefault="004E1F7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D3055" w14:textId="77777777" w:rsidR="004E1F7C" w:rsidRDefault="004E1F7C" w:rsidP="002B3503">
      <w:pPr>
        <w:spacing w:after="0"/>
      </w:pPr>
      <w:r>
        <w:separator/>
      </w:r>
    </w:p>
  </w:footnote>
  <w:footnote w:type="continuationSeparator" w:id="0">
    <w:p w14:paraId="3EEB8A3F" w14:textId="77777777" w:rsidR="004E1F7C" w:rsidRDefault="004E1F7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4E1F7C" w:rsidRDefault="004E1F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2"/>
  </w:num>
  <w:num w:numId="4">
    <w:abstractNumId w:val="21"/>
  </w:num>
  <w:num w:numId="5">
    <w:abstractNumId w:val="5"/>
  </w:num>
  <w:num w:numId="6">
    <w:abstractNumId w:val="20"/>
  </w:num>
  <w:num w:numId="7">
    <w:abstractNumId w:val="1"/>
  </w:num>
  <w:num w:numId="8">
    <w:abstractNumId w:val="22"/>
  </w:num>
  <w:num w:numId="9">
    <w:abstractNumId w:val="7"/>
  </w:num>
  <w:num w:numId="10">
    <w:abstractNumId w:val="2"/>
  </w:num>
  <w:num w:numId="11">
    <w:abstractNumId w:val="13"/>
  </w:num>
  <w:num w:numId="12">
    <w:abstractNumId w:val="24"/>
  </w:num>
  <w:num w:numId="13">
    <w:abstractNumId w:val="19"/>
  </w:num>
  <w:num w:numId="14">
    <w:abstractNumId w:val="4"/>
  </w:num>
  <w:num w:numId="15">
    <w:abstractNumId w:val="10"/>
  </w:num>
  <w:num w:numId="16">
    <w:abstractNumId w:val="14"/>
  </w:num>
  <w:num w:numId="17">
    <w:abstractNumId w:val="28"/>
  </w:num>
  <w:num w:numId="18">
    <w:abstractNumId w:val="0"/>
  </w:num>
  <w:num w:numId="19">
    <w:abstractNumId w:val="23"/>
  </w:num>
  <w:num w:numId="20">
    <w:abstractNumId w:val="6"/>
  </w:num>
  <w:num w:numId="21">
    <w:abstractNumId w:val="16"/>
  </w:num>
  <w:num w:numId="22">
    <w:abstractNumId w:val="11"/>
  </w:num>
  <w:num w:numId="23">
    <w:abstractNumId w:val="26"/>
  </w:num>
  <w:num w:numId="24">
    <w:abstractNumId w:val="18"/>
  </w:num>
  <w:num w:numId="25">
    <w:abstractNumId w:val="15"/>
  </w:num>
  <w:num w:numId="26">
    <w:abstractNumId w:val="32"/>
  </w:num>
  <w:num w:numId="27">
    <w:abstractNumId w:val="3"/>
  </w:num>
  <w:num w:numId="28">
    <w:abstractNumId w:val="34"/>
  </w:num>
  <w:num w:numId="29">
    <w:abstractNumId w:val="17"/>
  </w:num>
  <w:num w:numId="30">
    <w:abstractNumId w:val="29"/>
  </w:num>
  <w:num w:numId="31">
    <w:abstractNumId w:val="8"/>
  </w:num>
  <w:num w:numId="32">
    <w:abstractNumId w:val="33"/>
  </w:num>
  <w:num w:numId="33">
    <w:abstractNumId w:val="25"/>
  </w:num>
  <w:num w:numId="34">
    <w:abstractNumId w:val="3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7"/>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7321B"/>
    <w:rsid w:val="00091F0B"/>
    <w:rsid w:val="000A3CB6"/>
    <w:rsid w:val="000A6473"/>
    <w:rsid w:val="000A754F"/>
    <w:rsid w:val="000B4E56"/>
    <w:rsid w:val="000B5E8E"/>
    <w:rsid w:val="000D164D"/>
    <w:rsid w:val="000F2546"/>
    <w:rsid w:val="000F50EC"/>
    <w:rsid w:val="00101626"/>
    <w:rsid w:val="0012090A"/>
    <w:rsid w:val="00121553"/>
    <w:rsid w:val="00126055"/>
    <w:rsid w:val="0012612A"/>
    <w:rsid w:val="00136328"/>
    <w:rsid w:val="001364A1"/>
    <w:rsid w:val="00141324"/>
    <w:rsid w:val="001413C7"/>
    <w:rsid w:val="00142124"/>
    <w:rsid w:val="0015000E"/>
    <w:rsid w:val="001524E4"/>
    <w:rsid w:val="00154D1C"/>
    <w:rsid w:val="0016131F"/>
    <w:rsid w:val="001725F9"/>
    <w:rsid w:val="00177EFF"/>
    <w:rsid w:val="001953B8"/>
    <w:rsid w:val="001E413F"/>
    <w:rsid w:val="001E5D81"/>
    <w:rsid w:val="001E6E65"/>
    <w:rsid w:val="001F746E"/>
    <w:rsid w:val="002127E2"/>
    <w:rsid w:val="00214C87"/>
    <w:rsid w:val="00215035"/>
    <w:rsid w:val="00215E52"/>
    <w:rsid w:val="00236D19"/>
    <w:rsid w:val="00242B76"/>
    <w:rsid w:val="00242D06"/>
    <w:rsid w:val="00272473"/>
    <w:rsid w:val="00276F69"/>
    <w:rsid w:val="00291DDD"/>
    <w:rsid w:val="00294DA5"/>
    <w:rsid w:val="002A066E"/>
    <w:rsid w:val="002A7181"/>
    <w:rsid w:val="002B0EF3"/>
    <w:rsid w:val="002B3503"/>
    <w:rsid w:val="002D1B45"/>
    <w:rsid w:val="002D746B"/>
    <w:rsid w:val="002F3001"/>
    <w:rsid w:val="002F3595"/>
    <w:rsid w:val="002F6A38"/>
    <w:rsid w:val="003029F0"/>
    <w:rsid w:val="00345D7E"/>
    <w:rsid w:val="00347DEA"/>
    <w:rsid w:val="00364459"/>
    <w:rsid w:val="003777FE"/>
    <w:rsid w:val="00385942"/>
    <w:rsid w:val="003B3ABC"/>
    <w:rsid w:val="003D26B4"/>
    <w:rsid w:val="003E1884"/>
    <w:rsid w:val="00406D6C"/>
    <w:rsid w:val="00417963"/>
    <w:rsid w:val="00420548"/>
    <w:rsid w:val="0042109F"/>
    <w:rsid w:val="00422ABC"/>
    <w:rsid w:val="00426A90"/>
    <w:rsid w:val="00430A73"/>
    <w:rsid w:val="0043450E"/>
    <w:rsid w:val="00453BA5"/>
    <w:rsid w:val="00454E53"/>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517D"/>
    <w:rsid w:val="005000E8"/>
    <w:rsid w:val="0050020A"/>
    <w:rsid w:val="005018A8"/>
    <w:rsid w:val="005155DE"/>
    <w:rsid w:val="00517050"/>
    <w:rsid w:val="00530035"/>
    <w:rsid w:val="00533F46"/>
    <w:rsid w:val="0053656E"/>
    <w:rsid w:val="00560A63"/>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C59"/>
    <w:rsid w:val="005F31A5"/>
    <w:rsid w:val="005F4052"/>
    <w:rsid w:val="005F6108"/>
    <w:rsid w:val="005F6CE3"/>
    <w:rsid w:val="006026F2"/>
    <w:rsid w:val="00602EB6"/>
    <w:rsid w:val="00604DAE"/>
    <w:rsid w:val="00613AB3"/>
    <w:rsid w:val="00624CC0"/>
    <w:rsid w:val="00641C2E"/>
    <w:rsid w:val="00641E1F"/>
    <w:rsid w:val="00653629"/>
    <w:rsid w:val="00664AE9"/>
    <w:rsid w:val="00664DF6"/>
    <w:rsid w:val="00686BD8"/>
    <w:rsid w:val="00687537"/>
    <w:rsid w:val="006919C7"/>
    <w:rsid w:val="00697736"/>
    <w:rsid w:val="006A0E34"/>
    <w:rsid w:val="006B0708"/>
    <w:rsid w:val="006B6CB6"/>
    <w:rsid w:val="006C44A0"/>
    <w:rsid w:val="006C6840"/>
    <w:rsid w:val="006D43D1"/>
    <w:rsid w:val="006D63C8"/>
    <w:rsid w:val="006D701F"/>
    <w:rsid w:val="006E49D4"/>
    <w:rsid w:val="00702ED2"/>
    <w:rsid w:val="00703602"/>
    <w:rsid w:val="00713482"/>
    <w:rsid w:val="00726265"/>
    <w:rsid w:val="00734EBD"/>
    <w:rsid w:val="0074778D"/>
    <w:rsid w:val="00747F44"/>
    <w:rsid w:val="00757284"/>
    <w:rsid w:val="00757CFC"/>
    <w:rsid w:val="00771966"/>
    <w:rsid w:val="0077527C"/>
    <w:rsid w:val="00777A5C"/>
    <w:rsid w:val="00781F19"/>
    <w:rsid w:val="0079049E"/>
    <w:rsid w:val="007B7EA2"/>
    <w:rsid w:val="007C3D2F"/>
    <w:rsid w:val="007D1C54"/>
    <w:rsid w:val="007D20DF"/>
    <w:rsid w:val="007E0C29"/>
    <w:rsid w:val="007E530F"/>
    <w:rsid w:val="007E752F"/>
    <w:rsid w:val="007F6E08"/>
    <w:rsid w:val="00803510"/>
    <w:rsid w:val="00804160"/>
    <w:rsid w:val="00813258"/>
    <w:rsid w:val="008236E4"/>
    <w:rsid w:val="00846F0E"/>
    <w:rsid w:val="00850296"/>
    <w:rsid w:val="00871B4D"/>
    <w:rsid w:val="00881E35"/>
    <w:rsid w:val="00891F14"/>
    <w:rsid w:val="008926AE"/>
    <w:rsid w:val="00893D45"/>
    <w:rsid w:val="00894106"/>
    <w:rsid w:val="00895E24"/>
    <w:rsid w:val="008A4493"/>
    <w:rsid w:val="008A635A"/>
    <w:rsid w:val="008B72EE"/>
    <w:rsid w:val="008D12E4"/>
    <w:rsid w:val="00901158"/>
    <w:rsid w:val="0091383D"/>
    <w:rsid w:val="00914AA9"/>
    <w:rsid w:val="009157FA"/>
    <w:rsid w:val="0092439E"/>
    <w:rsid w:val="009342E0"/>
    <w:rsid w:val="00940559"/>
    <w:rsid w:val="00966126"/>
    <w:rsid w:val="009922F2"/>
    <w:rsid w:val="00996062"/>
    <w:rsid w:val="009A1B59"/>
    <w:rsid w:val="009B1E68"/>
    <w:rsid w:val="009B6543"/>
    <w:rsid w:val="009B7F2A"/>
    <w:rsid w:val="009D0290"/>
    <w:rsid w:val="009E38F4"/>
    <w:rsid w:val="00A03C3D"/>
    <w:rsid w:val="00A05A14"/>
    <w:rsid w:val="00A115AF"/>
    <w:rsid w:val="00A16F72"/>
    <w:rsid w:val="00A412D5"/>
    <w:rsid w:val="00A451E8"/>
    <w:rsid w:val="00A6018C"/>
    <w:rsid w:val="00A649C8"/>
    <w:rsid w:val="00A83B5D"/>
    <w:rsid w:val="00A925DB"/>
    <w:rsid w:val="00AA3CD1"/>
    <w:rsid w:val="00AB3FAE"/>
    <w:rsid w:val="00AB4684"/>
    <w:rsid w:val="00AD0CC8"/>
    <w:rsid w:val="00AD0F48"/>
    <w:rsid w:val="00AD7B8E"/>
    <w:rsid w:val="00AE1D3D"/>
    <w:rsid w:val="00AE52A5"/>
    <w:rsid w:val="00AE6327"/>
    <w:rsid w:val="00AF7CB0"/>
    <w:rsid w:val="00B1615C"/>
    <w:rsid w:val="00B20B99"/>
    <w:rsid w:val="00B2349C"/>
    <w:rsid w:val="00B4385F"/>
    <w:rsid w:val="00B60363"/>
    <w:rsid w:val="00B65B59"/>
    <w:rsid w:val="00B72408"/>
    <w:rsid w:val="00B77164"/>
    <w:rsid w:val="00BA303F"/>
    <w:rsid w:val="00BC228C"/>
    <w:rsid w:val="00BC2924"/>
    <w:rsid w:val="00BC764C"/>
    <w:rsid w:val="00BF4B17"/>
    <w:rsid w:val="00C07A46"/>
    <w:rsid w:val="00C17B19"/>
    <w:rsid w:val="00C21554"/>
    <w:rsid w:val="00C30772"/>
    <w:rsid w:val="00C3087E"/>
    <w:rsid w:val="00C45DB3"/>
    <w:rsid w:val="00C47C9F"/>
    <w:rsid w:val="00C60CEF"/>
    <w:rsid w:val="00C81190"/>
    <w:rsid w:val="00C83E86"/>
    <w:rsid w:val="00C91EE2"/>
    <w:rsid w:val="00CB607B"/>
    <w:rsid w:val="00CC2754"/>
    <w:rsid w:val="00CC277F"/>
    <w:rsid w:val="00CE241D"/>
    <w:rsid w:val="00CE4E40"/>
    <w:rsid w:val="00CE699C"/>
    <w:rsid w:val="00D07626"/>
    <w:rsid w:val="00D275CC"/>
    <w:rsid w:val="00D348C6"/>
    <w:rsid w:val="00D34A7A"/>
    <w:rsid w:val="00D40AED"/>
    <w:rsid w:val="00D44EB4"/>
    <w:rsid w:val="00D546CC"/>
    <w:rsid w:val="00D57C62"/>
    <w:rsid w:val="00D64074"/>
    <w:rsid w:val="00D767C4"/>
    <w:rsid w:val="00D77CF5"/>
    <w:rsid w:val="00D85C29"/>
    <w:rsid w:val="00DA03D6"/>
    <w:rsid w:val="00DA1BED"/>
    <w:rsid w:val="00DA4A61"/>
    <w:rsid w:val="00DA7396"/>
    <w:rsid w:val="00DA745E"/>
    <w:rsid w:val="00DC54FF"/>
    <w:rsid w:val="00DE00CF"/>
    <w:rsid w:val="00DE3EDB"/>
    <w:rsid w:val="00DF1DEC"/>
    <w:rsid w:val="00DF302A"/>
    <w:rsid w:val="00E014E2"/>
    <w:rsid w:val="00E03EF1"/>
    <w:rsid w:val="00E101DD"/>
    <w:rsid w:val="00E2059F"/>
    <w:rsid w:val="00E23850"/>
    <w:rsid w:val="00E332C0"/>
    <w:rsid w:val="00E33B68"/>
    <w:rsid w:val="00E36095"/>
    <w:rsid w:val="00E67197"/>
    <w:rsid w:val="00E87EDC"/>
    <w:rsid w:val="00E962C5"/>
    <w:rsid w:val="00EA3488"/>
    <w:rsid w:val="00EB0D8A"/>
    <w:rsid w:val="00EB5F7D"/>
    <w:rsid w:val="00EC2826"/>
    <w:rsid w:val="00EC589F"/>
    <w:rsid w:val="00EC6665"/>
    <w:rsid w:val="00ED54F1"/>
    <w:rsid w:val="00ED5B5A"/>
    <w:rsid w:val="00EE0298"/>
    <w:rsid w:val="00EE5885"/>
    <w:rsid w:val="00EE6657"/>
    <w:rsid w:val="00EF2401"/>
    <w:rsid w:val="00EF45DB"/>
    <w:rsid w:val="00F562CA"/>
    <w:rsid w:val="00F62561"/>
    <w:rsid w:val="00F646D5"/>
    <w:rsid w:val="00F648B5"/>
    <w:rsid w:val="00F7023C"/>
    <w:rsid w:val="00F7226A"/>
    <w:rsid w:val="00F82F84"/>
    <w:rsid w:val="00F97D64"/>
    <w:rsid w:val="00FA723F"/>
    <w:rsid w:val="00FC0A09"/>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2021-04-01T08:02:00Z</dcterms:created>
  <dcterms:modified xsi:type="dcterms:W3CDTF">2021-04-01T08:02:00Z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