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3A57A" w14:textId="0EB82294" w:rsidR="00B66DD7" w:rsidRDefault="00B66DD7" w:rsidP="00B66DD7">
      <w:pPr>
        <w:pStyle w:val="CRCoverPage"/>
        <w:tabs>
          <w:tab w:val="right" w:pos="9639"/>
        </w:tabs>
        <w:spacing w:after="0"/>
        <w:rPr>
          <w:b/>
          <w:i/>
          <w:noProof/>
          <w:sz w:val="28"/>
        </w:rPr>
      </w:pPr>
      <w:bookmarkStart w:id="0" w:name="_Toc2086435"/>
      <w:r w:rsidRPr="007977C4">
        <w:rPr>
          <w:b/>
          <w:noProof/>
          <w:sz w:val="24"/>
        </w:rPr>
        <w:t>3GPP TSG-RAN WG4 Meeting #9</w:t>
      </w:r>
      <w:r>
        <w:rPr>
          <w:b/>
          <w:noProof/>
          <w:sz w:val="24"/>
        </w:rPr>
        <w:t>8</w:t>
      </w:r>
      <w:r w:rsidRPr="007977C4">
        <w:rPr>
          <w:b/>
          <w:noProof/>
          <w:sz w:val="24"/>
        </w:rPr>
        <w:t>-e</w:t>
      </w:r>
      <w:r>
        <w:rPr>
          <w:b/>
          <w:i/>
          <w:noProof/>
          <w:sz w:val="28"/>
        </w:rPr>
        <w:tab/>
      </w:r>
      <w:r w:rsidR="00C6473B" w:rsidRPr="00C6473B">
        <w:rPr>
          <w:b/>
          <w:i/>
          <w:noProof/>
          <w:sz w:val="28"/>
        </w:rPr>
        <w:t>R4-2101864</w:t>
      </w:r>
    </w:p>
    <w:p w14:paraId="35A2B6F2" w14:textId="0604B8F2" w:rsidR="0044364B" w:rsidRPr="00B66DD7" w:rsidRDefault="00B66DD7" w:rsidP="00B66DD7">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C73F3B">
        <w:rPr>
          <w:rFonts w:cs="Arial"/>
          <w:b/>
          <w:sz w:val="24"/>
          <w:szCs w:val="24"/>
        </w:rPr>
        <w:t>-</w:t>
      </w:r>
      <w:bookmarkStart w:id="1" w:name="_GoBack"/>
      <w:bookmarkEnd w:id="1"/>
      <w:r>
        <w:rPr>
          <w:rFonts w:cs="Arial"/>
          <w:b/>
          <w:sz w:val="24"/>
          <w:szCs w:val="24"/>
        </w:rPr>
        <w:t xml:space="preserve">Jan -- </w:t>
      </w:r>
      <w:r w:rsidRPr="001C59E2">
        <w:rPr>
          <w:rFonts w:cs="Arial"/>
          <w:b/>
          <w:sz w:val="24"/>
          <w:szCs w:val="24"/>
        </w:rPr>
        <w:t xml:space="preserve"> </w:t>
      </w:r>
      <w:r w:rsidR="00C73F3B">
        <w:rPr>
          <w:rFonts w:cs="Arial"/>
          <w:b/>
          <w:sz w:val="24"/>
          <w:szCs w:val="24"/>
        </w:rPr>
        <w:t>5</w:t>
      </w:r>
      <w:r>
        <w:rPr>
          <w:rFonts w:cs="Arial"/>
          <w:b/>
          <w:sz w:val="24"/>
          <w:szCs w:val="24"/>
        </w:rPr>
        <w:t>-Feb,</w:t>
      </w:r>
      <w:r w:rsidRPr="003938A3">
        <w:rPr>
          <w:b/>
          <w:noProof/>
          <w:sz w:val="24"/>
        </w:rPr>
        <w:t xml:space="preserve"> 202</w:t>
      </w:r>
      <w:r>
        <w:rPr>
          <w:b/>
          <w:noProof/>
          <w:sz w:val="24"/>
        </w:rPr>
        <w:t>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0D0A0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0D0A04">
        <w:rPr>
          <w:rFonts w:ascii="Arial" w:hAnsi="Arial" w:cs="Arial"/>
          <w:bCs/>
          <w:lang w:val="en-US"/>
        </w:rPr>
        <w:t>Ericsson</w:t>
      </w:r>
    </w:p>
    <w:p w14:paraId="0762B6CB" w14:textId="0CB2753C" w:rsidR="0044364B" w:rsidRPr="000D0A04" w:rsidRDefault="0044364B" w:rsidP="0044364B">
      <w:pPr>
        <w:spacing w:after="120"/>
        <w:ind w:left="1985" w:hanging="1985"/>
        <w:rPr>
          <w:rFonts w:ascii="Arial" w:hAnsi="Arial" w:cs="Arial"/>
          <w:bCs/>
          <w:lang w:val="en-US"/>
        </w:rPr>
      </w:pPr>
      <w:r w:rsidRPr="000D0A04">
        <w:rPr>
          <w:rFonts w:ascii="Arial" w:hAnsi="Arial" w:cs="Arial"/>
          <w:b/>
          <w:lang w:val="en-US"/>
        </w:rPr>
        <w:t>Title:</w:t>
      </w:r>
      <w:r w:rsidRPr="000D0A04">
        <w:rPr>
          <w:rFonts w:ascii="Arial" w:hAnsi="Arial" w:cs="Arial"/>
          <w:lang w:val="en-US"/>
        </w:rPr>
        <w:tab/>
      </w:r>
      <w:r w:rsidR="00D52F40">
        <w:rPr>
          <w:rFonts w:ascii="Arial" w:hAnsi="Arial" w:cs="Arial"/>
          <w:bCs/>
          <w:lang w:val="en-US"/>
        </w:rPr>
        <w:t>Architecture and reference point</w:t>
      </w:r>
    </w:p>
    <w:p w14:paraId="710B5126" w14:textId="57E37B20" w:rsidR="00D12A57" w:rsidRPr="000D0A04" w:rsidRDefault="006C1584" w:rsidP="00D12A57">
      <w:pPr>
        <w:spacing w:after="120"/>
        <w:ind w:left="1985" w:hanging="1985"/>
        <w:rPr>
          <w:rFonts w:ascii="Arial" w:hAnsi="Arial" w:cs="Arial"/>
          <w:b/>
          <w:lang w:val="en-US"/>
        </w:rPr>
      </w:pPr>
      <w:r w:rsidRPr="000D0A04">
        <w:rPr>
          <w:rFonts w:ascii="Arial" w:hAnsi="Arial" w:cs="Arial"/>
          <w:b/>
          <w:lang w:val="en-US"/>
        </w:rPr>
        <w:t>Agenda item:</w:t>
      </w:r>
      <w:r w:rsidR="00D12A57" w:rsidRPr="000D0A04">
        <w:rPr>
          <w:rFonts w:ascii="Arial" w:hAnsi="Arial" w:cs="Arial"/>
          <w:lang w:val="en-US"/>
        </w:rPr>
        <w:tab/>
      </w:r>
      <w:r w:rsidR="00CB142E" w:rsidRPr="000D0A04">
        <w:rPr>
          <w:rFonts w:ascii="Arial" w:hAnsi="Arial" w:cs="Arial"/>
          <w:bCs/>
          <w:lang w:val="en-US"/>
        </w:rPr>
        <w:t>11.8.4.</w:t>
      </w:r>
      <w:r w:rsidR="004D4CED">
        <w:rPr>
          <w:rFonts w:ascii="Arial" w:hAnsi="Arial" w:cs="Arial"/>
          <w:bCs/>
          <w:lang w:val="en-US"/>
        </w:rPr>
        <w:t>1</w:t>
      </w:r>
    </w:p>
    <w:p w14:paraId="5A3522FA" w14:textId="51C058D7" w:rsidR="00080512" w:rsidRPr="009C3E5A" w:rsidRDefault="006C1584" w:rsidP="009C3E5A">
      <w:pPr>
        <w:spacing w:after="120"/>
        <w:ind w:left="1985" w:hanging="1985"/>
        <w:rPr>
          <w:rFonts w:ascii="Arial" w:hAnsi="Arial" w:cs="Arial"/>
          <w:b/>
          <w:lang w:val="en-US"/>
        </w:rPr>
      </w:pPr>
      <w:r w:rsidRPr="000D0A04">
        <w:rPr>
          <w:rFonts w:ascii="Arial" w:hAnsi="Arial" w:cs="Arial"/>
          <w:b/>
          <w:lang w:val="en-US"/>
        </w:rPr>
        <w:t>Document for:</w:t>
      </w:r>
      <w:r w:rsidR="00D12A57" w:rsidRPr="000D0A04">
        <w:rPr>
          <w:rFonts w:ascii="Arial" w:hAnsi="Arial" w:cs="Arial"/>
          <w:lang w:val="en-US"/>
        </w:rPr>
        <w:tab/>
      </w:r>
      <w:r w:rsidR="000D0A04" w:rsidRPr="000D0A04">
        <w:rPr>
          <w:rFonts w:ascii="Arial" w:hAnsi="Arial" w:cs="Arial"/>
          <w:lang w:val="en-US"/>
        </w:rPr>
        <w:t>A</w:t>
      </w:r>
      <w:r w:rsidRPr="000D0A04">
        <w:rPr>
          <w:rFonts w:ascii="Arial" w:hAnsi="Arial" w:cs="Arial"/>
          <w:bCs/>
          <w:lang w:val="en-US"/>
        </w:rPr>
        <w:t>pproval</w:t>
      </w:r>
      <w:bookmarkEnd w:id="0"/>
    </w:p>
    <w:p w14:paraId="438BBA8B" w14:textId="4D97A487" w:rsidR="00080512" w:rsidRDefault="00985F99">
      <w:pPr>
        <w:pStyle w:val="Heading1"/>
        <w:rPr>
          <w:lang w:val="en-US"/>
        </w:rPr>
      </w:pPr>
      <w:bookmarkStart w:id="2" w:name="clause4"/>
      <w:bookmarkStart w:id="3" w:name="_Toc2086441"/>
      <w:bookmarkEnd w:id="2"/>
      <w:r>
        <w:rPr>
          <w:lang w:val="en-US"/>
        </w:rPr>
        <w:t>1</w:t>
      </w:r>
      <w:r w:rsidR="00080512" w:rsidRPr="006C1584">
        <w:rPr>
          <w:lang w:val="en-US"/>
        </w:rPr>
        <w:tab/>
      </w:r>
      <w:bookmarkEnd w:id="3"/>
      <w:r w:rsidR="00B93FB3">
        <w:rPr>
          <w:lang w:val="en-US"/>
        </w:rPr>
        <w:t>Introduction</w:t>
      </w:r>
    </w:p>
    <w:p w14:paraId="4D8F9D58" w14:textId="33D6C5F5" w:rsidR="00B515DD" w:rsidRDefault="00B515DD" w:rsidP="00B515DD">
      <w:pPr>
        <w:rPr>
          <w:lang w:val="en-US"/>
        </w:rPr>
      </w:pPr>
      <w:r>
        <w:rPr>
          <w:lang w:val="en-US"/>
        </w:rPr>
        <w:t>In the approved Work Plan [1], we have</w:t>
      </w:r>
      <w:r w:rsidR="003E4357">
        <w:rPr>
          <w:lang w:val="en-US"/>
        </w:rPr>
        <w:t xml:space="preserve"> the following plan for RAN4#98-e meeting</w:t>
      </w:r>
      <w:r>
        <w:rPr>
          <w:lang w:val="en-US"/>
        </w:rPr>
        <w:t>:</w:t>
      </w:r>
    </w:p>
    <w:tbl>
      <w:tblPr>
        <w:tblStyle w:val="TableGrid"/>
        <w:tblW w:w="0" w:type="auto"/>
        <w:tblLook w:val="04A0" w:firstRow="1" w:lastRow="0" w:firstColumn="1" w:lastColumn="0" w:noHBand="0" w:noVBand="1"/>
      </w:tblPr>
      <w:tblGrid>
        <w:gridCol w:w="9631"/>
      </w:tblGrid>
      <w:tr w:rsidR="00B515DD" w14:paraId="1EDAEAF1" w14:textId="77777777" w:rsidTr="00B515DD">
        <w:tc>
          <w:tcPr>
            <w:tcW w:w="9631" w:type="dxa"/>
          </w:tcPr>
          <w:p w14:paraId="0524EACA" w14:textId="16C72B69" w:rsidR="003E4357" w:rsidRPr="00383632" w:rsidRDefault="003E4357" w:rsidP="003E4357">
            <w:pPr>
              <w:rPr>
                <w:b/>
                <w:lang w:eastAsia="zh-CN"/>
              </w:rPr>
            </w:pPr>
            <w:r>
              <w:rPr>
                <w:b/>
                <w:lang w:eastAsia="zh-CN"/>
              </w:rPr>
              <w:br/>
              <w:t>25 January</w:t>
            </w:r>
            <w:r>
              <w:rPr>
                <w:b/>
                <w:vertAlign w:val="superscript"/>
                <w:lang w:eastAsia="zh-CN"/>
              </w:rPr>
              <w:t>-</w:t>
            </w:r>
            <w:r>
              <w:rPr>
                <w:b/>
                <w:lang w:eastAsia="zh-CN"/>
              </w:rPr>
              <w:t>5 February</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98-e</w:t>
            </w:r>
            <w:r w:rsidRPr="00383632">
              <w:rPr>
                <w:b/>
                <w:lang w:eastAsia="zh-CN"/>
              </w:rPr>
              <w:t>, e-meeting</w:t>
            </w:r>
          </w:p>
          <w:p w14:paraId="744FEF2B" w14:textId="77777777" w:rsidR="003E4357" w:rsidRDefault="003E4357" w:rsidP="003E4357">
            <w:pPr>
              <w:numPr>
                <w:ilvl w:val="0"/>
                <w:numId w:val="11"/>
              </w:numPr>
              <w:autoSpaceDE w:val="0"/>
              <w:autoSpaceDN w:val="0"/>
              <w:adjustRightInd w:val="0"/>
              <w:snapToGrid w:val="0"/>
              <w:spacing w:after="120"/>
              <w:jc w:val="both"/>
              <w:rPr>
                <w:lang w:eastAsia="zh-CN"/>
              </w:rPr>
            </w:pPr>
            <w:r w:rsidRPr="00A902A8">
              <w:rPr>
                <w:lang w:eastAsia="zh-CN"/>
              </w:rPr>
              <w:t>Agree on use cases</w:t>
            </w:r>
            <w:r>
              <w:rPr>
                <w:lang w:eastAsia="zh-CN"/>
              </w:rPr>
              <w:t xml:space="preserve"> &amp; scenarios</w:t>
            </w:r>
          </w:p>
          <w:p w14:paraId="39972FC5" w14:textId="77777777" w:rsidR="003E4357" w:rsidRDefault="003E4357" w:rsidP="003E4357">
            <w:pPr>
              <w:numPr>
                <w:ilvl w:val="0"/>
                <w:numId w:val="11"/>
              </w:numPr>
              <w:autoSpaceDE w:val="0"/>
              <w:autoSpaceDN w:val="0"/>
              <w:adjustRightInd w:val="0"/>
              <w:snapToGrid w:val="0"/>
              <w:spacing w:after="120"/>
              <w:jc w:val="both"/>
              <w:rPr>
                <w:lang w:eastAsia="zh-CN"/>
              </w:rPr>
            </w:pPr>
            <w:r>
              <w:rPr>
                <w:lang w:eastAsia="zh-CN"/>
              </w:rPr>
              <w:t xml:space="preserve">Target Agreement on the </w:t>
            </w:r>
            <w:r w:rsidRPr="00A902A8">
              <w:rPr>
                <w:lang w:eastAsia="zh-CN"/>
              </w:rPr>
              <w:t>exemplary band</w:t>
            </w:r>
            <w:r>
              <w:rPr>
                <w:lang w:eastAsia="zh-CN"/>
              </w:rPr>
              <w:t>.</w:t>
            </w:r>
          </w:p>
          <w:p w14:paraId="781068D0" w14:textId="77777777" w:rsidR="003E4357" w:rsidRPr="003E4357" w:rsidRDefault="003E4357" w:rsidP="003E4357">
            <w:pPr>
              <w:numPr>
                <w:ilvl w:val="0"/>
                <w:numId w:val="11"/>
              </w:numPr>
              <w:autoSpaceDE w:val="0"/>
              <w:autoSpaceDN w:val="0"/>
              <w:adjustRightInd w:val="0"/>
              <w:snapToGrid w:val="0"/>
              <w:spacing w:after="120"/>
              <w:jc w:val="both"/>
              <w:rPr>
                <w:highlight w:val="yellow"/>
                <w:lang w:eastAsia="zh-CN"/>
              </w:rPr>
            </w:pPr>
            <w:r w:rsidRPr="003E4357">
              <w:rPr>
                <w:highlight w:val="yellow"/>
                <w:lang w:eastAsia="zh-CN"/>
              </w:rPr>
              <w:t>Further discuss and align on NTN architecture and NTN components description</w:t>
            </w:r>
          </w:p>
          <w:p w14:paraId="1DD566F1" w14:textId="6734CAEF" w:rsidR="00B515DD" w:rsidRPr="003E4357" w:rsidRDefault="003E4357" w:rsidP="00B515DD">
            <w:pPr>
              <w:numPr>
                <w:ilvl w:val="0"/>
                <w:numId w:val="11"/>
              </w:numPr>
              <w:autoSpaceDE w:val="0"/>
              <w:autoSpaceDN w:val="0"/>
              <w:adjustRightInd w:val="0"/>
              <w:snapToGrid w:val="0"/>
              <w:spacing w:after="120"/>
              <w:jc w:val="both"/>
              <w:rPr>
                <w:lang w:eastAsia="zh-CN"/>
              </w:rPr>
            </w:pPr>
            <w:r w:rsidRPr="00B81CB1">
              <w:rPr>
                <w:lang w:eastAsia="zh-CN"/>
              </w:rPr>
              <w:t xml:space="preserve">Initial discussion on </w:t>
            </w:r>
            <w:r>
              <w:rPr>
                <w:lang w:eastAsia="zh-CN"/>
              </w:rPr>
              <w:t>coexistence study scenarios to be considered and related simulations assumptions</w:t>
            </w:r>
            <w:r w:rsidRPr="00B81CB1">
              <w:rPr>
                <w:lang w:eastAsia="zh-CN"/>
              </w:rPr>
              <w:t>.</w:t>
            </w:r>
            <w:r>
              <w:rPr>
                <w:lang w:eastAsia="zh-CN"/>
              </w:rPr>
              <w:br/>
            </w:r>
          </w:p>
        </w:tc>
      </w:tr>
    </w:tbl>
    <w:p w14:paraId="7A481E3C" w14:textId="42CFDBA6" w:rsidR="00DF14D5" w:rsidRDefault="00DF14D5" w:rsidP="00B515DD">
      <w:pPr>
        <w:rPr>
          <w:lang w:val="en-US"/>
        </w:rPr>
      </w:pPr>
    </w:p>
    <w:p w14:paraId="3B2A40C1" w14:textId="78BE2EF5" w:rsidR="00DF14D5" w:rsidRDefault="00DF14D5" w:rsidP="00B515DD">
      <w:pPr>
        <w:rPr>
          <w:lang w:val="en-US"/>
        </w:rPr>
      </w:pPr>
      <w:r>
        <w:rPr>
          <w:lang w:val="en-US"/>
        </w:rPr>
        <w:t xml:space="preserve">In this contribution, we would like to discuss the availability to NTN system design of the GW position, given the context of </w:t>
      </w:r>
      <w:r w:rsidRPr="00DF14D5">
        <w:rPr>
          <w:lang w:val="en-US"/>
        </w:rPr>
        <w:t>align</w:t>
      </w:r>
      <w:r>
        <w:rPr>
          <w:lang w:val="en-US"/>
        </w:rPr>
        <w:t>ment</w:t>
      </w:r>
      <w:r w:rsidRPr="00DF14D5">
        <w:rPr>
          <w:lang w:val="en-US"/>
        </w:rPr>
        <w:t xml:space="preserve"> on NTN architecture and NTN components description</w:t>
      </w:r>
      <w:r>
        <w:rPr>
          <w:lang w:val="en-US"/>
        </w:rPr>
        <w:t>.</w:t>
      </w:r>
    </w:p>
    <w:p w14:paraId="68C69748" w14:textId="15272D11" w:rsidR="00AF58CB" w:rsidRDefault="00AF58CB" w:rsidP="00B515DD">
      <w:pPr>
        <w:rPr>
          <w:lang w:val="en-US"/>
        </w:rPr>
      </w:pPr>
      <w:r>
        <w:rPr>
          <w:lang w:val="en-US"/>
        </w:rPr>
        <w:t>The question of the reference point was decided to be decided by RAN1 in approved WF from RAN4#97-e:</w:t>
      </w:r>
    </w:p>
    <w:tbl>
      <w:tblPr>
        <w:tblStyle w:val="TableGrid"/>
        <w:tblW w:w="0" w:type="auto"/>
        <w:tblLook w:val="04A0" w:firstRow="1" w:lastRow="0" w:firstColumn="1" w:lastColumn="0" w:noHBand="0" w:noVBand="1"/>
      </w:tblPr>
      <w:tblGrid>
        <w:gridCol w:w="9631"/>
      </w:tblGrid>
      <w:tr w:rsidR="00AF58CB" w14:paraId="25B3906D" w14:textId="77777777" w:rsidTr="00AF58CB">
        <w:tc>
          <w:tcPr>
            <w:tcW w:w="9631" w:type="dxa"/>
          </w:tcPr>
          <w:p w14:paraId="0611D92A" w14:textId="77777777" w:rsidR="00AF58CB" w:rsidRDefault="00AF58CB" w:rsidP="00B515DD">
            <w:pPr>
              <w:rPr>
                <w:lang w:val="en-US"/>
              </w:rPr>
            </w:pPr>
          </w:p>
          <w:p w14:paraId="76C0E377" w14:textId="77777777" w:rsidR="00AF58CB" w:rsidRPr="00AF58CB" w:rsidRDefault="00AF58CB" w:rsidP="00AF58CB">
            <w:pPr>
              <w:numPr>
                <w:ilvl w:val="0"/>
                <w:numId w:val="13"/>
              </w:numPr>
              <w:rPr>
                <w:lang w:val="sv-SE"/>
              </w:rPr>
            </w:pPr>
            <w:r w:rsidRPr="00AF58CB">
              <w:rPr>
                <w:lang w:val="en-US"/>
              </w:rPr>
              <w:t xml:space="preserve">Select and define NTN use cases and scenarios. Please also refer to </w:t>
            </w:r>
            <w:r w:rsidRPr="00AF58CB">
              <w:t>[97e][312] NTN_Solutions.</w:t>
            </w:r>
          </w:p>
          <w:p w14:paraId="60E3453D" w14:textId="77777777" w:rsidR="00AF58CB" w:rsidRPr="00AF58CB" w:rsidRDefault="00AF58CB" w:rsidP="00AF58CB">
            <w:pPr>
              <w:numPr>
                <w:ilvl w:val="1"/>
                <w:numId w:val="13"/>
              </w:numPr>
              <w:rPr>
                <w:lang w:val="sv-SE"/>
              </w:rPr>
            </w:pPr>
            <w:r w:rsidRPr="00AF58CB">
              <w:rPr>
                <w:lang w:val="en-US"/>
              </w:rPr>
              <w:t>Explanation: NTN use cases and scenarios to be selected and further defined in accordance with RAN4 RF session.</w:t>
            </w:r>
          </w:p>
          <w:p w14:paraId="09E41C7D" w14:textId="77777777" w:rsidR="00AF58CB" w:rsidRPr="00AF58CB" w:rsidRDefault="00AF58CB" w:rsidP="00AF58CB">
            <w:pPr>
              <w:numPr>
                <w:ilvl w:val="1"/>
                <w:numId w:val="13"/>
              </w:numPr>
              <w:rPr>
                <w:lang w:val="sv-SE"/>
              </w:rPr>
            </w:pPr>
            <w:r w:rsidRPr="00AF58CB">
              <w:rPr>
                <w:lang w:val="en-US"/>
              </w:rPr>
              <w:t>No concern raised so far</w:t>
            </w:r>
          </w:p>
          <w:p w14:paraId="0F25AD66" w14:textId="77777777" w:rsidR="00AF58CB" w:rsidRPr="00AF58CB" w:rsidRDefault="00AF58CB" w:rsidP="00AF58CB">
            <w:pPr>
              <w:numPr>
                <w:ilvl w:val="0"/>
                <w:numId w:val="14"/>
              </w:numPr>
              <w:rPr>
                <w:highlight w:val="yellow"/>
                <w:lang w:val="sv-SE"/>
              </w:rPr>
            </w:pPr>
            <w:r w:rsidRPr="00AF58CB">
              <w:rPr>
                <w:highlight w:val="yellow"/>
                <w:lang w:val="en-US"/>
              </w:rPr>
              <w:t>Wait for the Reference Point (RP) to be defined by RAN1.</w:t>
            </w:r>
          </w:p>
          <w:p w14:paraId="3379C832" w14:textId="77777777" w:rsidR="00AF58CB" w:rsidRPr="00AF58CB" w:rsidRDefault="00AF58CB" w:rsidP="00AF58CB">
            <w:pPr>
              <w:numPr>
                <w:ilvl w:val="1"/>
                <w:numId w:val="14"/>
              </w:numPr>
              <w:rPr>
                <w:highlight w:val="yellow"/>
                <w:lang w:val="sv-SE"/>
              </w:rPr>
            </w:pPr>
            <w:r w:rsidRPr="00AF58CB">
              <w:rPr>
                <w:highlight w:val="yellow"/>
                <w:lang w:val="en-US"/>
              </w:rPr>
              <w:t>No concern raised so far</w:t>
            </w:r>
          </w:p>
          <w:p w14:paraId="0280E3E6" w14:textId="768276BB" w:rsidR="00AF58CB" w:rsidRDefault="00AF58CB" w:rsidP="00B515DD">
            <w:pPr>
              <w:rPr>
                <w:lang w:val="en-US"/>
              </w:rPr>
            </w:pPr>
          </w:p>
        </w:tc>
      </w:tr>
    </w:tbl>
    <w:p w14:paraId="1AF89E93" w14:textId="6AC6B5AE" w:rsidR="00AF58CB" w:rsidRDefault="00AF58CB" w:rsidP="00B515DD">
      <w:pPr>
        <w:rPr>
          <w:lang w:val="en-US"/>
        </w:rPr>
      </w:pPr>
    </w:p>
    <w:p w14:paraId="6434B145" w14:textId="3462D9C0" w:rsidR="00AF58CB" w:rsidRPr="00B515DD" w:rsidRDefault="00AF58CB" w:rsidP="00B515DD">
      <w:pPr>
        <w:rPr>
          <w:lang w:val="en-US"/>
        </w:rPr>
      </w:pPr>
      <w:r>
        <w:rPr>
          <w:lang w:val="en-US"/>
        </w:rPr>
        <w:t>However it is still feasible for RAN4 to do analysis and forward information to RAN1.</w:t>
      </w:r>
    </w:p>
    <w:p w14:paraId="714B9F1C" w14:textId="65A38156" w:rsidR="006A22F4" w:rsidRDefault="006A22F4" w:rsidP="006A22F4">
      <w:pPr>
        <w:pStyle w:val="Heading1"/>
        <w:rPr>
          <w:lang w:val="en-US"/>
        </w:rPr>
      </w:pPr>
      <w:r>
        <w:rPr>
          <w:lang w:val="en-US"/>
        </w:rPr>
        <w:t>2</w:t>
      </w:r>
      <w:r>
        <w:rPr>
          <w:lang w:val="en-US"/>
        </w:rPr>
        <w:tab/>
      </w:r>
      <w:r w:rsidR="00B515DD">
        <w:rPr>
          <w:lang w:val="en-US"/>
        </w:rPr>
        <w:t>GW position</w:t>
      </w:r>
    </w:p>
    <w:p w14:paraId="4CA59A88" w14:textId="0B595AB3" w:rsidR="00EA2A9F" w:rsidRPr="00EA2A9F" w:rsidRDefault="00EA2A9F" w:rsidP="00EA2A9F">
      <w:pPr>
        <w:rPr>
          <w:lang w:val="en-US"/>
        </w:rPr>
      </w:pPr>
      <w:r>
        <w:rPr>
          <w:lang w:val="en-US"/>
        </w:rPr>
        <w:t>The reference point</w:t>
      </w:r>
      <w:r w:rsidR="000F3182">
        <w:rPr>
          <w:lang w:val="en-US"/>
        </w:rPr>
        <w:t xml:space="preserve"> for time and frequency</w:t>
      </w:r>
      <w:r>
        <w:rPr>
          <w:lang w:val="en-US"/>
        </w:rPr>
        <w:t xml:space="preserve">, marked </w:t>
      </w:r>
      <w:r>
        <w:rPr>
          <w:noProof/>
          <w:lang w:val="en-US"/>
        </w:rPr>
        <w:drawing>
          <wp:inline distT="0" distB="0" distL="0" distR="0" wp14:anchorId="0E7DE54F" wp14:editId="5A7C8EF1">
            <wp:extent cx="71120" cy="68086"/>
            <wp:effectExtent l="0" t="0" r="5080" b="825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983" cy="70827"/>
                    </a:xfrm>
                    <a:prstGeom prst="rect">
                      <a:avLst/>
                    </a:prstGeom>
                    <a:noFill/>
                  </pic:spPr>
                </pic:pic>
              </a:graphicData>
            </a:graphic>
          </wp:inline>
        </w:drawing>
      </w:r>
      <w:r>
        <w:rPr>
          <w:lang w:val="en-US"/>
        </w:rPr>
        <w:t>, in the figures below, can be placed either at the gNB or the satellite. This is shown in Figures 1 and 2 below.</w:t>
      </w:r>
      <w:r w:rsidR="009A1CAC">
        <w:rPr>
          <w:lang w:val="en-US"/>
        </w:rPr>
        <w:t xml:space="preserve"> At the </w:t>
      </w:r>
      <w:r w:rsidR="009A1CAC" w:rsidRPr="009A1CAC">
        <w:rPr>
          <w:lang w:val="en-US"/>
        </w:rPr>
        <w:t xml:space="preserve">reference point for time and frequency, </w:t>
      </w:r>
      <w:r w:rsidR="009A1CAC">
        <w:rPr>
          <w:lang w:val="en-US"/>
        </w:rPr>
        <w:t xml:space="preserve">we </w:t>
      </w:r>
      <w:r w:rsidR="009A1CAC" w:rsidRPr="009A1CAC">
        <w:rPr>
          <w:lang w:val="en-US"/>
        </w:rPr>
        <w:t>have only nominal UL freque</w:t>
      </w:r>
      <w:r w:rsidR="009B06B5">
        <w:rPr>
          <w:lang w:val="en-US"/>
        </w:rPr>
        <w:t>n</w:t>
      </w:r>
      <w:r w:rsidR="009A1CAC" w:rsidRPr="009A1CAC">
        <w:rPr>
          <w:lang w:val="en-US"/>
        </w:rPr>
        <w:t>cies and nominal UL to DL slot delay to consider.</w:t>
      </w:r>
      <w:r w:rsidR="007D28A0">
        <w:rPr>
          <w:lang w:val="en-US"/>
        </w:rPr>
        <w:t xml:space="preserve"> </w:t>
      </w:r>
    </w:p>
    <w:p w14:paraId="4FD75E9B" w14:textId="1F1C6BDD" w:rsidR="00B515DD" w:rsidRDefault="00C2377B" w:rsidP="009A1CAC">
      <w:pPr>
        <w:jc w:val="center"/>
        <w:rPr>
          <w:lang w:val="en-US"/>
        </w:rPr>
      </w:pPr>
      <w:r>
        <w:rPr>
          <w:noProof/>
          <w:lang w:val="en-US"/>
        </w:rPr>
        <w:lastRenderedPageBreak/>
        <w:drawing>
          <wp:inline distT="0" distB="0" distL="0" distR="0" wp14:anchorId="0B43834E" wp14:editId="4A827A47">
            <wp:extent cx="3504002" cy="181356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1864" cy="1827980"/>
                    </a:xfrm>
                    <a:prstGeom prst="rect">
                      <a:avLst/>
                    </a:prstGeom>
                    <a:noFill/>
                  </pic:spPr>
                </pic:pic>
              </a:graphicData>
            </a:graphic>
          </wp:inline>
        </w:drawing>
      </w:r>
    </w:p>
    <w:p w14:paraId="2062B0EA" w14:textId="0B63C173" w:rsidR="000F3182" w:rsidRDefault="000F3182" w:rsidP="000F3182">
      <w:pPr>
        <w:pStyle w:val="TF"/>
        <w:rPr>
          <w:lang w:val="en-US"/>
        </w:rPr>
      </w:pPr>
      <w:r>
        <w:rPr>
          <w:lang w:val="en-US"/>
        </w:rPr>
        <w:t xml:space="preserve">Figure 1: </w:t>
      </w:r>
      <w:r w:rsidR="00155500">
        <w:rPr>
          <w:lang w:val="en-US"/>
        </w:rPr>
        <w:t>Reference point at the gNB</w:t>
      </w:r>
    </w:p>
    <w:p w14:paraId="58F523A9" w14:textId="301683CA" w:rsidR="00C2377B" w:rsidRDefault="00C2377B" w:rsidP="009A1CAC">
      <w:pPr>
        <w:jc w:val="center"/>
        <w:rPr>
          <w:lang w:val="en-US"/>
        </w:rPr>
      </w:pPr>
      <w:r>
        <w:rPr>
          <w:noProof/>
          <w:lang w:val="en-US"/>
        </w:rPr>
        <w:drawing>
          <wp:inline distT="0" distB="0" distL="0" distR="0" wp14:anchorId="178C2E73" wp14:editId="7A7E2DBD">
            <wp:extent cx="3235112" cy="1706880"/>
            <wp:effectExtent l="0" t="0" r="381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82944" cy="1732117"/>
                    </a:xfrm>
                    <a:prstGeom prst="rect">
                      <a:avLst/>
                    </a:prstGeom>
                    <a:noFill/>
                  </pic:spPr>
                </pic:pic>
              </a:graphicData>
            </a:graphic>
          </wp:inline>
        </w:drawing>
      </w:r>
    </w:p>
    <w:p w14:paraId="025EEDFA" w14:textId="196E77DE" w:rsidR="00155500" w:rsidRDefault="00155500" w:rsidP="00155500">
      <w:pPr>
        <w:pStyle w:val="TF"/>
        <w:rPr>
          <w:lang w:val="en-US"/>
        </w:rPr>
      </w:pPr>
      <w:r>
        <w:rPr>
          <w:lang w:val="en-US"/>
        </w:rPr>
        <w:t>Figure 2: Reference point at the Satellite</w:t>
      </w:r>
    </w:p>
    <w:p w14:paraId="6ACA9CE5" w14:textId="441FEB95" w:rsidR="00155500" w:rsidRDefault="007D28A0" w:rsidP="00B515DD">
      <w:pPr>
        <w:rPr>
          <w:lang w:val="en-US"/>
        </w:rPr>
      </w:pPr>
      <w:r>
        <w:rPr>
          <w:lang w:val="en-US"/>
        </w:rPr>
        <w:t>The satellite is decided in WID [2], to be a transparent “bent pipe”:</w:t>
      </w:r>
    </w:p>
    <w:p w14:paraId="10AEE95B" w14:textId="5300D69A" w:rsidR="00E951EA" w:rsidRPr="00E951EA" w:rsidRDefault="00E951EA" w:rsidP="00E951EA">
      <w:pPr>
        <w:spacing w:after="0"/>
        <w:ind w:left="568"/>
        <w:rPr>
          <w:rFonts w:eastAsia="PMingLiU"/>
          <w:sz w:val="18"/>
          <w:szCs w:val="18"/>
          <w:lang w:eastAsia="zh-TW"/>
        </w:rPr>
      </w:pPr>
      <w:r w:rsidRPr="00E951EA">
        <w:rPr>
          <w:sz w:val="18"/>
          <w:szCs w:val="18"/>
          <w:lang w:eastAsia="ko-KR"/>
        </w:rPr>
        <w:t>The work item aims to specify the enhancements identified for NR NTN (non-terrestr</w:t>
      </w:r>
      <w:r w:rsidRPr="00E951EA">
        <w:rPr>
          <w:bCs/>
          <w:sz w:val="18"/>
          <w:szCs w:val="18"/>
        </w:rPr>
        <w:t>ial networks</w:t>
      </w:r>
      <w:r w:rsidRPr="00E951EA">
        <w:rPr>
          <w:sz w:val="18"/>
          <w:szCs w:val="18"/>
          <w:lang w:eastAsia="ko-KR"/>
        </w:rPr>
        <w:t>) especially LEO and GEO with implicit compatibility to support HAPS (high altitude platform station) and ATG (air to ground) scenarios according to the following principles:</w:t>
      </w:r>
      <w:r>
        <w:rPr>
          <w:sz w:val="18"/>
          <w:szCs w:val="18"/>
          <w:lang w:eastAsia="ko-KR"/>
        </w:rPr>
        <w:br/>
        <w:t>…</w:t>
      </w:r>
    </w:p>
    <w:p w14:paraId="76941753" w14:textId="77777777" w:rsidR="00E951EA" w:rsidRPr="00E951EA" w:rsidRDefault="00E951EA" w:rsidP="00E951EA">
      <w:pPr>
        <w:numPr>
          <w:ilvl w:val="0"/>
          <w:numId w:val="12"/>
        </w:numPr>
        <w:overflowPunct w:val="0"/>
        <w:autoSpaceDE w:val="0"/>
        <w:autoSpaceDN w:val="0"/>
        <w:adjustRightInd w:val="0"/>
        <w:spacing w:after="0"/>
        <w:ind w:left="1288"/>
        <w:textAlignment w:val="baseline"/>
        <w:rPr>
          <w:rFonts w:eastAsia="PMingLiU"/>
          <w:sz w:val="18"/>
          <w:szCs w:val="18"/>
          <w:lang w:eastAsia="zh-TW"/>
        </w:rPr>
      </w:pPr>
      <w:r w:rsidRPr="00E951EA">
        <w:rPr>
          <w:rFonts w:eastAsia="PMingLiU"/>
          <w:sz w:val="18"/>
          <w:szCs w:val="18"/>
          <w:lang w:eastAsia="zh-TW"/>
        </w:rPr>
        <w:t>Transparent payload is assumed</w:t>
      </w:r>
    </w:p>
    <w:p w14:paraId="43C0A504" w14:textId="63A42346" w:rsidR="00E951EA" w:rsidRDefault="00E951EA" w:rsidP="00B515DD">
      <w:pPr>
        <w:rPr>
          <w:lang w:val="en-US"/>
        </w:rPr>
      </w:pPr>
      <w:r>
        <w:rPr>
          <w:lang w:val="en-US"/>
        </w:rPr>
        <w:br/>
        <w:t>In the TR</w:t>
      </w:r>
      <w:r w:rsidR="006E35F3">
        <w:rPr>
          <w:lang w:val="en-US"/>
        </w:rPr>
        <w:t xml:space="preserve"> [3]</w:t>
      </w:r>
      <w:r>
        <w:rPr>
          <w:lang w:val="en-US"/>
        </w:rPr>
        <w:t xml:space="preserve"> </w:t>
      </w:r>
      <w:r w:rsidRPr="00E951EA">
        <w:rPr>
          <w:lang w:val="en-US"/>
        </w:rPr>
        <w:t xml:space="preserve">Transparent payload </w:t>
      </w:r>
      <w:r>
        <w:rPr>
          <w:lang w:val="en-US"/>
        </w:rPr>
        <w:t>is defined as:</w:t>
      </w:r>
    </w:p>
    <w:p w14:paraId="411FE0EB" w14:textId="77777777" w:rsidR="00F333DB" w:rsidRPr="00F333DB" w:rsidRDefault="00F333DB" w:rsidP="00F333DB">
      <w:pPr>
        <w:ind w:left="568"/>
        <w:rPr>
          <w:b/>
          <w:sz w:val="18"/>
          <w:szCs w:val="18"/>
        </w:rPr>
      </w:pPr>
      <w:r w:rsidRPr="00F333DB">
        <w:rPr>
          <w:b/>
          <w:sz w:val="18"/>
          <w:szCs w:val="18"/>
        </w:rPr>
        <w:t xml:space="preserve">Transparent payload: </w:t>
      </w:r>
      <w:r w:rsidRPr="00F333DB">
        <w:rPr>
          <w:sz w:val="18"/>
          <w:szCs w:val="18"/>
        </w:rPr>
        <w:t>payload that changes the frequency carrier of the uplink RF signal, filters and amplifies it before transmitting it on the downlink</w:t>
      </w:r>
      <w:r w:rsidRPr="00F333DB">
        <w:rPr>
          <w:b/>
          <w:sz w:val="18"/>
          <w:szCs w:val="18"/>
        </w:rPr>
        <w:t xml:space="preserve"> </w:t>
      </w:r>
    </w:p>
    <w:p w14:paraId="3BD2AE22" w14:textId="1386C0FA" w:rsidR="006E35F3" w:rsidRDefault="006E35F3" w:rsidP="00681DD8">
      <w:pPr>
        <w:rPr>
          <w:lang w:val="en-US"/>
        </w:rPr>
      </w:pPr>
      <w:r>
        <w:rPr>
          <w:lang w:val="en-US"/>
        </w:rPr>
        <w:t xml:space="preserve">This is important since this means that the satellite will neither alter the </w:t>
      </w:r>
      <w:r w:rsidRPr="006E35F3">
        <w:rPr>
          <w:lang w:val="en-US"/>
        </w:rPr>
        <w:t xml:space="preserve">UL to DL slot delay </w:t>
      </w:r>
      <w:r>
        <w:rPr>
          <w:lang w:val="en-US"/>
        </w:rPr>
        <w:t>nor compensate for any dynamical Doppler shift due to satellite orbit.</w:t>
      </w:r>
    </w:p>
    <w:p w14:paraId="3354999A" w14:textId="06717553" w:rsidR="00681DD8" w:rsidRDefault="00681DD8" w:rsidP="00681DD8">
      <w:pPr>
        <w:rPr>
          <w:lang w:val="en-US"/>
        </w:rPr>
      </w:pPr>
      <w:r>
        <w:rPr>
          <w:lang w:val="en-US"/>
        </w:rPr>
        <w:t xml:space="preserve">If the reference point is placed at the gNB, </w:t>
      </w:r>
      <w:r w:rsidR="008C656F">
        <w:rPr>
          <w:lang w:val="en-US"/>
        </w:rPr>
        <w:t xml:space="preserve">as in Figure 1, </w:t>
      </w:r>
      <w:r>
        <w:rPr>
          <w:lang w:val="en-US"/>
        </w:rPr>
        <w:t xml:space="preserve">then the gNB would experience only nominal, or at least close to nominal UL frequency and </w:t>
      </w:r>
      <w:r w:rsidRPr="00681DD8">
        <w:rPr>
          <w:lang w:val="en-US"/>
        </w:rPr>
        <w:t>nominal UL to DL slot delay to consider</w:t>
      </w:r>
      <w:r>
        <w:rPr>
          <w:lang w:val="en-US"/>
        </w:rPr>
        <w:t xml:space="preserve">. This would simplify the standardization given the existing rel-16 baseline in 3GPP </w:t>
      </w:r>
      <w:r w:rsidR="001155E0">
        <w:rPr>
          <w:lang w:val="en-US"/>
        </w:rPr>
        <w:t xml:space="preserve">assumes that the reference point is placed at gNB </w:t>
      </w:r>
      <w:r>
        <w:rPr>
          <w:lang w:val="en-US"/>
        </w:rPr>
        <w:t>and greatly increase the possibilities to reuse existing gNB</w:t>
      </w:r>
      <w:r w:rsidR="00335C36">
        <w:rPr>
          <w:lang w:val="en-US"/>
        </w:rPr>
        <w:t xml:space="preserve"> RF and BB SW and HW.</w:t>
      </w:r>
    </w:p>
    <w:p w14:paraId="49AE9AE3" w14:textId="16BF57E4" w:rsidR="0033363B" w:rsidRDefault="0033363B" w:rsidP="00681DD8">
      <w:pPr>
        <w:rPr>
          <w:lang w:val="en-US"/>
        </w:rPr>
      </w:pPr>
      <w:r>
        <w:rPr>
          <w:lang w:val="en-US"/>
        </w:rPr>
        <w:t xml:space="preserve">If the reference point is placed at the satellite as in Figure 2, then the gNB would have to handle not only the time varying </w:t>
      </w:r>
      <w:r w:rsidRPr="00CE5A94">
        <w:rPr>
          <w:lang w:val="en-US"/>
        </w:rPr>
        <w:t xml:space="preserve">UL to DL slot delay </w:t>
      </w:r>
      <w:r>
        <w:rPr>
          <w:lang w:val="en-US"/>
        </w:rPr>
        <w:t>(</w:t>
      </w:r>
      <w:r w:rsidRPr="00CE5A94">
        <w:rPr>
          <w:lang w:val="en-US"/>
        </w:rPr>
        <w:t>12 ms (LEO) to 135 ms (GEO)</w:t>
      </w:r>
      <w:r>
        <w:rPr>
          <w:lang w:val="en-US"/>
        </w:rPr>
        <w:t>), but also</w:t>
      </w:r>
      <w:r w:rsidRPr="00CE5A94">
        <w:rPr>
          <w:lang w:val="en-US"/>
        </w:rPr>
        <w:t xml:space="preserve"> </w:t>
      </w:r>
      <w:r>
        <w:rPr>
          <w:lang w:val="en-US"/>
        </w:rPr>
        <w:t xml:space="preserve">time varying Doppler on the Feeder link </w:t>
      </w:r>
      <w:r>
        <w:rPr>
          <w:lang w:val="en-US"/>
        </w:rPr>
        <w:br/>
        <w:t>(from -20 kHz to +20 kHz Doppler during 500 seconds for LEO orbit).</w:t>
      </w:r>
    </w:p>
    <w:p w14:paraId="13C923DA" w14:textId="7A365408" w:rsidR="00681DD8" w:rsidRDefault="00681DD8" w:rsidP="00681DD8">
      <w:pPr>
        <w:rPr>
          <w:b/>
          <w:bCs/>
          <w:lang w:val="en-US"/>
        </w:rPr>
      </w:pPr>
      <w:r w:rsidRPr="00681DD8">
        <w:rPr>
          <w:b/>
          <w:bCs/>
          <w:lang w:val="en-US"/>
        </w:rPr>
        <w:t>Observation</w:t>
      </w:r>
      <w:r w:rsidR="00300401">
        <w:rPr>
          <w:b/>
          <w:bCs/>
          <w:lang w:val="en-US"/>
        </w:rPr>
        <w:t xml:space="preserve"> 1</w:t>
      </w:r>
      <w:r w:rsidRPr="00681DD8">
        <w:rPr>
          <w:b/>
          <w:bCs/>
          <w:lang w:val="en-US"/>
        </w:rPr>
        <w:t xml:space="preserve">: If the reference point is placed at the gNB, then the gNB would experience only nominal, or at least close to nominal UL frequency and nominal UL to DL slot delay to consider. </w:t>
      </w:r>
    </w:p>
    <w:p w14:paraId="1142B0F8" w14:textId="3F20CB0E" w:rsidR="005D328D" w:rsidRDefault="005D328D" w:rsidP="00681DD8">
      <w:pPr>
        <w:rPr>
          <w:b/>
          <w:bCs/>
          <w:lang w:val="en-US"/>
        </w:rPr>
      </w:pPr>
      <w:r>
        <w:rPr>
          <w:b/>
          <w:bCs/>
          <w:lang w:val="en-US"/>
        </w:rPr>
        <w:t xml:space="preserve">Observation 2: </w:t>
      </w:r>
      <w:r w:rsidR="00E26FF6" w:rsidRPr="00E26FF6">
        <w:rPr>
          <w:b/>
          <w:bCs/>
          <w:lang w:val="en-US"/>
        </w:rPr>
        <w:t>If the reference point is placed at the gNB</w:t>
      </w:r>
      <w:r w:rsidR="00E26FF6">
        <w:rPr>
          <w:b/>
          <w:bCs/>
          <w:lang w:val="en-US"/>
        </w:rPr>
        <w:t xml:space="preserve"> then </w:t>
      </w:r>
      <w:r w:rsidRPr="005D328D">
        <w:rPr>
          <w:b/>
          <w:bCs/>
          <w:lang w:val="en-US"/>
        </w:rPr>
        <w:t>standardization</w:t>
      </w:r>
      <w:r w:rsidR="00E26FF6">
        <w:rPr>
          <w:b/>
          <w:bCs/>
          <w:lang w:val="en-US"/>
        </w:rPr>
        <w:t xml:space="preserve"> would be simplified,</w:t>
      </w:r>
      <w:r w:rsidRPr="005D328D">
        <w:rPr>
          <w:b/>
          <w:bCs/>
          <w:lang w:val="en-US"/>
        </w:rPr>
        <w:t xml:space="preserve"> </w:t>
      </w:r>
      <w:r w:rsidR="00E26FF6">
        <w:rPr>
          <w:b/>
          <w:bCs/>
          <w:lang w:val="en-US"/>
        </w:rPr>
        <w:t xml:space="preserve">since this is </w:t>
      </w:r>
      <w:r w:rsidRPr="005D328D">
        <w:rPr>
          <w:b/>
          <w:bCs/>
          <w:lang w:val="en-US"/>
        </w:rPr>
        <w:t>the existing rel-16 baseline in 3GPP and greatly increase the possibilities to reuse existing gNB RF and BB SW and HW.</w:t>
      </w:r>
    </w:p>
    <w:p w14:paraId="1F2ACDE5" w14:textId="6E965DE8" w:rsidR="005D328D" w:rsidRDefault="00681DD8" w:rsidP="00681DD8">
      <w:pPr>
        <w:rPr>
          <w:lang w:val="en-US"/>
        </w:rPr>
      </w:pPr>
      <w:r>
        <w:rPr>
          <w:lang w:val="en-US"/>
        </w:rPr>
        <w:t xml:space="preserve">However, </w:t>
      </w:r>
      <w:r w:rsidR="00BD7ADC">
        <w:rPr>
          <w:lang w:val="en-US"/>
        </w:rPr>
        <w:t xml:space="preserve">if the reference point is at the gNB, then the UE </w:t>
      </w:r>
      <w:r w:rsidR="00167FC1">
        <w:rPr>
          <w:lang w:val="en-US"/>
        </w:rPr>
        <w:t xml:space="preserve">needs to compensate UL Doppler and delay for both the satellite and gNB </w:t>
      </w:r>
      <w:r w:rsidR="00110523">
        <w:rPr>
          <w:lang w:val="en-US"/>
        </w:rPr>
        <w:t>receiver</w:t>
      </w:r>
      <w:r w:rsidR="009D37B1">
        <w:rPr>
          <w:lang w:val="en-US"/>
        </w:rPr>
        <w:t xml:space="preserve">, </w:t>
      </w:r>
      <w:r>
        <w:rPr>
          <w:lang w:val="en-US"/>
        </w:rPr>
        <w:t xml:space="preserve">then the </w:t>
      </w:r>
      <w:r w:rsidRPr="00681DD8">
        <w:rPr>
          <w:lang w:val="en-US"/>
        </w:rPr>
        <w:t>UE needs to know GW location (sensitive info)</w:t>
      </w:r>
      <w:r>
        <w:rPr>
          <w:lang w:val="en-US"/>
        </w:rPr>
        <w:t>, o</w:t>
      </w:r>
      <w:r w:rsidRPr="00681DD8">
        <w:rPr>
          <w:lang w:val="en-US"/>
        </w:rPr>
        <w:t>r, (depending on final solution chosen)</w:t>
      </w:r>
      <w:r>
        <w:rPr>
          <w:lang w:val="en-US"/>
        </w:rPr>
        <w:t xml:space="preserve"> the </w:t>
      </w:r>
      <w:r w:rsidRPr="00681DD8">
        <w:rPr>
          <w:lang w:val="en-US"/>
        </w:rPr>
        <w:t>Feeder link variable delay and Doppler shift has to be signaled to UE (so UE can compensate).</w:t>
      </w:r>
      <w:r w:rsidR="009D37B1">
        <w:rPr>
          <w:lang w:val="en-US"/>
        </w:rPr>
        <w:t xml:space="preserve"> </w:t>
      </w:r>
    </w:p>
    <w:p w14:paraId="6FEF7DF1" w14:textId="5C435BEF" w:rsidR="00681DD8" w:rsidRDefault="00B14FB3" w:rsidP="00681DD8">
      <w:pPr>
        <w:rPr>
          <w:lang w:val="en-US"/>
        </w:rPr>
      </w:pPr>
      <w:r>
        <w:rPr>
          <w:lang w:val="en-US"/>
        </w:rPr>
        <w:lastRenderedPageBreak/>
        <w:t xml:space="preserve">These solutions have very different characteristics. The GW location is a constant tuple of latitude and longitude, while the </w:t>
      </w:r>
      <w:r w:rsidRPr="00B14FB3">
        <w:rPr>
          <w:lang w:val="en-US"/>
        </w:rPr>
        <w:t xml:space="preserve">Feeder link variable delay and Doppler shift </w:t>
      </w:r>
      <w:r>
        <w:rPr>
          <w:lang w:val="en-US"/>
        </w:rPr>
        <w:t>has to be updated quite frequently, since we can have dRTT/dt of 65 µs/s and a change from -20 kHz to +20 kHz Doppler during 500 seconds. This is much harder, since it will consume signaling capacity and be sensitive to reporting delay.</w:t>
      </w:r>
    </w:p>
    <w:p w14:paraId="5E14CD1C" w14:textId="6C6FED05" w:rsidR="005D328D" w:rsidRPr="00B74BA0" w:rsidRDefault="009D37B1" w:rsidP="00681DD8">
      <w:pPr>
        <w:rPr>
          <w:b/>
          <w:bCs/>
          <w:lang w:val="en-US"/>
        </w:rPr>
      </w:pPr>
      <w:r w:rsidRPr="00681DD8">
        <w:rPr>
          <w:b/>
          <w:bCs/>
          <w:lang w:val="en-US"/>
        </w:rPr>
        <w:t>Observation</w:t>
      </w:r>
      <w:r w:rsidR="00300401">
        <w:rPr>
          <w:b/>
          <w:bCs/>
          <w:lang w:val="en-US"/>
        </w:rPr>
        <w:t xml:space="preserve"> 2</w:t>
      </w:r>
      <w:r w:rsidRPr="00681DD8">
        <w:rPr>
          <w:b/>
          <w:bCs/>
          <w:lang w:val="en-US"/>
        </w:rPr>
        <w:t xml:space="preserve">: </w:t>
      </w:r>
      <w:r w:rsidR="00300401">
        <w:rPr>
          <w:b/>
          <w:bCs/>
          <w:lang w:val="en-US"/>
        </w:rPr>
        <w:t xml:space="preserve">Forwarding a constant GW position to is simple and has to be done one only once per connection, </w:t>
      </w:r>
      <w:r w:rsidR="000A6454">
        <w:rPr>
          <w:b/>
          <w:bCs/>
          <w:lang w:val="en-US"/>
        </w:rPr>
        <w:t>whilst</w:t>
      </w:r>
      <w:r w:rsidR="00300401">
        <w:rPr>
          <w:b/>
          <w:bCs/>
          <w:lang w:val="en-US"/>
        </w:rPr>
        <w:t xml:space="preserve"> </w:t>
      </w:r>
      <w:r w:rsidR="00300401" w:rsidRPr="00300401">
        <w:rPr>
          <w:b/>
          <w:bCs/>
          <w:lang w:val="en-US"/>
        </w:rPr>
        <w:t>Feeder link variable delay and Doppler shift has to be updated quite frequently</w:t>
      </w:r>
      <w:r w:rsidR="000A6454">
        <w:rPr>
          <w:b/>
          <w:bCs/>
          <w:lang w:val="en-US"/>
        </w:rPr>
        <w:t>.</w:t>
      </w:r>
    </w:p>
    <w:p w14:paraId="410F2006" w14:textId="2FD7ADB7" w:rsidR="00BA2FE6" w:rsidRDefault="00BA2FE6" w:rsidP="00681DD8">
      <w:pPr>
        <w:rPr>
          <w:b/>
          <w:bCs/>
          <w:lang w:val="en-US"/>
        </w:rPr>
      </w:pPr>
      <w:r>
        <w:rPr>
          <w:b/>
          <w:bCs/>
          <w:lang w:val="en-US"/>
        </w:rPr>
        <w:t>Proposal</w:t>
      </w:r>
      <w:r w:rsidR="00123089">
        <w:rPr>
          <w:b/>
          <w:bCs/>
          <w:lang w:val="en-US"/>
        </w:rPr>
        <w:t xml:space="preserve"> 1</w:t>
      </w:r>
      <w:r>
        <w:rPr>
          <w:b/>
          <w:bCs/>
          <w:lang w:val="en-US"/>
        </w:rPr>
        <w:t xml:space="preserve">: </w:t>
      </w:r>
      <w:r w:rsidR="00B74BA0">
        <w:rPr>
          <w:b/>
          <w:bCs/>
          <w:lang w:val="en-US"/>
        </w:rPr>
        <w:t>Sent information LS to RAN1 with RAN4 implications for different reference points</w:t>
      </w:r>
      <w:r w:rsidR="000A6454">
        <w:rPr>
          <w:b/>
          <w:bCs/>
          <w:lang w:val="en-US"/>
        </w:rPr>
        <w:t>.</w:t>
      </w:r>
    </w:p>
    <w:p w14:paraId="00301642" w14:textId="4B0A8E13" w:rsidR="00A430ED" w:rsidRPr="00A430ED" w:rsidRDefault="00A430ED" w:rsidP="00681DD8">
      <w:pPr>
        <w:rPr>
          <w:lang w:val="en-US"/>
        </w:rPr>
      </w:pPr>
      <w:r>
        <w:rPr>
          <w:lang w:val="en-US"/>
        </w:rPr>
        <w:t xml:space="preserve">An draft LS can be found in </w:t>
      </w:r>
      <w:r w:rsidR="00110523">
        <w:rPr>
          <w:lang w:val="en-US"/>
        </w:rPr>
        <w:t>attachment</w:t>
      </w:r>
      <w:r>
        <w:rPr>
          <w:lang w:val="en-US"/>
        </w:rPr>
        <w:t>.</w:t>
      </w:r>
    </w:p>
    <w:p w14:paraId="7DE08BE8" w14:textId="52817DBD" w:rsidR="00B93FB3" w:rsidRDefault="008D04BC" w:rsidP="00B93FB3">
      <w:pPr>
        <w:pStyle w:val="Heading1"/>
        <w:rPr>
          <w:lang w:val="en-US"/>
        </w:rPr>
      </w:pPr>
      <w:r>
        <w:rPr>
          <w:lang w:val="en-US"/>
        </w:rPr>
        <w:t>4</w:t>
      </w:r>
      <w:r w:rsidR="00B93FB3">
        <w:rPr>
          <w:lang w:val="en-US"/>
        </w:rPr>
        <w:tab/>
        <w:t>Summary</w:t>
      </w:r>
    </w:p>
    <w:p w14:paraId="3923A9CE" w14:textId="77777777" w:rsidR="00C216C9" w:rsidRDefault="00C216C9" w:rsidP="00C216C9">
      <w:pPr>
        <w:rPr>
          <w:b/>
          <w:bCs/>
          <w:lang w:val="en-US"/>
        </w:rPr>
      </w:pPr>
      <w:r w:rsidRPr="00681DD8">
        <w:rPr>
          <w:b/>
          <w:bCs/>
          <w:lang w:val="en-US"/>
        </w:rPr>
        <w:t>Observation</w:t>
      </w:r>
      <w:r>
        <w:rPr>
          <w:b/>
          <w:bCs/>
          <w:lang w:val="en-US"/>
        </w:rPr>
        <w:t xml:space="preserve"> 1</w:t>
      </w:r>
      <w:r w:rsidRPr="00681DD8">
        <w:rPr>
          <w:b/>
          <w:bCs/>
          <w:lang w:val="en-US"/>
        </w:rPr>
        <w:t xml:space="preserve">: If the reference point is placed at the gNB, then the gNB would experience only nominal, or at least close to nominal UL frequency and nominal UL to DL slot delay to consider. </w:t>
      </w:r>
    </w:p>
    <w:p w14:paraId="283609E5" w14:textId="77777777" w:rsidR="00C216C9" w:rsidRDefault="00C216C9" w:rsidP="00C216C9">
      <w:pPr>
        <w:rPr>
          <w:b/>
          <w:bCs/>
          <w:lang w:val="en-US"/>
        </w:rPr>
      </w:pPr>
      <w:r>
        <w:rPr>
          <w:b/>
          <w:bCs/>
          <w:lang w:val="en-US"/>
        </w:rPr>
        <w:t xml:space="preserve">Observation 2: </w:t>
      </w:r>
      <w:r w:rsidRPr="00E26FF6">
        <w:rPr>
          <w:b/>
          <w:bCs/>
          <w:lang w:val="en-US"/>
        </w:rPr>
        <w:t>If the reference point is placed at the gNB</w:t>
      </w:r>
      <w:r>
        <w:rPr>
          <w:b/>
          <w:bCs/>
          <w:lang w:val="en-US"/>
        </w:rPr>
        <w:t xml:space="preserve"> then </w:t>
      </w:r>
      <w:r w:rsidRPr="005D328D">
        <w:rPr>
          <w:b/>
          <w:bCs/>
          <w:lang w:val="en-US"/>
        </w:rPr>
        <w:t>standardization</w:t>
      </w:r>
      <w:r>
        <w:rPr>
          <w:b/>
          <w:bCs/>
          <w:lang w:val="en-US"/>
        </w:rPr>
        <w:t xml:space="preserve"> would be simplified,</w:t>
      </w:r>
      <w:r w:rsidRPr="005D328D">
        <w:rPr>
          <w:b/>
          <w:bCs/>
          <w:lang w:val="en-US"/>
        </w:rPr>
        <w:t xml:space="preserve"> </w:t>
      </w:r>
      <w:r>
        <w:rPr>
          <w:b/>
          <w:bCs/>
          <w:lang w:val="en-US"/>
        </w:rPr>
        <w:t xml:space="preserve">since this is </w:t>
      </w:r>
      <w:r w:rsidRPr="005D328D">
        <w:rPr>
          <w:b/>
          <w:bCs/>
          <w:lang w:val="en-US"/>
        </w:rPr>
        <w:t>the existing rel-16 baseline in 3GPP and greatly increase the possibilities to reuse existing gNB RF and BB SW and HW.</w:t>
      </w:r>
    </w:p>
    <w:p w14:paraId="28B50A86" w14:textId="77777777" w:rsidR="00C216C9" w:rsidRPr="00B515DD" w:rsidRDefault="00C216C9" w:rsidP="00C216C9">
      <w:pPr>
        <w:rPr>
          <w:lang w:val="en-US"/>
        </w:rPr>
      </w:pPr>
      <w:r>
        <w:rPr>
          <w:b/>
          <w:bCs/>
          <w:lang w:val="en-US"/>
        </w:rPr>
        <w:t>Proposal 1: Sent information LS to RAN1 with RAN4 implications for different reference points.</w:t>
      </w:r>
    </w:p>
    <w:p w14:paraId="6D105C85" w14:textId="50246935" w:rsidR="00123089" w:rsidRPr="00123089" w:rsidRDefault="00123089" w:rsidP="00123089">
      <w:pPr>
        <w:spacing w:after="0"/>
        <w:rPr>
          <w:b/>
          <w:bCs/>
          <w:lang w:val="en-US"/>
        </w:rPr>
      </w:pPr>
      <w:r>
        <w:rPr>
          <w:b/>
          <w:bCs/>
          <w:lang w:val="en-US"/>
        </w:rPr>
        <w:br w:type="page"/>
      </w:r>
    </w:p>
    <w:p w14:paraId="42C2E795" w14:textId="1C544FD8" w:rsidR="003D429A" w:rsidRDefault="003D429A" w:rsidP="003D429A">
      <w:pPr>
        <w:pStyle w:val="Heading1"/>
        <w:rPr>
          <w:lang w:val="en-US"/>
        </w:rPr>
      </w:pPr>
      <w:r>
        <w:rPr>
          <w:lang w:val="en-US"/>
        </w:rPr>
        <w:lastRenderedPageBreak/>
        <w:t>References</w:t>
      </w:r>
    </w:p>
    <w:p w14:paraId="1B992A17" w14:textId="6EF3E636" w:rsidR="00CB0749" w:rsidRPr="009B06B5" w:rsidRDefault="00B515DD"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4" w:name="_Ref508638450"/>
      <w:bookmarkStart w:id="5" w:name="_Ref3386619"/>
      <w:r w:rsidRPr="009B06B5">
        <w:rPr>
          <w:rFonts w:ascii="Times New Roman" w:hAnsi="Times New Roman" w:cs="Times New Roman"/>
          <w:sz w:val="20"/>
          <w:szCs w:val="20"/>
          <w:lang w:val="en-US"/>
        </w:rPr>
        <w:t>R4-2017661, NR_NTN_solutions work plan, Thales</w:t>
      </w:r>
    </w:p>
    <w:p w14:paraId="32FC54DF" w14:textId="1C6F1191" w:rsidR="0083684A" w:rsidRDefault="007D28A0"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9B06B5">
        <w:rPr>
          <w:rFonts w:ascii="Times New Roman" w:hAnsi="Times New Roman" w:cs="Times New Roman"/>
          <w:sz w:val="20"/>
          <w:szCs w:val="20"/>
          <w:lang w:val="en-US"/>
        </w:rPr>
        <w:t>RP-202908</w:t>
      </w:r>
      <w:r w:rsidR="00C80523" w:rsidRPr="009B06B5">
        <w:rPr>
          <w:rFonts w:ascii="Times New Roman" w:hAnsi="Times New Roman" w:cs="Times New Roman"/>
          <w:sz w:val="20"/>
          <w:szCs w:val="20"/>
          <w:lang w:val="en-US"/>
        </w:rPr>
        <w:t>, Solutions for NR to support non-terrestrial networks (NTN), Thales</w:t>
      </w:r>
    </w:p>
    <w:p w14:paraId="6C019887" w14:textId="78A29C67" w:rsidR="006E35F3" w:rsidRPr="009B06B5" w:rsidRDefault="006E35F3"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TR-38.121</w:t>
      </w:r>
    </w:p>
    <w:bookmarkEnd w:id="4"/>
    <w:bookmarkEnd w:id="5"/>
    <w:p w14:paraId="6987C0BF" w14:textId="3C3BD91B" w:rsidR="005E0739" w:rsidRDefault="005E0739">
      <w:pPr>
        <w:spacing w:after="0"/>
        <w:rPr>
          <w:lang w:val="en-US"/>
        </w:rPr>
      </w:pPr>
      <w:r>
        <w:rPr>
          <w:lang w:val="en-US"/>
        </w:rPr>
        <w:br w:type="page"/>
      </w:r>
    </w:p>
    <w:p w14:paraId="5F04A6A4" w14:textId="1BB7CD58" w:rsidR="003D429A" w:rsidRDefault="005E0739" w:rsidP="005E0739">
      <w:pPr>
        <w:pStyle w:val="Heading1"/>
        <w:rPr>
          <w:lang w:val="en-US"/>
        </w:rPr>
      </w:pPr>
      <w:r>
        <w:rPr>
          <w:lang w:val="en-US"/>
        </w:rPr>
        <w:lastRenderedPageBreak/>
        <w:t>Appendix:</w:t>
      </w:r>
    </w:p>
    <w:p w14:paraId="51817633" w14:textId="24BB8C43" w:rsidR="000E25D4" w:rsidRPr="0078309E" w:rsidRDefault="000E25D4" w:rsidP="000E25D4">
      <w:pPr>
        <w:spacing w:after="60"/>
        <w:ind w:left="1985" w:hanging="1985"/>
        <w:rPr>
          <w:rFonts w:ascii="Arial" w:hAnsi="Arial" w:cs="Arial"/>
          <w:b/>
          <w:sz w:val="22"/>
          <w:szCs w:val="22"/>
        </w:rPr>
      </w:pPr>
      <w:r w:rsidRPr="0078309E">
        <w:rPr>
          <w:rFonts w:ascii="Arial" w:hAnsi="Arial" w:cs="Arial"/>
          <w:b/>
          <w:sz w:val="22"/>
          <w:szCs w:val="22"/>
        </w:rPr>
        <w:t>Title:</w:t>
      </w:r>
      <w:r w:rsidRPr="0078309E">
        <w:rPr>
          <w:rFonts w:ascii="Arial" w:hAnsi="Arial" w:cs="Arial"/>
          <w:b/>
          <w:sz w:val="22"/>
          <w:szCs w:val="22"/>
        </w:rPr>
        <w:tab/>
        <w:t>[draft] LS for information regarding selection of reference point</w:t>
      </w:r>
    </w:p>
    <w:p w14:paraId="1774C5CD" w14:textId="7C477E44" w:rsidR="000E25D4" w:rsidRPr="0078309E" w:rsidRDefault="000E25D4" w:rsidP="000E25D4">
      <w:pPr>
        <w:spacing w:after="60"/>
        <w:ind w:left="1985" w:hanging="1985"/>
        <w:rPr>
          <w:rFonts w:ascii="Arial" w:hAnsi="Arial" w:cs="Arial"/>
          <w:b/>
          <w:bCs/>
          <w:sz w:val="22"/>
          <w:szCs w:val="22"/>
        </w:rPr>
      </w:pPr>
      <w:bookmarkStart w:id="6" w:name="OLE_LINK59"/>
      <w:bookmarkStart w:id="7" w:name="OLE_LINK60"/>
      <w:bookmarkStart w:id="8" w:name="OLE_LINK61"/>
      <w:r w:rsidRPr="0078309E">
        <w:rPr>
          <w:rFonts w:ascii="Arial" w:hAnsi="Arial" w:cs="Arial"/>
          <w:b/>
          <w:sz w:val="22"/>
          <w:szCs w:val="22"/>
        </w:rPr>
        <w:t>Release:</w:t>
      </w:r>
      <w:r w:rsidRPr="0078309E">
        <w:rPr>
          <w:rFonts w:ascii="Arial" w:hAnsi="Arial" w:cs="Arial"/>
          <w:b/>
          <w:bCs/>
          <w:sz w:val="22"/>
          <w:szCs w:val="22"/>
        </w:rPr>
        <w:tab/>
        <w:t>Rel-17</w:t>
      </w:r>
    </w:p>
    <w:bookmarkEnd w:id="6"/>
    <w:bookmarkEnd w:id="7"/>
    <w:bookmarkEnd w:id="8"/>
    <w:p w14:paraId="75D4F9F3" w14:textId="44965F48" w:rsidR="000E25D4" w:rsidRPr="0078309E" w:rsidRDefault="000E25D4" w:rsidP="000E25D4">
      <w:pPr>
        <w:spacing w:after="60"/>
        <w:ind w:left="1985" w:hanging="1985"/>
        <w:rPr>
          <w:rFonts w:ascii="Arial" w:hAnsi="Arial" w:cs="Arial"/>
          <w:b/>
          <w:bCs/>
          <w:sz w:val="22"/>
          <w:szCs w:val="22"/>
        </w:rPr>
      </w:pPr>
      <w:r w:rsidRPr="0078309E">
        <w:rPr>
          <w:rFonts w:ascii="Arial" w:hAnsi="Arial" w:cs="Arial"/>
          <w:b/>
          <w:sz w:val="22"/>
          <w:szCs w:val="22"/>
        </w:rPr>
        <w:t>Work Item:</w:t>
      </w:r>
      <w:r w:rsidRPr="0078309E">
        <w:rPr>
          <w:rFonts w:ascii="Arial" w:hAnsi="Arial" w:cs="Arial"/>
          <w:b/>
          <w:bCs/>
          <w:sz w:val="22"/>
          <w:szCs w:val="22"/>
        </w:rPr>
        <w:tab/>
      </w:r>
      <w:r w:rsidR="0078309E" w:rsidRPr="0078309E">
        <w:rPr>
          <w:rFonts w:ascii="Arial" w:hAnsi="Arial" w:cs="Arial"/>
          <w:b/>
          <w:bCs/>
          <w:sz w:val="22"/>
          <w:szCs w:val="22"/>
        </w:rPr>
        <w:t>NR_NTN_solutions</w:t>
      </w:r>
    </w:p>
    <w:p w14:paraId="0685CD20" w14:textId="77777777" w:rsidR="000E25D4" w:rsidRPr="0078309E" w:rsidRDefault="000E25D4" w:rsidP="000E25D4">
      <w:pPr>
        <w:spacing w:after="60"/>
        <w:ind w:left="1985" w:hanging="1985"/>
        <w:rPr>
          <w:rFonts w:ascii="Arial" w:hAnsi="Arial" w:cs="Arial"/>
          <w:b/>
          <w:sz w:val="22"/>
          <w:szCs w:val="22"/>
        </w:rPr>
      </w:pPr>
    </w:p>
    <w:p w14:paraId="561B0330" w14:textId="77777777" w:rsidR="000E25D4" w:rsidRPr="0078309E" w:rsidRDefault="000E25D4" w:rsidP="000E25D4">
      <w:pPr>
        <w:spacing w:after="60"/>
        <w:ind w:left="1985" w:hanging="1985"/>
        <w:rPr>
          <w:rFonts w:ascii="Arial" w:hAnsi="Arial" w:cs="Arial"/>
          <w:b/>
          <w:sz w:val="22"/>
          <w:szCs w:val="22"/>
        </w:rPr>
      </w:pPr>
      <w:r w:rsidRPr="0078309E">
        <w:rPr>
          <w:rFonts w:ascii="Arial" w:hAnsi="Arial" w:cs="Arial"/>
          <w:b/>
          <w:sz w:val="22"/>
          <w:szCs w:val="22"/>
        </w:rPr>
        <w:t>Source:</w:t>
      </w:r>
      <w:r w:rsidRPr="0078309E">
        <w:rPr>
          <w:rFonts w:ascii="Arial" w:hAnsi="Arial" w:cs="Arial"/>
          <w:b/>
          <w:sz w:val="22"/>
          <w:szCs w:val="22"/>
        </w:rPr>
        <w:tab/>
        <w:t>TSG RAN WG4</w:t>
      </w:r>
    </w:p>
    <w:p w14:paraId="65563BFA" w14:textId="35EF4222" w:rsidR="000E25D4" w:rsidRPr="0078309E" w:rsidRDefault="000E25D4" w:rsidP="000E25D4">
      <w:pPr>
        <w:spacing w:after="60"/>
        <w:ind w:left="1985" w:hanging="1985"/>
        <w:rPr>
          <w:rFonts w:ascii="Arial" w:hAnsi="Arial" w:cs="Arial"/>
          <w:b/>
          <w:lang w:eastAsia="ko-KR"/>
        </w:rPr>
      </w:pPr>
      <w:r w:rsidRPr="0078309E">
        <w:rPr>
          <w:rFonts w:ascii="Arial" w:hAnsi="Arial" w:cs="Arial"/>
          <w:b/>
          <w:sz w:val="22"/>
          <w:szCs w:val="22"/>
        </w:rPr>
        <w:t>To:</w:t>
      </w:r>
      <w:r w:rsidRPr="0078309E">
        <w:rPr>
          <w:rFonts w:ascii="Arial" w:hAnsi="Arial" w:cs="Arial"/>
          <w:b/>
          <w:bCs/>
          <w:sz w:val="22"/>
          <w:szCs w:val="22"/>
        </w:rPr>
        <w:tab/>
      </w:r>
      <w:bookmarkStart w:id="9" w:name="OLE_LINK45"/>
      <w:bookmarkStart w:id="10" w:name="OLE_LINK46"/>
      <w:r w:rsidRPr="0078309E">
        <w:rPr>
          <w:rFonts w:ascii="Arial" w:eastAsia="SimSun" w:hAnsi="Arial" w:cs="Arial"/>
          <w:b/>
          <w:sz w:val="22"/>
          <w:szCs w:val="22"/>
          <w:lang w:eastAsia="zh-CN"/>
        </w:rPr>
        <w:t>TSG RAN WG</w:t>
      </w:r>
      <w:r w:rsidR="0078309E" w:rsidRPr="0078309E">
        <w:rPr>
          <w:rFonts w:ascii="Arial" w:eastAsia="SimSun" w:hAnsi="Arial" w:cs="Arial"/>
          <w:b/>
          <w:sz w:val="22"/>
          <w:szCs w:val="22"/>
          <w:lang w:eastAsia="zh-CN"/>
        </w:rPr>
        <w:t>1</w:t>
      </w:r>
    </w:p>
    <w:p w14:paraId="3847C31B" w14:textId="664E04DC" w:rsidR="000E25D4" w:rsidRPr="0078309E" w:rsidRDefault="000E25D4" w:rsidP="000E25D4">
      <w:pPr>
        <w:spacing w:after="60"/>
        <w:ind w:left="1985" w:hanging="1985"/>
        <w:rPr>
          <w:rFonts w:ascii="Arial" w:hAnsi="Arial" w:cs="Arial"/>
          <w:b/>
          <w:bCs/>
          <w:sz w:val="22"/>
          <w:szCs w:val="22"/>
        </w:rPr>
      </w:pPr>
      <w:r w:rsidRPr="0078309E">
        <w:rPr>
          <w:rFonts w:ascii="Arial" w:hAnsi="Arial" w:cs="Arial"/>
          <w:b/>
          <w:sz w:val="22"/>
          <w:szCs w:val="22"/>
        </w:rPr>
        <w:t>Cc:</w:t>
      </w:r>
      <w:r w:rsidRPr="0078309E">
        <w:rPr>
          <w:rFonts w:ascii="Arial" w:hAnsi="Arial" w:cs="Arial"/>
          <w:b/>
          <w:bCs/>
          <w:sz w:val="22"/>
          <w:szCs w:val="22"/>
        </w:rPr>
        <w:tab/>
      </w:r>
      <w:r w:rsidR="0078309E" w:rsidRPr="0078309E">
        <w:rPr>
          <w:rFonts w:ascii="Arial" w:hAnsi="Arial" w:cs="Arial"/>
          <w:b/>
          <w:bCs/>
          <w:sz w:val="22"/>
          <w:szCs w:val="22"/>
        </w:rPr>
        <w:t>TSG RAN WG2</w:t>
      </w:r>
    </w:p>
    <w:bookmarkEnd w:id="9"/>
    <w:bookmarkEnd w:id="10"/>
    <w:p w14:paraId="3414C21E" w14:textId="77777777" w:rsidR="000E25D4" w:rsidRDefault="000E25D4" w:rsidP="000E25D4">
      <w:pPr>
        <w:spacing w:after="60"/>
        <w:ind w:left="1985" w:hanging="1985"/>
        <w:rPr>
          <w:rFonts w:ascii="Arial" w:hAnsi="Arial" w:cs="Arial"/>
          <w:bCs/>
        </w:rPr>
      </w:pPr>
    </w:p>
    <w:p w14:paraId="79516B3A" w14:textId="6455A64D" w:rsidR="000E25D4" w:rsidRPr="005B5C93" w:rsidRDefault="000E25D4" w:rsidP="0000480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04802">
        <w:rPr>
          <w:rFonts w:ascii="Arial" w:hAnsi="Arial" w:cs="Arial"/>
          <w:b/>
          <w:bCs/>
          <w:sz w:val="22"/>
          <w:szCs w:val="22"/>
        </w:rPr>
        <w:t>Magnus Larsson</w:t>
      </w:r>
    </w:p>
    <w:p w14:paraId="438B79A5" w14:textId="44D9CBA9" w:rsidR="000E25D4" w:rsidRDefault="000E25D4" w:rsidP="000E25D4">
      <w:pPr>
        <w:spacing w:after="60"/>
        <w:ind w:left="1985" w:hanging="1985"/>
        <w:rPr>
          <w:rFonts w:ascii="Arial" w:hAnsi="Arial" w:cs="Arial"/>
          <w:b/>
          <w:bCs/>
          <w:sz w:val="22"/>
          <w:szCs w:val="22"/>
        </w:rPr>
      </w:pPr>
      <w:r w:rsidRPr="005B5C93">
        <w:rPr>
          <w:rFonts w:ascii="Arial" w:hAnsi="Arial" w:cs="Arial"/>
          <w:b/>
          <w:bCs/>
          <w:sz w:val="22"/>
          <w:szCs w:val="22"/>
        </w:rPr>
        <w:t xml:space="preserve">E-mail Address: </w:t>
      </w:r>
      <w:r w:rsidR="00004802">
        <w:rPr>
          <w:rFonts w:ascii="Arial" w:hAnsi="Arial" w:cs="Arial"/>
          <w:b/>
          <w:bCs/>
          <w:sz w:val="22"/>
          <w:szCs w:val="22"/>
        </w:rPr>
        <w:tab/>
      </w:r>
      <w:hyperlink r:id="rId15" w:history="1">
        <w:r w:rsidR="00004802">
          <w:rPr>
            <w:rStyle w:val="Hyperlink"/>
            <w:rFonts w:ascii="Arial" w:hAnsi="Arial" w:cs="Arial"/>
            <w:b/>
            <w:bCs/>
            <w:sz w:val="22"/>
            <w:szCs w:val="22"/>
          </w:rPr>
          <w:t>magnus dot k dot larsson at ericsson dot com</w:t>
        </w:r>
      </w:hyperlink>
      <w:r w:rsidRPr="005B5C93">
        <w:rPr>
          <w:rFonts w:ascii="Arial" w:hAnsi="Arial" w:cs="Arial"/>
          <w:b/>
          <w:bCs/>
          <w:sz w:val="22"/>
          <w:szCs w:val="22"/>
        </w:rPr>
        <w:t xml:space="preserve"> </w:t>
      </w:r>
    </w:p>
    <w:p w14:paraId="58C6863B" w14:textId="77777777" w:rsidR="000E25D4" w:rsidRDefault="000E25D4" w:rsidP="000E25D4">
      <w:pPr>
        <w:spacing w:after="60"/>
        <w:ind w:left="1985" w:hanging="1985"/>
        <w:rPr>
          <w:rFonts w:ascii="Arial" w:hAnsi="Arial" w:cs="Arial"/>
          <w:b/>
          <w:sz w:val="22"/>
          <w:szCs w:val="22"/>
        </w:rPr>
      </w:pPr>
    </w:p>
    <w:p w14:paraId="531876B9" w14:textId="77777777" w:rsidR="000E25D4" w:rsidRPr="00383545" w:rsidRDefault="000E25D4" w:rsidP="000E25D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6" w:history="1">
        <w:r w:rsidRPr="00383545">
          <w:rPr>
            <w:rStyle w:val="Hyperlink"/>
            <w:rFonts w:ascii="Arial" w:hAnsi="Arial" w:cs="Arial"/>
            <w:b/>
            <w:sz w:val="22"/>
            <w:szCs w:val="22"/>
          </w:rPr>
          <w:t>mailto:3GPPLiaison@etsi.org</w:t>
        </w:r>
      </w:hyperlink>
    </w:p>
    <w:p w14:paraId="6C8F899F" w14:textId="77777777" w:rsidR="000E25D4" w:rsidRDefault="000E25D4" w:rsidP="000E25D4">
      <w:pPr>
        <w:spacing w:after="60"/>
        <w:ind w:left="1985" w:hanging="1985"/>
        <w:rPr>
          <w:rFonts w:ascii="Arial" w:hAnsi="Arial" w:cs="Arial"/>
          <w:b/>
        </w:rPr>
      </w:pPr>
    </w:p>
    <w:p w14:paraId="5715D795" w14:textId="2013A8F7" w:rsidR="000E25D4" w:rsidRPr="00A07D60" w:rsidRDefault="000E25D4" w:rsidP="00A07D60">
      <w:pPr>
        <w:spacing w:after="60"/>
        <w:ind w:left="1985" w:hanging="1985"/>
        <w:rPr>
          <w:rFonts w:ascii="Arial" w:hAnsi="Arial" w:cs="Arial"/>
          <w:bCs/>
        </w:rPr>
      </w:pPr>
      <w:r>
        <w:rPr>
          <w:rFonts w:ascii="Arial" w:hAnsi="Arial" w:cs="Arial"/>
          <w:b/>
        </w:rPr>
        <w:t>Attachments:</w:t>
      </w:r>
      <w:r>
        <w:rPr>
          <w:rFonts w:ascii="Arial" w:hAnsi="Arial" w:cs="Arial"/>
          <w:bCs/>
        </w:rPr>
        <w:tab/>
      </w:r>
    </w:p>
    <w:p w14:paraId="7BFC5314" w14:textId="77777777" w:rsidR="000E25D4" w:rsidRDefault="000E25D4" w:rsidP="000E25D4">
      <w:pPr>
        <w:pStyle w:val="Heading1"/>
      </w:pPr>
      <w:r>
        <w:t>1</w:t>
      </w:r>
      <w:r>
        <w:tab/>
        <w:t>Overall description</w:t>
      </w:r>
    </w:p>
    <w:p w14:paraId="1B8BA66F" w14:textId="5F4B1667" w:rsidR="005C06BC" w:rsidRPr="00EA2A9F" w:rsidRDefault="005C06BC" w:rsidP="0049661D">
      <w:pPr>
        <w:spacing w:after="0"/>
        <w:rPr>
          <w:lang w:val="en-US"/>
        </w:rPr>
      </w:pPr>
      <w:r>
        <w:rPr>
          <w:rFonts w:asciiTheme="majorBidi" w:hAnsiTheme="majorBidi" w:cstheme="majorBidi"/>
          <w:lang w:eastAsia="ko-KR"/>
        </w:rPr>
        <w:t xml:space="preserve">In RAN4 Way Forward [1] it was decided to let the </w:t>
      </w:r>
      <w:r w:rsidRPr="005C06BC">
        <w:rPr>
          <w:rFonts w:asciiTheme="majorBidi" w:hAnsiTheme="majorBidi" w:cstheme="majorBidi"/>
          <w:lang w:eastAsia="ko-KR"/>
        </w:rPr>
        <w:t>Reference Point (RP) to be defined by RAN1</w:t>
      </w:r>
      <w:r>
        <w:rPr>
          <w:rFonts w:asciiTheme="majorBidi" w:hAnsiTheme="majorBidi" w:cstheme="majorBidi"/>
          <w:lang w:eastAsia="ko-KR"/>
        </w:rPr>
        <w:t xml:space="preserve">. </w:t>
      </w:r>
      <w:r>
        <w:rPr>
          <w:lang w:val="en-US"/>
        </w:rPr>
        <w:t xml:space="preserve">At the </w:t>
      </w:r>
      <w:r w:rsidRPr="009A1CAC">
        <w:rPr>
          <w:lang w:val="en-US"/>
        </w:rPr>
        <w:t xml:space="preserve">reference point for time and frequency, </w:t>
      </w:r>
      <w:r>
        <w:rPr>
          <w:lang w:val="en-US"/>
        </w:rPr>
        <w:t xml:space="preserve">we </w:t>
      </w:r>
      <w:r w:rsidRPr="009A1CAC">
        <w:rPr>
          <w:lang w:val="en-US"/>
        </w:rPr>
        <w:t>have only nominal UL freque</w:t>
      </w:r>
      <w:r>
        <w:rPr>
          <w:lang w:val="en-US"/>
        </w:rPr>
        <w:t>n</w:t>
      </w:r>
      <w:r w:rsidRPr="009A1CAC">
        <w:rPr>
          <w:lang w:val="en-US"/>
        </w:rPr>
        <w:t>cies and nominal UL to DL slot delay to consider</w:t>
      </w:r>
      <w:r>
        <w:rPr>
          <w:lang w:val="en-US"/>
        </w:rPr>
        <w:t xml:space="preserve">. Figure 1 has the reference point at the gNB and Figure 2 </w:t>
      </w:r>
      <w:r w:rsidRPr="005C06BC">
        <w:rPr>
          <w:lang w:val="en-US"/>
        </w:rPr>
        <w:t xml:space="preserve">has the reference point at the </w:t>
      </w:r>
      <w:r>
        <w:rPr>
          <w:lang w:val="en-US"/>
        </w:rPr>
        <w:t>satellite.</w:t>
      </w:r>
    </w:p>
    <w:p w14:paraId="577CAB5E" w14:textId="5B6A1986" w:rsidR="005C06BC" w:rsidRDefault="005C06BC" w:rsidP="005C06BC">
      <w:pPr>
        <w:rPr>
          <w:lang w:val="en-US"/>
        </w:rPr>
      </w:pPr>
      <w:r>
        <w:rPr>
          <w:noProof/>
          <w:lang w:val="en-US"/>
        </w:rPr>
        <w:drawing>
          <wp:inline distT="0" distB="0" distL="0" distR="0" wp14:anchorId="68927C54" wp14:editId="4E0C380C">
            <wp:extent cx="2854569" cy="147743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4569" cy="1477434"/>
                    </a:xfrm>
                    <a:prstGeom prst="rect">
                      <a:avLst/>
                    </a:prstGeom>
                    <a:noFill/>
                  </pic:spPr>
                </pic:pic>
              </a:graphicData>
            </a:graphic>
          </wp:inline>
        </w:drawing>
      </w:r>
      <w:r>
        <w:rPr>
          <w:noProof/>
          <w:lang w:val="en-US"/>
        </w:rPr>
        <w:t xml:space="preserve">    </w:t>
      </w:r>
      <w:r>
        <w:rPr>
          <w:noProof/>
          <w:lang w:val="en-US"/>
        </w:rPr>
        <w:drawing>
          <wp:inline distT="0" distB="0" distL="0" distR="0" wp14:anchorId="18D70DB0" wp14:editId="125F4B60">
            <wp:extent cx="3112477" cy="16421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345" cy="1673764"/>
                    </a:xfrm>
                    <a:prstGeom prst="rect">
                      <a:avLst/>
                    </a:prstGeom>
                    <a:noFill/>
                  </pic:spPr>
                </pic:pic>
              </a:graphicData>
            </a:graphic>
          </wp:inline>
        </w:drawing>
      </w:r>
    </w:p>
    <w:p w14:paraId="7FD9128D" w14:textId="4F6C0E51" w:rsidR="005C06BC" w:rsidRDefault="0049661D" w:rsidP="005C06BC">
      <w:pPr>
        <w:pStyle w:val="TF"/>
        <w:jc w:val="left"/>
        <w:rPr>
          <w:lang w:val="en-US"/>
        </w:rPr>
      </w:pPr>
      <w:r>
        <w:rPr>
          <w:lang w:val="en-US"/>
        </w:rPr>
        <w:t xml:space="preserve">     </w:t>
      </w:r>
      <w:r w:rsidR="005C06BC">
        <w:rPr>
          <w:lang w:val="en-US"/>
        </w:rPr>
        <w:t xml:space="preserve">Figure 1: Reference point at the gNB </w:t>
      </w:r>
      <w:r w:rsidR="005C06BC">
        <w:rPr>
          <w:lang w:val="en-US"/>
        </w:rPr>
        <w:tab/>
      </w:r>
      <w:r w:rsidR="005C06BC">
        <w:rPr>
          <w:lang w:val="en-US"/>
        </w:rPr>
        <w:tab/>
      </w:r>
      <w:r w:rsidR="005C06BC">
        <w:rPr>
          <w:lang w:val="en-US"/>
        </w:rPr>
        <w:tab/>
      </w:r>
      <w:r w:rsidR="005C06BC">
        <w:rPr>
          <w:lang w:val="en-US"/>
        </w:rPr>
        <w:tab/>
      </w:r>
      <w:r w:rsidR="005C06BC">
        <w:rPr>
          <w:lang w:val="en-US"/>
        </w:rPr>
        <w:tab/>
      </w:r>
      <w:r>
        <w:rPr>
          <w:lang w:val="en-US"/>
        </w:rPr>
        <w:t xml:space="preserve">   </w:t>
      </w:r>
      <w:r w:rsidR="005C06BC">
        <w:rPr>
          <w:lang w:val="en-US"/>
        </w:rPr>
        <w:t>Figure 2: Reference point at the Satellite</w:t>
      </w:r>
    </w:p>
    <w:p w14:paraId="3012E4CC" w14:textId="191C9543" w:rsidR="0049661D" w:rsidRPr="0049661D" w:rsidRDefault="0049661D" w:rsidP="0049661D">
      <w:pPr>
        <w:rPr>
          <w:lang w:val="en-US"/>
        </w:rPr>
      </w:pPr>
      <w:r w:rsidRPr="0049661D">
        <w:rPr>
          <w:lang w:val="en-US"/>
        </w:rPr>
        <w:t>RAN4 would like to make the following observations:</w:t>
      </w:r>
    </w:p>
    <w:p w14:paraId="4CFFE32D" w14:textId="6FAFEE24" w:rsidR="0049661D" w:rsidRPr="0049661D" w:rsidRDefault="0049661D" w:rsidP="0049661D">
      <w:pPr>
        <w:pStyle w:val="ListParagraph"/>
        <w:numPr>
          <w:ilvl w:val="0"/>
          <w:numId w:val="16"/>
        </w:numPr>
        <w:rPr>
          <w:rFonts w:ascii="Times New Roman" w:hAnsi="Times New Roman" w:cs="Times New Roman"/>
          <w:sz w:val="20"/>
          <w:szCs w:val="20"/>
          <w:lang w:val="en-US"/>
        </w:rPr>
      </w:pPr>
      <w:r w:rsidRPr="0049661D">
        <w:rPr>
          <w:rFonts w:ascii="Times New Roman" w:hAnsi="Times New Roman" w:cs="Times New Roman"/>
          <w:sz w:val="20"/>
          <w:szCs w:val="20"/>
          <w:lang w:val="en-US"/>
        </w:rPr>
        <w:t xml:space="preserve">If the reference point is placed at the gNB, </w:t>
      </w:r>
      <w:r>
        <w:rPr>
          <w:rFonts w:ascii="Times New Roman" w:hAnsi="Times New Roman" w:cs="Times New Roman"/>
          <w:sz w:val="20"/>
          <w:szCs w:val="20"/>
          <w:lang w:val="en-US"/>
        </w:rPr>
        <w:t xml:space="preserve">as in Figure 1, </w:t>
      </w:r>
      <w:r w:rsidRPr="0049661D">
        <w:rPr>
          <w:rFonts w:ascii="Times New Roman" w:hAnsi="Times New Roman" w:cs="Times New Roman"/>
          <w:sz w:val="20"/>
          <w:szCs w:val="20"/>
          <w:lang w:val="en-US"/>
        </w:rPr>
        <w:t>then the gNB</w:t>
      </w:r>
      <w:r>
        <w:rPr>
          <w:rFonts w:ascii="Times New Roman" w:hAnsi="Times New Roman" w:cs="Times New Roman"/>
          <w:sz w:val="20"/>
          <w:szCs w:val="20"/>
          <w:lang w:val="en-US"/>
        </w:rPr>
        <w:t xml:space="preserve"> </w:t>
      </w:r>
      <w:r w:rsidRPr="0049661D">
        <w:rPr>
          <w:rFonts w:ascii="Times New Roman" w:hAnsi="Times New Roman" w:cs="Times New Roman"/>
          <w:sz w:val="20"/>
          <w:szCs w:val="20"/>
          <w:lang w:val="en-US"/>
        </w:rPr>
        <w:t xml:space="preserve">would experience only nominal, or at least close to nominal UL frequency and nominal UL to DL slot delay to consider. </w:t>
      </w:r>
    </w:p>
    <w:p w14:paraId="51B2D9D3" w14:textId="0A09769D" w:rsidR="0049661D" w:rsidRPr="0049661D" w:rsidRDefault="0049661D" w:rsidP="0049661D">
      <w:pPr>
        <w:pStyle w:val="ListParagraph"/>
        <w:numPr>
          <w:ilvl w:val="0"/>
          <w:numId w:val="16"/>
        </w:numPr>
        <w:rPr>
          <w:rFonts w:ascii="Times New Roman" w:hAnsi="Times New Roman" w:cs="Times New Roman"/>
          <w:sz w:val="20"/>
          <w:szCs w:val="20"/>
          <w:lang w:val="en-US"/>
        </w:rPr>
      </w:pPr>
      <w:r w:rsidRPr="0049661D">
        <w:rPr>
          <w:rFonts w:ascii="Times New Roman" w:hAnsi="Times New Roman" w:cs="Times New Roman"/>
          <w:sz w:val="20"/>
          <w:szCs w:val="20"/>
          <w:lang w:val="en-US"/>
        </w:rPr>
        <w:t>If the reference point is placed at the satellite as in Figure 2, then the gNB would have to handle not only the time varying UL to DL slot delay (12 ms (LEO) to 135 ms (GEO)), but also time varying Doppler on the Feeder link (from -20 kHz to +20 kHz Doppler during 500 seconds for LEO orbit).</w:t>
      </w:r>
    </w:p>
    <w:p w14:paraId="03C45D41" w14:textId="6E8A9703" w:rsidR="0049661D" w:rsidRDefault="0049661D" w:rsidP="0049661D">
      <w:pPr>
        <w:pStyle w:val="ListParagraph"/>
        <w:numPr>
          <w:ilvl w:val="0"/>
          <w:numId w:val="16"/>
        </w:numPr>
        <w:rPr>
          <w:rFonts w:ascii="Times New Roman" w:hAnsi="Times New Roman" w:cs="Times New Roman"/>
          <w:sz w:val="20"/>
          <w:szCs w:val="20"/>
          <w:lang w:val="en-US"/>
        </w:rPr>
      </w:pPr>
      <w:r w:rsidRPr="0049661D">
        <w:rPr>
          <w:rFonts w:ascii="Times New Roman" w:hAnsi="Times New Roman" w:cs="Times New Roman"/>
          <w:sz w:val="20"/>
          <w:szCs w:val="20"/>
          <w:lang w:val="en-US"/>
        </w:rPr>
        <w:t>If the reference point is placed at the gNB then standardization would be simplified, since this is the existing rel-16 baseline in 3GPP and greatly increase the possibilities to reuse existing gNB RF and BB SW and HW.</w:t>
      </w:r>
    </w:p>
    <w:p w14:paraId="4E28BB26" w14:textId="1BA4530D" w:rsidR="000D6F0A" w:rsidRDefault="00BE000D" w:rsidP="0049661D">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I</w:t>
      </w:r>
      <w:r w:rsidRPr="00BE000D">
        <w:rPr>
          <w:rFonts w:ascii="Times New Roman" w:hAnsi="Times New Roman" w:cs="Times New Roman"/>
          <w:sz w:val="20"/>
          <w:szCs w:val="20"/>
          <w:lang w:val="en-US"/>
        </w:rPr>
        <w:t xml:space="preserve">f the reference point is at the gNB, then the UE needs to compensate UL Doppler and delay for both the satellite and gNB </w:t>
      </w:r>
      <w:r w:rsidR="00110523" w:rsidRPr="00BE000D">
        <w:rPr>
          <w:rFonts w:ascii="Times New Roman" w:hAnsi="Times New Roman" w:cs="Times New Roman"/>
          <w:sz w:val="20"/>
          <w:szCs w:val="20"/>
          <w:lang w:val="en-US"/>
        </w:rPr>
        <w:t>receiver</w:t>
      </w:r>
      <w:r w:rsidRPr="00BE000D">
        <w:rPr>
          <w:rFonts w:ascii="Times New Roman" w:hAnsi="Times New Roman" w:cs="Times New Roman"/>
          <w:sz w:val="20"/>
          <w:szCs w:val="20"/>
          <w:lang w:val="en-US"/>
        </w:rPr>
        <w:t xml:space="preserve">, then the UE needs to know GW location, or, (depending on solution chosen) the Feeder link variable delay and Doppler shift has to be signaled to UE (so UE can compensate). </w:t>
      </w:r>
    </w:p>
    <w:p w14:paraId="55D03403" w14:textId="45046D61" w:rsidR="00BE000D" w:rsidRDefault="000D6F0A" w:rsidP="0049661D">
      <w:pPr>
        <w:pStyle w:val="ListParagraph"/>
        <w:numPr>
          <w:ilvl w:val="0"/>
          <w:numId w:val="16"/>
        </w:numPr>
        <w:rPr>
          <w:rFonts w:ascii="Times New Roman" w:hAnsi="Times New Roman" w:cs="Times New Roman"/>
          <w:sz w:val="20"/>
          <w:szCs w:val="20"/>
          <w:lang w:val="en-US"/>
        </w:rPr>
      </w:pPr>
      <w:r w:rsidRPr="000D6F0A">
        <w:rPr>
          <w:rFonts w:ascii="Times New Roman" w:hAnsi="Times New Roman" w:cs="Times New Roman"/>
          <w:sz w:val="20"/>
          <w:szCs w:val="20"/>
          <w:lang w:val="en-US"/>
        </w:rPr>
        <w:t>Feeder link variable delay and Doppler shift has to be updated quite frequently, since we can have dRTT/dt of 65 µs/s and a change from -20 kHz to +20 kHz Doppler during 500 seconds</w:t>
      </w:r>
      <w:r>
        <w:rPr>
          <w:rFonts w:ascii="Times New Roman" w:hAnsi="Times New Roman" w:cs="Times New Roman"/>
          <w:sz w:val="20"/>
          <w:szCs w:val="20"/>
          <w:lang w:val="en-US"/>
        </w:rPr>
        <w:t xml:space="preserve"> (LEO)</w:t>
      </w:r>
      <w:r w:rsidRPr="000D6F0A">
        <w:rPr>
          <w:rFonts w:ascii="Times New Roman" w:hAnsi="Times New Roman" w:cs="Times New Roman"/>
          <w:sz w:val="20"/>
          <w:szCs w:val="20"/>
          <w:lang w:val="en-US"/>
        </w:rPr>
        <w:t>.</w:t>
      </w:r>
    </w:p>
    <w:p w14:paraId="6D041BEB" w14:textId="40C12407" w:rsidR="005C06BC" w:rsidRPr="000D6F0A" w:rsidRDefault="00BE000D" w:rsidP="000D6F0A">
      <w:pPr>
        <w:pStyle w:val="ListParagraph"/>
        <w:numPr>
          <w:ilvl w:val="0"/>
          <w:numId w:val="16"/>
        </w:numPr>
        <w:rPr>
          <w:rFonts w:ascii="Times New Roman" w:hAnsi="Times New Roman" w:cs="Times New Roman"/>
          <w:sz w:val="20"/>
          <w:szCs w:val="20"/>
          <w:lang w:val="en-US"/>
        </w:rPr>
      </w:pPr>
      <w:r w:rsidRPr="00BE000D">
        <w:rPr>
          <w:rFonts w:ascii="Times New Roman" w:hAnsi="Times New Roman" w:cs="Times New Roman"/>
          <w:sz w:val="20"/>
          <w:szCs w:val="20"/>
          <w:lang w:val="en-US"/>
        </w:rPr>
        <w:t>Forwarding a constant GW position to is simple and has to be done one only once per connection, whilst Feeder link variable delay and Doppler shift has to be updated quite frequently.</w:t>
      </w:r>
    </w:p>
    <w:p w14:paraId="699CDFB3" w14:textId="21A47B58" w:rsidR="005C06BC" w:rsidRPr="00426A59" w:rsidRDefault="005C06BC" w:rsidP="000E25D4">
      <w:pPr>
        <w:spacing w:after="0"/>
        <w:rPr>
          <w:rFonts w:asciiTheme="majorBidi" w:hAnsiTheme="majorBidi" w:cstheme="majorBidi"/>
          <w:lang w:eastAsia="ko-KR"/>
        </w:rPr>
      </w:pPr>
      <w:r w:rsidRPr="005C06BC">
        <w:rPr>
          <w:rFonts w:asciiTheme="majorBidi" w:hAnsiTheme="majorBidi" w:cstheme="majorBidi"/>
          <w:lang w:eastAsia="ko-KR"/>
        </w:rPr>
        <w:lastRenderedPageBreak/>
        <w:t>[1]</w:t>
      </w:r>
      <w:r w:rsidRPr="005C06BC">
        <w:rPr>
          <w:rFonts w:asciiTheme="majorBidi" w:hAnsiTheme="majorBidi" w:cstheme="majorBidi"/>
          <w:lang w:eastAsia="ko-KR"/>
        </w:rPr>
        <w:tab/>
        <w:t>R4-2017350, WF on NR NTN RRM requirements, THALES</w:t>
      </w:r>
    </w:p>
    <w:p w14:paraId="35096BA4" w14:textId="77777777" w:rsidR="000E25D4" w:rsidRDefault="000E25D4" w:rsidP="000E25D4">
      <w:pPr>
        <w:pStyle w:val="Heading1"/>
      </w:pPr>
      <w:r>
        <w:t>2</w:t>
      </w:r>
      <w:r>
        <w:tab/>
        <w:t>Actions</w:t>
      </w:r>
    </w:p>
    <w:p w14:paraId="457334BD" w14:textId="77777777" w:rsidR="000E25D4" w:rsidRDefault="000E25D4" w:rsidP="000E25D4">
      <w:pPr>
        <w:spacing w:after="120"/>
        <w:ind w:left="1985" w:hanging="1985"/>
        <w:rPr>
          <w:rFonts w:ascii="Arial" w:hAnsi="Arial" w:cs="Arial"/>
          <w:b/>
        </w:rPr>
      </w:pPr>
      <w:r>
        <w:rPr>
          <w:rFonts w:ascii="Arial" w:hAnsi="Arial" w:cs="Arial"/>
          <w:b/>
        </w:rPr>
        <w:t xml:space="preserve">To </w:t>
      </w:r>
      <w:r w:rsidRPr="000775DC">
        <w:rPr>
          <w:rFonts w:ascii="Arial" w:hAnsi="Arial" w:cs="Arial" w:hint="eastAsia"/>
          <w:b/>
          <w:lang w:eastAsia="ko-KR"/>
        </w:rPr>
        <w:t>RAN WG2</w:t>
      </w:r>
      <w:r w:rsidRPr="000775DC">
        <w:rPr>
          <w:rFonts w:ascii="Arial" w:hAnsi="Arial" w:cs="Arial"/>
          <w:b/>
        </w:rPr>
        <w:t xml:space="preserve"> group</w:t>
      </w:r>
      <w:r w:rsidRPr="000F4E43">
        <w:rPr>
          <w:rFonts w:ascii="Arial" w:hAnsi="Arial" w:cs="Arial"/>
          <w:b/>
        </w:rPr>
        <w:t>.</w:t>
      </w:r>
    </w:p>
    <w:p w14:paraId="6FBB1F68" w14:textId="51EFA5F3" w:rsidR="000E25D4" w:rsidRPr="005B5C93" w:rsidRDefault="000E25D4" w:rsidP="000E25D4">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5B5C93">
        <w:t>RAN WG4 kindly asks RAN WG</w:t>
      </w:r>
      <w:r w:rsidR="00BE000D">
        <w:t>1</w:t>
      </w:r>
      <w:r w:rsidRPr="005B5C93">
        <w:t xml:space="preserve"> to take the information </w:t>
      </w:r>
      <w:r>
        <w:t xml:space="preserve">above </w:t>
      </w:r>
      <w:r w:rsidRPr="005B5C93">
        <w:t>into account.</w:t>
      </w:r>
    </w:p>
    <w:p w14:paraId="78B0D66F" w14:textId="77777777" w:rsidR="000E25D4" w:rsidRDefault="000E25D4" w:rsidP="000E25D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 xml:space="preserve">RAN </w:t>
      </w:r>
      <w:r w:rsidRPr="000F6242">
        <w:rPr>
          <w:rFonts w:cs="Arial"/>
          <w:bCs/>
          <w:szCs w:val="36"/>
        </w:rPr>
        <w:t>WG</w:t>
      </w:r>
      <w:r>
        <w:rPr>
          <w:rFonts w:cs="Arial"/>
          <w:bCs/>
          <w:szCs w:val="36"/>
        </w:rPr>
        <w:t xml:space="preserve"> 4</w:t>
      </w:r>
      <w:r>
        <w:rPr>
          <w:szCs w:val="36"/>
        </w:rPr>
        <w:t xml:space="preserve"> m</w:t>
      </w:r>
      <w:r w:rsidRPr="000F6242">
        <w:rPr>
          <w:szCs w:val="36"/>
        </w:rPr>
        <w:t>eetings</w:t>
      </w:r>
    </w:p>
    <w:p w14:paraId="538DC665" w14:textId="298DEF72" w:rsidR="000E25D4" w:rsidRDefault="000E25D4" w:rsidP="000E25D4">
      <w:r w:rsidRPr="00426A59">
        <w:t>TSG WG4 Meeting #98-</w:t>
      </w:r>
      <w:r>
        <w:t>bis-</w:t>
      </w:r>
      <w:r w:rsidRPr="00426A59">
        <w:t>e</w:t>
      </w:r>
      <w:r w:rsidRPr="00426A59">
        <w:tab/>
        <w:t xml:space="preserve">      </w:t>
      </w:r>
      <w:r>
        <w:t>12-20 April,</w:t>
      </w:r>
      <w:r w:rsidRPr="00426A59">
        <w:t xml:space="preserve"> 2021</w:t>
      </w:r>
      <w:r w:rsidRPr="00426A59">
        <w:tab/>
        <w:t xml:space="preserve">     </w:t>
      </w:r>
      <w:r>
        <w:t xml:space="preserve">               </w:t>
      </w:r>
      <w:r w:rsidRPr="00426A59">
        <w:t xml:space="preserve">  </w:t>
      </w:r>
      <w:r w:rsidR="00B34F1E">
        <w:tab/>
      </w:r>
      <w:r w:rsidRPr="00426A59">
        <w:t>Online</w:t>
      </w:r>
    </w:p>
    <w:p w14:paraId="699FBEFE" w14:textId="1EF7F565" w:rsidR="00B34F1E" w:rsidRPr="002F1940" w:rsidRDefault="00B34F1E" w:rsidP="000E25D4">
      <w:r>
        <w:t>TSG WG4 Meeting #99-e</w:t>
      </w:r>
      <w:r>
        <w:tab/>
      </w:r>
      <w:r>
        <w:tab/>
      </w:r>
      <w:r>
        <w:tab/>
        <w:t>19-27 May, 2021</w:t>
      </w:r>
      <w:r>
        <w:tab/>
      </w:r>
      <w:r>
        <w:tab/>
      </w:r>
      <w:r>
        <w:tab/>
      </w:r>
      <w:r>
        <w:tab/>
      </w:r>
      <w:r>
        <w:tab/>
      </w:r>
      <w:r>
        <w:tab/>
        <w:t>Online</w:t>
      </w:r>
    </w:p>
    <w:p w14:paraId="754D7877" w14:textId="77777777" w:rsidR="005E0739" w:rsidRPr="005E0739" w:rsidRDefault="005E0739" w:rsidP="005E0739">
      <w:pPr>
        <w:rPr>
          <w:lang w:val="en-US"/>
        </w:rPr>
      </w:pPr>
    </w:p>
    <w:sectPr w:rsidR="005E0739" w:rsidRPr="005E0739" w:rsidSect="000D6F0A">
      <w:footerReference w:type="default" r:id="rId17"/>
      <w:footnotePr>
        <w:numRestart w:val="eachSect"/>
      </w:footnotePr>
      <w:pgSz w:w="11907" w:h="16840" w:code="9"/>
      <w:pgMar w:top="851"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D8CE7" w14:textId="77777777" w:rsidR="00AF58CB" w:rsidRDefault="00AF58CB">
      <w:r>
        <w:separator/>
      </w:r>
    </w:p>
  </w:endnote>
  <w:endnote w:type="continuationSeparator" w:id="0">
    <w:p w14:paraId="11F6FAA8" w14:textId="77777777" w:rsidR="00AF58CB" w:rsidRDefault="00AF58CB">
      <w:r>
        <w:continuationSeparator/>
      </w:r>
    </w:p>
  </w:endnote>
  <w:endnote w:type="continuationNotice" w:id="1">
    <w:p w14:paraId="0CEFCA4D" w14:textId="77777777" w:rsidR="002F72F6" w:rsidRDefault="002F7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AF58CB" w:rsidRDefault="00AF58CB"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F58CB" w:rsidRPr="006F61D7" w:rsidRDefault="00AF58CB"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8A7F" w14:textId="77777777" w:rsidR="00AF58CB" w:rsidRDefault="00AF58CB">
      <w:r>
        <w:separator/>
      </w:r>
    </w:p>
  </w:footnote>
  <w:footnote w:type="continuationSeparator" w:id="0">
    <w:p w14:paraId="341CDBDF" w14:textId="77777777" w:rsidR="00AF58CB" w:rsidRDefault="00AF58CB">
      <w:r>
        <w:continuationSeparator/>
      </w:r>
    </w:p>
  </w:footnote>
  <w:footnote w:type="continuationNotice" w:id="1">
    <w:p w14:paraId="764E6528" w14:textId="77777777" w:rsidR="002F72F6" w:rsidRDefault="002F7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346040"/>
    <w:multiLevelType w:val="hybridMultilevel"/>
    <w:tmpl w:val="79122BF0"/>
    <w:lvl w:ilvl="0" w:tplc="96465F06">
      <w:start w:val="1"/>
      <w:numFmt w:val="bullet"/>
      <w:lvlText w:val=""/>
      <w:lvlJc w:val="left"/>
      <w:pPr>
        <w:tabs>
          <w:tab w:val="num" w:pos="720"/>
        </w:tabs>
        <w:ind w:left="720" w:hanging="360"/>
      </w:pPr>
      <w:rPr>
        <w:rFonts w:ascii="Symbol" w:hAnsi="Symbol" w:hint="default"/>
        <w:sz w:val="20"/>
      </w:rPr>
    </w:lvl>
    <w:lvl w:ilvl="1" w:tplc="F04AFEFE">
      <w:start w:val="1"/>
      <w:numFmt w:val="bullet"/>
      <w:lvlText w:val="o"/>
      <w:lvlJc w:val="left"/>
      <w:pPr>
        <w:tabs>
          <w:tab w:val="num" w:pos="1440"/>
        </w:tabs>
        <w:ind w:left="1440" w:hanging="360"/>
      </w:pPr>
      <w:rPr>
        <w:rFonts w:ascii="Courier New" w:hAnsi="Courier New" w:cs="Times New Roman" w:hint="default"/>
        <w:sz w:val="20"/>
      </w:rPr>
    </w:lvl>
    <w:lvl w:ilvl="2" w:tplc="F36283A0">
      <w:start w:val="1"/>
      <w:numFmt w:val="bullet"/>
      <w:lvlText w:val=""/>
      <w:lvlJc w:val="left"/>
      <w:pPr>
        <w:tabs>
          <w:tab w:val="num" w:pos="2160"/>
        </w:tabs>
        <w:ind w:left="2160" w:hanging="360"/>
      </w:pPr>
      <w:rPr>
        <w:rFonts w:ascii="Wingdings" w:hAnsi="Wingdings" w:hint="default"/>
        <w:sz w:val="20"/>
      </w:rPr>
    </w:lvl>
    <w:lvl w:ilvl="3" w:tplc="335C9A38">
      <w:start w:val="1"/>
      <w:numFmt w:val="bullet"/>
      <w:lvlText w:val=""/>
      <w:lvlJc w:val="left"/>
      <w:pPr>
        <w:tabs>
          <w:tab w:val="num" w:pos="2880"/>
        </w:tabs>
        <w:ind w:left="2880" w:hanging="360"/>
      </w:pPr>
      <w:rPr>
        <w:rFonts w:ascii="Symbol" w:hAnsi="Symbol" w:hint="default"/>
        <w:sz w:val="20"/>
      </w:rPr>
    </w:lvl>
    <w:lvl w:ilvl="4" w:tplc="BFBC0698">
      <w:start w:val="1"/>
      <w:numFmt w:val="bullet"/>
      <w:lvlText w:val=""/>
      <w:lvlJc w:val="left"/>
      <w:pPr>
        <w:tabs>
          <w:tab w:val="num" w:pos="3600"/>
        </w:tabs>
        <w:ind w:left="3600" w:hanging="360"/>
      </w:pPr>
      <w:rPr>
        <w:rFonts w:ascii="Symbol" w:hAnsi="Symbol" w:hint="default"/>
        <w:sz w:val="20"/>
      </w:rPr>
    </w:lvl>
    <w:lvl w:ilvl="5" w:tplc="63DA3AE4">
      <w:start w:val="1"/>
      <w:numFmt w:val="bullet"/>
      <w:lvlText w:val=""/>
      <w:lvlJc w:val="left"/>
      <w:pPr>
        <w:tabs>
          <w:tab w:val="num" w:pos="4320"/>
        </w:tabs>
        <w:ind w:left="4320" w:hanging="360"/>
      </w:pPr>
      <w:rPr>
        <w:rFonts w:ascii="Symbol" w:hAnsi="Symbol" w:hint="default"/>
        <w:sz w:val="20"/>
      </w:rPr>
    </w:lvl>
    <w:lvl w:ilvl="6" w:tplc="A06824F2">
      <w:start w:val="1"/>
      <w:numFmt w:val="bullet"/>
      <w:lvlText w:val=""/>
      <w:lvlJc w:val="left"/>
      <w:pPr>
        <w:tabs>
          <w:tab w:val="num" w:pos="5040"/>
        </w:tabs>
        <w:ind w:left="5040" w:hanging="360"/>
      </w:pPr>
      <w:rPr>
        <w:rFonts w:ascii="Symbol" w:hAnsi="Symbol" w:hint="default"/>
        <w:sz w:val="20"/>
      </w:rPr>
    </w:lvl>
    <w:lvl w:ilvl="7" w:tplc="9C3E5C6A">
      <w:start w:val="1"/>
      <w:numFmt w:val="bullet"/>
      <w:lvlText w:val=""/>
      <w:lvlJc w:val="left"/>
      <w:pPr>
        <w:tabs>
          <w:tab w:val="num" w:pos="5760"/>
        </w:tabs>
        <w:ind w:left="5760" w:hanging="360"/>
      </w:pPr>
      <w:rPr>
        <w:rFonts w:ascii="Symbol" w:hAnsi="Symbol" w:hint="default"/>
        <w:sz w:val="20"/>
      </w:rPr>
    </w:lvl>
    <w:lvl w:ilvl="8" w:tplc="DAEE863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D81F86"/>
    <w:multiLevelType w:val="hybridMultilevel"/>
    <w:tmpl w:val="147075DE"/>
    <w:lvl w:ilvl="0" w:tplc="396C6A5A">
      <w:start w:val="1"/>
      <w:numFmt w:val="bullet"/>
      <w:lvlText w:val=""/>
      <w:lvlJc w:val="left"/>
      <w:pPr>
        <w:tabs>
          <w:tab w:val="num" w:pos="720"/>
        </w:tabs>
        <w:ind w:left="720" w:hanging="360"/>
      </w:pPr>
      <w:rPr>
        <w:rFonts w:ascii="Symbol" w:hAnsi="Symbol" w:hint="default"/>
      </w:rPr>
    </w:lvl>
    <w:lvl w:ilvl="1" w:tplc="98F8D8A8">
      <w:numFmt w:val="bullet"/>
      <w:lvlText w:val="•"/>
      <w:lvlJc w:val="left"/>
      <w:pPr>
        <w:tabs>
          <w:tab w:val="num" w:pos="1440"/>
        </w:tabs>
        <w:ind w:left="1440" w:hanging="360"/>
      </w:pPr>
      <w:rPr>
        <w:rFonts w:ascii="Arial" w:hAnsi="Arial" w:hint="default"/>
      </w:rPr>
    </w:lvl>
    <w:lvl w:ilvl="2" w:tplc="5D9A7BCC" w:tentative="1">
      <w:start w:val="1"/>
      <w:numFmt w:val="bullet"/>
      <w:lvlText w:val=""/>
      <w:lvlJc w:val="left"/>
      <w:pPr>
        <w:tabs>
          <w:tab w:val="num" w:pos="2160"/>
        </w:tabs>
        <w:ind w:left="2160" w:hanging="360"/>
      </w:pPr>
      <w:rPr>
        <w:rFonts w:ascii="Symbol" w:hAnsi="Symbol" w:hint="default"/>
      </w:rPr>
    </w:lvl>
    <w:lvl w:ilvl="3" w:tplc="CE46D6F0" w:tentative="1">
      <w:start w:val="1"/>
      <w:numFmt w:val="bullet"/>
      <w:lvlText w:val=""/>
      <w:lvlJc w:val="left"/>
      <w:pPr>
        <w:tabs>
          <w:tab w:val="num" w:pos="2880"/>
        </w:tabs>
        <w:ind w:left="2880" w:hanging="360"/>
      </w:pPr>
      <w:rPr>
        <w:rFonts w:ascii="Symbol" w:hAnsi="Symbol" w:hint="default"/>
      </w:rPr>
    </w:lvl>
    <w:lvl w:ilvl="4" w:tplc="5EB843AE" w:tentative="1">
      <w:start w:val="1"/>
      <w:numFmt w:val="bullet"/>
      <w:lvlText w:val=""/>
      <w:lvlJc w:val="left"/>
      <w:pPr>
        <w:tabs>
          <w:tab w:val="num" w:pos="3600"/>
        </w:tabs>
        <w:ind w:left="3600" w:hanging="360"/>
      </w:pPr>
      <w:rPr>
        <w:rFonts w:ascii="Symbol" w:hAnsi="Symbol" w:hint="default"/>
      </w:rPr>
    </w:lvl>
    <w:lvl w:ilvl="5" w:tplc="ED16209E" w:tentative="1">
      <w:start w:val="1"/>
      <w:numFmt w:val="bullet"/>
      <w:lvlText w:val=""/>
      <w:lvlJc w:val="left"/>
      <w:pPr>
        <w:tabs>
          <w:tab w:val="num" w:pos="4320"/>
        </w:tabs>
        <w:ind w:left="4320" w:hanging="360"/>
      </w:pPr>
      <w:rPr>
        <w:rFonts w:ascii="Symbol" w:hAnsi="Symbol" w:hint="default"/>
      </w:rPr>
    </w:lvl>
    <w:lvl w:ilvl="6" w:tplc="C6DEAADA" w:tentative="1">
      <w:start w:val="1"/>
      <w:numFmt w:val="bullet"/>
      <w:lvlText w:val=""/>
      <w:lvlJc w:val="left"/>
      <w:pPr>
        <w:tabs>
          <w:tab w:val="num" w:pos="5040"/>
        </w:tabs>
        <w:ind w:left="5040" w:hanging="360"/>
      </w:pPr>
      <w:rPr>
        <w:rFonts w:ascii="Symbol" w:hAnsi="Symbol" w:hint="default"/>
      </w:rPr>
    </w:lvl>
    <w:lvl w:ilvl="7" w:tplc="F912F04E" w:tentative="1">
      <w:start w:val="1"/>
      <w:numFmt w:val="bullet"/>
      <w:lvlText w:val=""/>
      <w:lvlJc w:val="left"/>
      <w:pPr>
        <w:tabs>
          <w:tab w:val="num" w:pos="5760"/>
        </w:tabs>
        <w:ind w:left="5760" w:hanging="360"/>
      </w:pPr>
      <w:rPr>
        <w:rFonts w:ascii="Symbol" w:hAnsi="Symbol" w:hint="default"/>
      </w:rPr>
    </w:lvl>
    <w:lvl w:ilvl="8" w:tplc="920440F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70051DE"/>
    <w:multiLevelType w:val="hybridMultilevel"/>
    <w:tmpl w:val="A4DE5A16"/>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9" w15:restartNumberingAfterBreak="0">
    <w:nsid w:val="583A7916"/>
    <w:multiLevelType w:val="hybridMultilevel"/>
    <w:tmpl w:val="3E967ED6"/>
    <w:lvl w:ilvl="0" w:tplc="A61632A2">
      <w:start w:val="1"/>
      <w:numFmt w:val="bullet"/>
      <w:lvlText w:val=""/>
      <w:lvlJc w:val="left"/>
      <w:pPr>
        <w:tabs>
          <w:tab w:val="num" w:pos="720"/>
        </w:tabs>
        <w:ind w:left="720" w:hanging="360"/>
      </w:pPr>
      <w:rPr>
        <w:rFonts w:ascii="Symbol" w:hAnsi="Symbol" w:hint="default"/>
        <w:sz w:val="20"/>
      </w:rPr>
    </w:lvl>
    <w:lvl w:ilvl="1" w:tplc="02783496">
      <w:start w:val="1"/>
      <w:numFmt w:val="bullet"/>
      <w:lvlText w:val="o"/>
      <w:lvlJc w:val="left"/>
      <w:pPr>
        <w:tabs>
          <w:tab w:val="num" w:pos="1440"/>
        </w:tabs>
        <w:ind w:left="1440" w:hanging="360"/>
      </w:pPr>
      <w:rPr>
        <w:rFonts w:ascii="Courier New" w:hAnsi="Courier New" w:cs="Times New Roman" w:hint="default"/>
        <w:sz w:val="20"/>
      </w:rPr>
    </w:lvl>
    <w:lvl w:ilvl="2" w:tplc="EDE288B6">
      <w:start w:val="1"/>
      <w:numFmt w:val="bullet"/>
      <w:lvlText w:val=""/>
      <w:lvlJc w:val="left"/>
      <w:pPr>
        <w:tabs>
          <w:tab w:val="num" w:pos="2160"/>
        </w:tabs>
        <w:ind w:left="2160" w:hanging="360"/>
      </w:pPr>
      <w:rPr>
        <w:rFonts w:ascii="Wingdings" w:hAnsi="Wingdings" w:hint="default"/>
        <w:sz w:val="20"/>
      </w:rPr>
    </w:lvl>
    <w:lvl w:ilvl="3" w:tplc="535C5D8A">
      <w:start w:val="1"/>
      <w:numFmt w:val="bullet"/>
      <w:lvlText w:val=""/>
      <w:lvlJc w:val="left"/>
      <w:pPr>
        <w:tabs>
          <w:tab w:val="num" w:pos="2880"/>
        </w:tabs>
        <w:ind w:left="2880" w:hanging="360"/>
      </w:pPr>
      <w:rPr>
        <w:rFonts w:ascii="Symbol" w:hAnsi="Symbol" w:hint="default"/>
        <w:sz w:val="20"/>
      </w:rPr>
    </w:lvl>
    <w:lvl w:ilvl="4" w:tplc="EFA67252">
      <w:start w:val="1"/>
      <w:numFmt w:val="bullet"/>
      <w:lvlText w:val=""/>
      <w:lvlJc w:val="left"/>
      <w:pPr>
        <w:tabs>
          <w:tab w:val="num" w:pos="3600"/>
        </w:tabs>
        <w:ind w:left="3600" w:hanging="360"/>
      </w:pPr>
      <w:rPr>
        <w:rFonts w:ascii="Symbol" w:hAnsi="Symbol" w:hint="default"/>
        <w:sz w:val="20"/>
      </w:rPr>
    </w:lvl>
    <w:lvl w:ilvl="5" w:tplc="3E06CABA">
      <w:start w:val="1"/>
      <w:numFmt w:val="bullet"/>
      <w:lvlText w:val=""/>
      <w:lvlJc w:val="left"/>
      <w:pPr>
        <w:tabs>
          <w:tab w:val="num" w:pos="4320"/>
        </w:tabs>
        <w:ind w:left="4320" w:hanging="360"/>
      </w:pPr>
      <w:rPr>
        <w:rFonts w:ascii="Symbol" w:hAnsi="Symbol" w:hint="default"/>
        <w:sz w:val="20"/>
      </w:rPr>
    </w:lvl>
    <w:lvl w:ilvl="6" w:tplc="E7A07A7A">
      <w:start w:val="1"/>
      <w:numFmt w:val="bullet"/>
      <w:lvlText w:val=""/>
      <w:lvlJc w:val="left"/>
      <w:pPr>
        <w:tabs>
          <w:tab w:val="num" w:pos="5040"/>
        </w:tabs>
        <w:ind w:left="5040" w:hanging="360"/>
      </w:pPr>
      <w:rPr>
        <w:rFonts w:ascii="Symbol" w:hAnsi="Symbol" w:hint="default"/>
        <w:sz w:val="20"/>
      </w:rPr>
    </w:lvl>
    <w:lvl w:ilvl="7" w:tplc="06AE987A">
      <w:start w:val="1"/>
      <w:numFmt w:val="bullet"/>
      <w:lvlText w:val=""/>
      <w:lvlJc w:val="left"/>
      <w:pPr>
        <w:tabs>
          <w:tab w:val="num" w:pos="5760"/>
        </w:tabs>
        <w:ind w:left="5760" w:hanging="360"/>
      </w:pPr>
      <w:rPr>
        <w:rFonts w:ascii="Symbol" w:hAnsi="Symbol" w:hint="default"/>
        <w:sz w:val="20"/>
      </w:rPr>
    </w:lvl>
    <w:lvl w:ilvl="8" w:tplc="1C66D8B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90139E"/>
    <w:multiLevelType w:val="hybridMultilevel"/>
    <w:tmpl w:val="78A012C6"/>
    <w:lvl w:ilvl="0" w:tplc="911A251C">
      <w:start w:val="1"/>
      <w:numFmt w:val="bullet"/>
      <w:lvlText w:val=""/>
      <w:lvlJc w:val="left"/>
      <w:pPr>
        <w:tabs>
          <w:tab w:val="num" w:pos="720"/>
        </w:tabs>
        <w:ind w:left="720" w:hanging="360"/>
      </w:pPr>
      <w:rPr>
        <w:rFonts w:ascii="Symbol" w:hAnsi="Symbol" w:hint="default"/>
      </w:rPr>
    </w:lvl>
    <w:lvl w:ilvl="1" w:tplc="0DA83FF4">
      <w:numFmt w:val="bullet"/>
      <w:lvlText w:val="•"/>
      <w:lvlJc w:val="left"/>
      <w:pPr>
        <w:tabs>
          <w:tab w:val="num" w:pos="1440"/>
        </w:tabs>
        <w:ind w:left="1440" w:hanging="360"/>
      </w:pPr>
      <w:rPr>
        <w:rFonts w:ascii="Arial" w:hAnsi="Arial" w:hint="default"/>
      </w:rPr>
    </w:lvl>
    <w:lvl w:ilvl="2" w:tplc="E3EC56D2" w:tentative="1">
      <w:start w:val="1"/>
      <w:numFmt w:val="bullet"/>
      <w:lvlText w:val=""/>
      <w:lvlJc w:val="left"/>
      <w:pPr>
        <w:tabs>
          <w:tab w:val="num" w:pos="2160"/>
        </w:tabs>
        <w:ind w:left="2160" w:hanging="360"/>
      </w:pPr>
      <w:rPr>
        <w:rFonts w:ascii="Symbol" w:hAnsi="Symbol" w:hint="default"/>
      </w:rPr>
    </w:lvl>
    <w:lvl w:ilvl="3" w:tplc="32B01678" w:tentative="1">
      <w:start w:val="1"/>
      <w:numFmt w:val="bullet"/>
      <w:lvlText w:val=""/>
      <w:lvlJc w:val="left"/>
      <w:pPr>
        <w:tabs>
          <w:tab w:val="num" w:pos="2880"/>
        </w:tabs>
        <w:ind w:left="2880" w:hanging="360"/>
      </w:pPr>
      <w:rPr>
        <w:rFonts w:ascii="Symbol" w:hAnsi="Symbol" w:hint="default"/>
      </w:rPr>
    </w:lvl>
    <w:lvl w:ilvl="4" w:tplc="3C2EFB94" w:tentative="1">
      <w:start w:val="1"/>
      <w:numFmt w:val="bullet"/>
      <w:lvlText w:val=""/>
      <w:lvlJc w:val="left"/>
      <w:pPr>
        <w:tabs>
          <w:tab w:val="num" w:pos="3600"/>
        </w:tabs>
        <w:ind w:left="3600" w:hanging="360"/>
      </w:pPr>
      <w:rPr>
        <w:rFonts w:ascii="Symbol" w:hAnsi="Symbol" w:hint="default"/>
      </w:rPr>
    </w:lvl>
    <w:lvl w:ilvl="5" w:tplc="19842740" w:tentative="1">
      <w:start w:val="1"/>
      <w:numFmt w:val="bullet"/>
      <w:lvlText w:val=""/>
      <w:lvlJc w:val="left"/>
      <w:pPr>
        <w:tabs>
          <w:tab w:val="num" w:pos="4320"/>
        </w:tabs>
        <w:ind w:left="4320" w:hanging="360"/>
      </w:pPr>
      <w:rPr>
        <w:rFonts w:ascii="Symbol" w:hAnsi="Symbol" w:hint="default"/>
      </w:rPr>
    </w:lvl>
    <w:lvl w:ilvl="6" w:tplc="4F003330" w:tentative="1">
      <w:start w:val="1"/>
      <w:numFmt w:val="bullet"/>
      <w:lvlText w:val=""/>
      <w:lvlJc w:val="left"/>
      <w:pPr>
        <w:tabs>
          <w:tab w:val="num" w:pos="5040"/>
        </w:tabs>
        <w:ind w:left="5040" w:hanging="360"/>
      </w:pPr>
      <w:rPr>
        <w:rFonts w:ascii="Symbol" w:hAnsi="Symbol" w:hint="default"/>
      </w:rPr>
    </w:lvl>
    <w:lvl w:ilvl="7" w:tplc="194851B0" w:tentative="1">
      <w:start w:val="1"/>
      <w:numFmt w:val="bullet"/>
      <w:lvlText w:val=""/>
      <w:lvlJc w:val="left"/>
      <w:pPr>
        <w:tabs>
          <w:tab w:val="num" w:pos="5760"/>
        </w:tabs>
        <w:ind w:left="5760" w:hanging="360"/>
      </w:pPr>
      <w:rPr>
        <w:rFonts w:ascii="Symbol" w:hAnsi="Symbol" w:hint="default"/>
      </w:rPr>
    </w:lvl>
    <w:lvl w:ilvl="8" w:tplc="395CCCD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FDF3974"/>
    <w:multiLevelType w:val="hybridMultilevel"/>
    <w:tmpl w:val="B8D2097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5540EF8"/>
    <w:multiLevelType w:val="hybridMultilevel"/>
    <w:tmpl w:val="F610530C"/>
    <w:lvl w:ilvl="0" w:tplc="A162DF58">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7"/>
  </w:num>
  <w:num w:numId="7">
    <w:abstractNumId w:val="9"/>
  </w:num>
  <w:num w:numId="8">
    <w:abstractNumId w:val="4"/>
  </w:num>
  <w:num w:numId="9">
    <w:abstractNumId w:val="8"/>
  </w:num>
  <w:num w:numId="10">
    <w:abstractNumId w:val="6"/>
  </w:num>
  <w:num w:numId="11">
    <w:abstractNumId w:val="3"/>
  </w:num>
  <w:num w:numId="12">
    <w:abstractNumId w:val="2"/>
  </w:num>
  <w:num w:numId="13">
    <w:abstractNumId w:val="5"/>
  </w:num>
  <w:num w:numId="14">
    <w:abstractNumId w:val="11"/>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02"/>
    <w:rsid w:val="00033397"/>
    <w:rsid w:val="00040095"/>
    <w:rsid w:val="000455F6"/>
    <w:rsid w:val="00051834"/>
    <w:rsid w:val="00054A22"/>
    <w:rsid w:val="00056A26"/>
    <w:rsid w:val="00062023"/>
    <w:rsid w:val="000655A6"/>
    <w:rsid w:val="00080512"/>
    <w:rsid w:val="000A6454"/>
    <w:rsid w:val="000C47C3"/>
    <w:rsid w:val="000D0A04"/>
    <w:rsid w:val="000D58AB"/>
    <w:rsid w:val="000D6F0A"/>
    <w:rsid w:val="000E25D4"/>
    <w:rsid w:val="000F3182"/>
    <w:rsid w:val="00110523"/>
    <w:rsid w:val="001155E0"/>
    <w:rsid w:val="00123089"/>
    <w:rsid w:val="00133525"/>
    <w:rsid w:val="00155500"/>
    <w:rsid w:val="00167FC1"/>
    <w:rsid w:val="001A4C42"/>
    <w:rsid w:val="001A7420"/>
    <w:rsid w:val="001B25B1"/>
    <w:rsid w:val="001B6637"/>
    <w:rsid w:val="001C21C3"/>
    <w:rsid w:val="001D02C2"/>
    <w:rsid w:val="001F0C1D"/>
    <w:rsid w:val="001F1132"/>
    <w:rsid w:val="001F168B"/>
    <w:rsid w:val="002347A2"/>
    <w:rsid w:val="002675F0"/>
    <w:rsid w:val="002840A1"/>
    <w:rsid w:val="002B6339"/>
    <w:rsid w:val="002C4EFA"/>
    <w:rsid w:val="002E00EE"/>
    <w:rsid w:val="002F72F6"/>
    <w:rsid w:val="00300401"/>
    <w:rsid w:val="003172DC"/>
    <w:rsid w:val="0033363B"/>
    <w:rsid w:val="00335C36"/>
    <w:rsid w:val="0035462D"/>
    <w:rsid w:val="003765B8"/>
    <w:rsid w:val="003A71ED"/>
    <w:rsid w:val="003B4F2B"/>
    <w:rsid w:val="003C3971"/>
    <w:rsid w:val="003D429A"/>
    <w:rsid w:val="003E4357"/>
    <w:rsid w:val="00423334"/>
    <w:rsid w:val="004345EC"/>
    <w:rsid w:val="0044364B"/>
    <w:rsid w:val="00465515"/>
    <w:rsid w:val="0049661D"/>
    <w:rsid w:val="004D3578"/>
    <w:rsid w:val="004D4CED"/>
    <w:rsid w:val="004E213A"/>
    <w:rsid w:val="004F0988"/>
    <w:rsid w:val="004F3340"/>
    <w:rsid w:val="0053388B"/>
    <w:rsid w:val="00535773"/>
    <w:rsid w:val="00543E6C"/>
    <w:rsid w:val="00565087"/>
    <w:rsid w:val="0057305F"/>
    <w:rsid w:val="00586E2E"/>
    <w:rsid w:val="00597B11"/>
    <w:rsid w:val="005C06BC"/>
    <w:rsid w:val="005D2E01"/>
    <w:rsid w:val="005D328D"/>
    <w:rsid w:val="005D7526"/>
    <w:rsid w:val="005E0739"/>
    <w:rsid w:val="005E4BB2"/>
    <w:rsid w:val="00602AEA"/>
    <w:rsid w:val="006034DA"/>
    <w:rsid w:val="00614FDF"/>
    <w:rsid w:val="0063543D"/>
    <w:rsid w:val="0063585B"/>
    <w:rsid w:val="00647114"/>
    <w:rsid w:val="00681DD8"/>
    <w:rsid w:val="006A22F4"/>
    <w:rsid w:val="006A323F"/>
    <w:rsid w:val="006B30D0"/>
    <w:rsid w:val="006C1584"/>
    <w:rsid w:val="006C3D95"/>
    <w:rsid w:val="006E35F3"/>
    <w:rsid w:val="006E5C86"/>
    <w:rsid w:val="006F61D7"/>
    <w:rsid w:val="00701116"/>
    <w:rsid w:val="00712746"/>
    <w:rsid w:val="00713C44"/>
    <w:rsid w:val="00734A5B"/>
    <w:rsid w:val="0074026F"/>
    <w:rsid w:val="007429F6"/>
    <w:rsid w:val="00743C79"/>
    <w:rsid w:val="00744E76"/>
    <w:rsid w:val="00774DA4"/>
    <w:rsid w:val="00781F0F"/>
    <w:rsid w:val="0078309E"/>
    <w:rsid w:val="007A3110"/>
    <w:rsid w:val="007B600E"/>
    <w:rsid w:val="007D28A0"/>
    <w:rsid w:val="007F0F4A"/>
    <w:rsid w:val="008028A4"/>
    <w:rsid w:val="00827C6F"/>
    <w:rsid w:val="00830747"/>
    <w:rsid w:val="0083684A"/>
    <w:rsid w:val="0087269D"/>
    <w:rsid w:val="008768CA"/>
    <w:rsid w:val="00885367"/>
    <w:rsid w:val="008A6463"/>
    <w:rsid w:val="008C384C"/>
    <w:rsid w:val="008C656F"/>
    <w:rsid w:val="008D04BC"/>
    <w:rsid w:val="0090271F"/>
    <w:rsid w:val="00902E23"/>
    <w:rsid w:val="009114D7"/>
    <w:rsid w:val="0091348E"/>
    <w:rsid w:val="00917CCB"/>
    <w:rsid w:val="00942EC2"/>
    <w:rsid w:val="00985F99"/>
    <w:rsid w:val="009A1CAC"/>
    <w:rsid w:val="009B06B5"/>
    <w:rsid w:val="009C3E5A"/>
    <w:rsid w:val="009D37B1"/>
    <w:rsid w:val="009F37B7"/>
    <w:rsid w:val="00A07D60"/>
    <w:rsid w:val="00A10F02"/>
    <w:rsid w:val="00A164B4"/>
    <w:rsid w:val="00A26956"/>
    <w:rsid w:val="00A27486"/>
    <w:rsid w:val="00A3765B"/>
    <w:rsid w:val="00A430ED"/>
    <w:rsid w:val="00A44576"/>
    <w:rsid w:val="00A53724"/>
    <w:rsid w:val="00A56066"/>
    <w:rsid w:val="00A73129"/>
    <w:rsid w:val="00A82346"/>
    <w:rsid w:val="00A92BA1"/>
    <w:rsid w:val="00AC6BC6"/>
    <w:rsid w:val="00AD15C7"/>
    <w:rsid w:val="00AE65E2"/>
    <w:rsid w:val="00AF58CB"/>
    <w:rsid w:val="00B14FB3"/>
    <w:rsid w:val="00B15449"/>
    <w:rsid w:val="00B34F1E"/>
    <w:rsid w:val="00B515DD"/>
    <w:rsid w:val="00B66DD7"/>
    <w:rsid w:val="00B74BA0"/>
    <w:rsid w:val="00B93086"/>
    <w:rsid w:val="00B93FB3"/>
    <w:rsid w:val="00BA19ED"/>
    <w:rsid w:val="00BA2FE6"/>
    <w:rsid w:val="00BA4B8D"/>
    <w:rsid w:val="00BC0F7D"/>
    <w:rsid w:val="00BC1D86"/>
    <w:rsid w:val="00BD7ADC"/>
    <w:rsid w:val="00BD7D31"/>
    <w:rsid w:val="00BE000D"/>
    <w:rsid w:val="00BE3255"/>
    <w:rsid w:val="00BF128E"/>
    <w:rsid w:val="00C074DD"/>
    <w:rsid w:val="00C1496A"/>
    <w:rsid w:val="00C216C9"/>
    <w:rsid w:val="00C2377B"/>
    <w:rsid w:val="00C33079"/>
    <w:rsid w:val="00C41F2A"/>
    <w:rsid w:val="00C45231"/>
    <w:rsid w:val="00C6473B"/>
    <w:rsid w:val="00C72833"/>
    <w:rsid w:val="00C73F3B"/>
    <w:rsid w:val="00C80523"/>
    <w:rsid w:val="00C80F1D"/>
    <w:rsid w:val="00C93F40"/>
    <w:rsid w:val="00CA3D0C"/>
    <w:rsid w:val="00CB0749"/>
    <w:rsid w:val="00CB142E"/>
    <w:rsid w:val="00CB7671"/>
    <w:rsid w:val="00CE5A94"/>
    <w:rsid w:val="00D12A57"/>
    <w:rsid w:val="00D52F40"/>
    <w:rsid w:val="00D57972"/>
    <w:rsid w:val="00D6299F"/>
    <w:rsid w:val="00D675A9"/>
    <w:rsid w:val="00D738D6"/>
    <w:rsid w:val="00D755EB"/>
    <w:rsid w:val="00D76048"/>
    <w:rsid w:val="00D87E00"/>
    <w:rsid w:val="00D9134D"/>
    <w:rsid w:val="00DA7A03"/>
    <w:rsid w:val="00DB1818"/>
    <w:rsid w:val="00DC309B"/>
    <w:rsid w:val="00DC4DA2"/>
    <w:rsid w:val="00DD0575"/>
    <w:rsid w:val="00DD4C17"/>
    <w:rsid w:val="00DD74A5"/>
    <w:rsid w:val="00DF14D5"/>
    <w:rsid w:val="00DF2B1F"/>
    <w:rsid w:val="00DF62CD"/>
    <w:rsid w:val="00E16509"/>
    <w:rsid w:val="00E26FF6"/>
    <w:rsid w:val="00E44582"/>
    <w:rsid w:val="00E77645"/>
    <w:rsid w:val="00E951EA"/>
    <w:rsid w:val="00EA15B0"/>
    <w:rsid w:val="00EA2A9F"/>
    <w:rsid w:val="00EA5EA7"/>
    <w:rsid w:val="00EC4A25"/>
    <w:rsid w:val="00F025A2"/>
    <w:rsid w:val="00F04712"/>
    <w:rsid w:val="00F13360"/>
    <w:rsid w:val="00F22EC7"/>
    <w:rsid w:val="00F325C8"/>
    <w:rsid w:val="00F333DB"/>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customStyle="1" w:styleId="Doc-text2">
    <w:name w:val="Doc-text2"/>
    <w:basedOn w:val="Normal"/>
    <w:link w:val="Doc-text2Char"/>
    <w:qFormat/>
    <w:rsid w:val="008D04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04BC"/>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232168">
      <w:bodyDiv w:val="1"/>
      <w:marLeft w:val="0"/>
      <w:marRight w:val="0"/>
      <w:marTop w:val="0"/>
      <w:marBottom w:val="0"/>
      <w:divBdr>
        <w:top w:val="none" w:sz="0" w:space="0" w:color="auto"/>
        <w:left w:val="none" w:sz="0" w:space="0" w:color="auto"/>
        <w:bottom w:val="none" w:sz="0" w:space="0" w:color="auto"/>
        <w:right w:val="none" w:sz="0" w:space="0" w:color="auto"/>
      </w:divBdr>
      <w:divsChild>
        <w:div w:id="1316186197">
          <w:marLeft w:val="360"/>
          <w:marRight w:val="0"/>
          <w:marTop w:val="200"/>
          <w:marBottom w:val="0"/>
          <w:divBdr>
            <w:top w:val="none" w:sz="0" w:space="0" w:color="auto"/>
            <w:left w:val="none" w:sz="0" w:space="0" w:color="auto"/>
            <w:bottom w:val="none" w:sz="0" w:space="0" w:color="auto"/>
            <w:right w:val="none" w:sz="0" w:space="0" w:color="auto"/>
          </w:divBdr>
        </w:div>
        <w:div w:id="1860851097">
          <w:marLeft w:val="1080"/>
          <w:marRight w:val="0"/>
          <w:marTop w:val="100"/>
          <w:marBottom w:val="0"/>
          <w:divBdr>
            <w:top w:val="none" w:sz="0" w:space="0" w:color="auto"/>
            <w:left w:val="none" w:sz="0" w:space="0" w:color="auto"/>
            <w:bottom w:val="none" w:sz="0" w:space="0" w:color="auto"/>
            <w:right w:val="none" w:sz="0" w:space="0" w:color="auto"/>
          </w:divBdr>
        </w:div>
        <w:div w:id="2028947133">
          <w:marLeft w:val="1080"/>
          <w:marRight w:val="0"/>
          <w:marTop w:val="100"/>
          <w:marBottom w:val="0"/>
          <w:divBdr>
            <w:top w:val="none" w:sz="0" w:space="0" w:color="auto"/>
            <w:left w:val="none" w:sz="0" w:space="0" w:color="auto"/>
            <w:bottom w:val="none" w:sz="0" w:space="0" w:color="auto"/>
            <w:right w:val="none" w:sz="0" w:space="0" w:color="auto"/>
          </w:divBdr>
        </w:div>
        <w:div w:id="1646157464">
          <w:marLeft w:val="360"/>
          <w:marRight w:val="0"/>
          <w:marTop w:val="200"/>
          <w:marBottom w:val="0"/>
          <w:divBdr>
            <w:top w:val="none" w:sz="0" w:space="0" w:color="auto"/>
            <w:left w:val="none" w:sz="0" w:space="0" w:color="auto"/>
            <w:bottom w:val="none" w:sz="0" w:space="0" w:color="auto"/>
            <w:right w:val="none" w:sz="0" w:space="0" w:color="auto"/>
          </w:divBdr>
        </w:div>
        <w:div w:id="946501728">
          <w:marLeft w:val="1080"/>
          <w:marRight w:val="0"/>
          <w:marTop w:val="100"/>
          <w:marBottom w:val="0"/>
          <w:divBdr>
            <w:top w:val="none" w:sz="0" w:space="0" w:color="auto"/>
            <w:left w:val="none" w:sz="0" w:space="0" w:color="auto"/>
            <w:bottom w:val="none" w:sz="0" w:space="0" w:color="auto"/>
            <w:right w:val="none" w:sz="0" w:space="0" w:color="auto"/>
          </w:divBdr>
        </w:div>
      </w:divsChild>
    </w:div>
    <w:div w:id="1190029143">
      <w:bodyDiv w:val="1"/>
      <w:marLeft w:val="0"/>
      <w:marRight w:val="0"/>
      <w:marTop w:val="0"/>
      <w:marBottom w:val="0"/>
      <w:divBdr>
        <w:top w:val="none" w:sz="0" w:space="0" w:color="auto"/>
        <w:left w:val="none" w:sz="0" w:space="0" w:color="auto"/>
        <w:bottom w:val="none" w:sz="0" w:space="0" w:color="auto"/>
        <w:right w:val="none" w:sz="0" w:space="0" w:color="auto"/>
      </w:divBdr>
      <w:divsChild>
        <w:div w:id="959334957">
          <w:marLeft w:val="360"/>
          <w:marRight w:val="0"/>
          <w:marTop w:val="200"/>
          <w:marBottom w:val="0"/>
          <w:divBdr>
            <w:top w:val="none" w:sz="0" w:space="0" w:color="auto"/>
            <w:left w:val="none" w:sz="0" w:space="0" w:color="auto"/>
            <w:bottom w:val="none" w:sz="0" w:space="0" w:color="auto"/>
            <w:right w:val="none" w:sz="0" w:space="0" w:color="auto"/>
          </w:divBdr>
        </w:div>
        <w:div w:id="1183321614">
          <w:marLeft w:val="1080"/>
          <w:marRight w:val="0"/>
          <w:marTop w:val="100"/>
          <w:marBottom w:val="0"/>
          <w:divBdr>
            <w:top w:val="none" w:sz="0" w:space="0" w:color="auto"/>
            <w:left w:val="none" w:sz="0" w:space="0" w:color="auto"/>
            <w:bottom w:val="none" w:sz="0" w:space="0" w:color="auto"/>
            <w:right w:val="none" w:sz="0" w:space="0" w:color="auto"/>
          </w:divBdr>
        </w:div>
        <w:div w:id="2113083336">
          <w:marLeft w:val="1080"/>
          <w:marRight w:val="0"/>
          <w:marTop w:val="100"/>
          <w:marBottom w:val="0"/>
          <w:divBdr>
            <w:top w:val="none" w:sz="0" w:space="0" w:color="auto"/>
            <w:left w:val="none" w:sz="0" w:space="0" w:color="auto"/>
            <w:bottom w:val="none" w:sz="0" w:space="0" w:color="auto"/>
            <w:right w:val="none" w:sz="0" w:space="0" w:color="auto"/>
          </w:divBdr>
        </w:div>
        <w:div w:id="161504623">
          <w:marLeft w:val="360"/>
          <w:marRight w:val="0"/>
          <w:marTop w:val="200"/>
          <w:marBottom w:val="0"/>
          <w:divBdr>
            <w:top w:val="none" w:sz="0" w:space="0" w:color="auto"/>
            <w:left w:val="none" w:sz="0" w:space="0" w:color="auto"/>
            <w:bottom w:val="none" w:sz="0" w:space="0" w:color="auto"/>
            <w:right w:val="none" w:sz="0" w:space="0" w:color="auto"/>
          </w:divBdr>
        </w:div>
        <w:div w:id="19622276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magnus.k.larsson@ericsson.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43D7-9CC8-4967-B1E7-F6D7D3A2F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143F4-B7AF-42A2-9880-714DF63591B9}">
  <ds:schemaRefs>
    <ds:schemaRef ds:uri="http://schemas.microsoft.com/sharepoint/v3/contenttype/forms"/>
  </ds:schemaRefs>
</ds:datastoreItem>
</file>

<file path=customXml/itemProps3.xml><?xml version="1.0" encoding="utf-8"?>
<ds:datastoreItem xmlns:ds="http://schemas.openxmlformats.org/officeDocument/2006/customXml" ds:itemID="{DACA4959-CBCE-4415-AA9E-6C93D7A25800}">
  <ds:schemaRef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8AA5158-2DDB-421F-A83E-FD34FBD82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6</Pages>
  <Words>1351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57</cp:revision>
  <cp:lastPrinted>2020-12-30T09:44:00Z</cp:lastPrinted>
  <dcterms:created xsi:type="dcterms:W3CDTF">2020-12-08T14:50:00Z</dcterms:created>
  <dcterms:modified xsi:type="dcterms:W3CDTF">2021-01-15T14:57:00Z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