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9C14F" w14:textId="25EFCE86" w:rsidR="00A563E3" w:rsidRPr="00DB3907" w:rsidRDefault="00A563E3" w:rsidP="00A563E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BE78AF">
        <w:rPr>
          <w:rFonts w:cs="Arial"/>
          <w:sz w:val="24"/>
          <w:szCs w:val="24"/>
          <w:lang w:val="de-DE"/>
        </w:rPr>
        <w:t>6</w:t>
      </w:r>
      <w:r>
        <w:rPr>
          <w:rFonts w:cs="Arial"/>
          <w:sz w:val="24"/>
          <w:szCs w:val="24"/>
          <w:lang w:val="de-DE"/>
        </w:rPr>
        <w:t>-e</w:t>
      </w:r>
      <w:r w:rsidRPr="00DB3907">
        <w:rPr>
          <w:rFonts w:cs="Arial"/>
          <w:sz w:val="24"/>
          <w:szCs w:val="24"/>
          <w:lang w:val="de-DE"/>
        </w:rPr>
        <w:tab/>
        <w:t>R4-</w:t>
      </w:r>
      <w:r>
        <w:rPr>
          <w:rFonts w:cs="Arial"/>
          <w:sz w:val="24"/>
          <w:szCs w:val="24"/>
          <w:lang w:val="de-DE"/>
        </w:rPr>
        <w:t>20</w:t>
      </w:r>
      <w:r w:rsidR="003D4359">
        <w:rPr>
          <w:rFonts w:cs="Arial"/>
          <w:sz w:val="24"/>
          <w:szCs w:val="24"/>
          <w:lang w:val="de-DE"/>
        </w:rPr>
        <w:t>11341</w:t>
      </w:r>
    </w:p>
    <w:p w14:paraId="6E79AB25" w14:textId="70E0DCAF" w:rsidR="00A563E3" w:rsidRPr="00DB3907" w:rsidRDefault="00BE78AF" w:rsidP="00A563E3">
      <w:pPr>
        <w:pStyle w:val="Header"/>
        <w:tabs>
          <w:tab w:val="left" w:pos="6521"/>
        </w:tabs>
        <w:rPr>
          <w:rFonts w:cs="Arial"/>
          <w:sz w:val="24"/>
          <w:szCs w:val="24"/>
        </w:rPr>
      </w:pPr>
      <w:r>
        <w:rPr>
          <w:rFonts w:cs="Arial"/>
          <w:sz w:val="24"/>
          <w:szCs w:val="24"/>
        </w:rPr>
        <w:t>Aug</w:t>
      </w:r>
      <w:r w:rsidR="00A563E3">
        <w:rPr>
          <w:rFonts w:cs="Arial"/>
          <w:sz w:val="24"/>
          <w:szCs w:val="24"/>
        </w:rPr>
        <w:t xml:space="preserve"> </w:t>
      </w:r>
      <w:r>
        <w:rPr>
          <w:rFonts w:cs="Arial"/>
          <w:sz w:val="24"/>
          <w:szCs w:val="24"/>
        </w:rPr>
        <w:t>17</w:t>
      </w:r>
      <w:r w:rsidR="00A563E3">
        <w:rPr>
          <w:rFonts w:cs="Arial"/>
          <w:sz w:val="24"/>
          <w:szCs w:val="24"/>
          <w:vertAlign w:val="superscript"/>
        </w:rPr>
        <w:t>th</w:t>
      </w:r>
      <w:r w:rsidR="00A563E3">
        <w:rPr>
          <w:rFonts w:cs="Arial"/>
          <w:sz w:val="24"/>
          <w:szCs w:val="24"/>
        </w:rPr>
        <w:t xml:space="preserve"> ‒ </w:t>
      </w:r>
      <w:r>
        <w:rPr>
          <w:rFonts w:cs="Arial"/>
          <w:sz w:val="24"/>
          <w:szCs w:val="24"/>
        </w:rPr>
        <w:t>28</w:t>
      </w:r>
      <w:r w:rsidR="00A563E3">
        <w:rPr>
          <w:rFonts w:cs="Arial"/>
          <w:sz w:val="24"/>
          <w:szCs w:val="24"/>
          <w:vertAlign w:val="superscript"/>
        </w:rPr>
        <w:t>th</w:t>
      </w:r>
      <w:r w:rsidR="00A563E3">
        <w:rPr>
          <w:rFonts w:cs="Arial"/>
          <w:sz w:val="24"/>
          <w:szCs w:val="24"/>
        </w:rPr>
        <w:t>, 2020</w:t>
      </w:r>
    </w:p>
    <w:p w14:paraId="4CA7942A" w14:textId="77777777" w:rsidR="00A563E3" w:rsidRPr="00DB3907" w:rsidRDefault="00A563E3" w:rsidP="00A563E3">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F25F66F"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045502">
        <w:rPr>
          <w:rFonts w:ascii="Arial" w:hAnsi="Arial"/>
          <w:sz w:val="24"/>
          <w:lang w:val="en-US"/>
        </w:rPr>
        <w:t>4.2.1.1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1FE51A5A" w:rsidR="00717421" w:rsidRPr="007E1DBE" w:rsidRDefault="00DB3907" w:rsidP="00DB3907">
      <w:pPr>
        <w:tabs>
          <w:tab w:val="left" w:pos="1985"/>
        </w:tabs>
        <w:ind w:left="1980" w:hanging="1980"/>
        <w:rPr>
          <w:rFonts w:ascii="Symbol" w:hAnsi="Symbo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E1DBE">
        <w:rPr>
          <w:rFonts w:ascii="Arial" w:hAnsi="Arial"/>
          <w:sz w:val="24"/>
          <w:lang w:val="en-US"/>
        </w:rPr>
        <w:t xml:space="preserve">Applicability of </w:t>
      </w:r>
      <w:r w:rsidR="007E1DBE">
        <w:rPr>
          <w:rFonts w:ascii="Symbol" w:hAnsi="Symbol"/>
          <w:sz w:val="24"/>
          <w:lang w:val="en-US"/>
        </w:rPr>
        <w:t>D</w:t>
      </w:r>
      <w:r w:rsidR="007E1DBE">
        <w:rPr>
          <w:rFonts w:ascii="Arial" w:hAnsi="Arial"/>
          <w:sz w:val="24"/>
          <w:lang w:val="en-US"/>
        </w:rPr>
        <w:t>T</w:t>
      </w:r>
      <w:r w:rsidR="007E1DBE" w:rsidRPr="007E1DBE">
        <w:rPr>
          <w:rFonts w:ascii="Arial" w:hAnsi="Arial"/>
          <w:sz w:val="24"/>
          <w:vertAlign w:val="subscript"/>
          <w:lang w:val="en-US"/>
        </w:rPr>
        <w:t>RxSRS</w:t>
      </w:r>
      <w:r w:rsidR="007E1DBE">
        <w:rPr>
          <w:rFonts w:ascii="Arial" w:hAnsi="Arial"/>
          <w:sz w:val="24"/>
          <w:lang w:val="en-US"/>
        </w:rPr>
        <w:t xml:space="preserve"> to SRS carrier switching</w:t>
      </w:r>
      <w:r w:rsidR="006D4D5F">
        <w:rPr>
          <w:rFonts w:ascii="Arial" w:hAnsi="Arial"/>
          <w:sz w:val="24"/>
          <w:lang w:val="en-US"/>
        </w:rPr>
        <w:t xml:space="preserve"> and power class 2</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3E80A246" w14:textId="7CF7E2CE" w:rsidR="00EC5D39" w:rsidRDefault="000E0602" w:rsidP="00EC0D60">
      <w:pPr>
        <w:pStyle w:val="Heading1"/>
        <w:tabs>
          <w:tab w:val="clear" w:pos="432"/>
          <w:tab w:val="num" w:pos="522"/>
        </w:tabs>
        <w:ind w:left="522" w:hanging="522"/>
        <w:rPr>
          <w:lang w:val="en-US"/>
        </w:rPr>
      </w:pPr>
      <w:r>
        <w:rPr>
          <w:lang w:val="en-US"/>
        </w:rPr>
        <w:t>Introduction</w:t>
      </w:r>
    </w:p>
    <w:p w14:paraId="4CC50254" w14:textId="54AB56D7" w:rsidR="007E1DBE" w:rsidRPr="007E1DBE" w:rsidRDefault="007E1DBE" w:rsidP="007E1DBE">
      <w:pPr>
        <w:rPr>
          <w:lang w:val="en-US"/>
        </w:rPr>
      </w:pPr>
      <w:r>
        <w:rPr>
          <w:lang w:val="en-US"/>
        </w:rPr>
        <w:t>The UE configured transmitted power (P</w:t>
      </w:r>
      <w:r w:rsidRPr="007E1DBE">
        <w:rPr>
          <w:vertAlign w:val="subscript"/>
          <w:lang w:val="en-US"/>
        </w:rPr>
        <w:t>CMAX</w:t>
      </w:r>
      <w:r>
        <w:rPr>
          <w:lang w:val="en-US"/>
        </w:rPr>
        <w:t xml:space="preserve">) includes an allowance for insertion loss when SRS is switched across antennas.  </w:t>
      </w:r>
      <w:r w:rsidR="007E2009">
        <w:rPr>
          <w:lang w:val="en-US"/>
        </w:rPr>
        <w:t>However, the</w:t>
      </w:r>
      <w:r w:rsidR="007F5372">
        <w:rPr>
          <w:lang w:val="en-US"/>
        </w:rPr>
        <w:t xml:space="preserve"> current formulation is insufficient </w:t>
      </w:r>
      <w:r w:rsidR="007F5372">
        <w:rPr>
          <w:lang w:eastAsia="zh-CN"/>
        </w:rPr>
        <w:t>to accommodate some notable cases and configurations related to DL-only CA and to PC2.</w:t>
      </w:r>
    </w:p>
    <w:p w14:paraId="10F6602E" w14:textId="4F963784" w:rsidR="007E1E78" w:rsidRDefault="007E1E78" w:rsidP="0099327E">
      <w:pPr>
        <w:pStyle w:val="Heading1"/>
        <w:tabs>
          <w:tab w:val="clear" w:pos="432"/>
          <w:tab w:val="num" w:pos="522"/>
        </w:tabs>
        <w:ind w:left="522" w:hanging="522"/>
        <w:rPr>
          <w:lang w:val="en-US"/>
        </w:rPr>
      </w:pPr>
      <w:r>
        <w:rPr>
          <w:lang w:val="en-US"/>
        </w:rPr>
        <w:t>Discussion</w:t>
      </w:r>
    </w:p>
    <w:p w14:paraId="50DC9573" w14:textId="20AAA73C" w:rsidR="007F5372" w:rsidRPr="007F5372" w:rsidRDefault="007F5372" w:rsidP="007F5372">
      <w:pPr>
        <w:pStyle w:val="Heading2"/>
        <w:rPr>
          <w:lang w:val="en-US"/>
        </w:rPr>
      </w:pPr>
      <w:r>
        <w:rPr>
          <w:lang w:val="en-US"/>
        </w:rPr>
        <w:t>Problem statement</w:t>
      </w:r>
    </w:p>
    <w:p w14:paraId="44B8CCA7" w14:textId="64829125" w:rsidR="007E2009" w:rsidRDefault="007E2009" w:rsidP="007E1DBE">
      <w:pPr>
        <w:rPr>
          <w:lang w:val="en-US"/>
        </w:rPr>
      </w:pPr>
      <w:r>
        <w:rPr>
          <w:lang w:val="en-US"/>
        </w:rPr>
        <w:t>The lower bound of maximum configured transmitted power is specified as</w:t>
      </w:r>
    </w:p>
    <w:p w14:paraId="4AD129B7" w14:textId="77777777" w:rsidR="007E2009" w:rsidRPr="001C0CC4" w:rsidRDefault="007E2009" w:rsidP="007E2009">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15F3CA44" w14:textId="6D6D02E3" w:rsidR="007E2009" w:rsidRDefault="007E2009" w:rsidP="007E1DBE">
      <w:pPr>
        <w:rPr>
          <w:lang w:eastAsia="zh-CN"/>
        </w:rPr>
      </w:pPr>
      <w:r>
        <w:rPr>
          <w:lang w:val="en-US"/>
        </w:rPr>
        <w:t>For the purpose of SRS transmission</w:t>
      </w:r>
      <w:r w:rsidR="00D77F2E">
        <w:rPr>
          <w:lang w:val="en-US"/>
        </w:rPr>
        <w:t xml:space="preserve"> on a diversity Rx antenna, an allowance </w:t>
      </w:r>
      <w:r w:rsidR="00D77F2E" w:rsidRPr="001C0CC4">
        <w:t>∆T</w:t>
      </w:r>
      <w:r w:rsidR="00D77F2E" w:rsidRPr="001C0CC4">
        <w:rPr>
          <w:vertAlign w:val="subscript"/>
          <w:lang w:eastAsia="zh-CN"/>
        </w:rPr>
        <w:t>RxSRS</w:t>
      </w:r>
      <w:r w:rsidR="00D77F2E">
        <w:rPr>
          <w:lang w:eastAsia="zh-CN"/>
        </w:rPr>
        <w:t xml:space="preserve"> is provided in recognition of the additional insertion loss of switching and routing a PA to the receive antenna.  The addition loss comes from switches, RF cabling, </w:t>
      </w:r>
      <w:r w:rsidR="007C2050">
        <w:rPr>
          <w:lang w:eastAsia="zh-CN"/>
        </w:rPr>
        <w:t xml:space="preserve">PCB </w:t>
      </w:r>
      <w:r w:rsidR="00D77F2E">
        <w:rPr>
          <w:lang w:eastAsia="zh-CN"/>
        </w:rPr>
        <w:t>trace loss, etc. [</w:t>
      </w:r>
      <w:r w:rsidR="006D4D5F">
        <w:rPr>
          <w:lang w:eastAsia="zh-CN"/>
        </w:rPr>
        <w:t>1</w:t>
      </w:r>
      <w:r w:rsidR="00D77F2E">
        <w:rPr>
          <w:lang w:eastAsia="zh-CN"/>
        </w:rPr>
        <w:t xml:space="preserve">] </w:t>
      </w:r>
      <w:r w:rsidR="007C2050">
        <w:rPr>
          <w:lang w:eastAsia="zh-CN"/>
        </w:rPr>
        <w:t xml:space="preserve">for which an allowance of </w:t>
      </w:r>
      <w:r w:rsidR="00D77F2E">
        <w:rPr>
          <w:lang w:eastAsia="zh-CN"/>
        </w:rPr>
        <w:t xml:space="preserve">either 3 dB or 4.5 dB </w:t>
      </w:r>
      <w:r w:rsidR="007C2050">
        <w:rPr>
          <w:lang w:eastAsia="zh-CN"/>
        </w:rPr>
        <w:t xml:space="preserve">is provided </w:t>
      </w:r>
      <w:r w:rsidR="00D77F2E">
        <w:rPr>
          <w:lang w:eastAsia="zh-CN"/>
        </w:rPr>
        <w:t>depending on the frequency range.</w:t>
      </w:r>
    </w:p>
    <w:p w14:paraId="569BFF76" w14:textId="280C6F12" w:rsidR="00D77F2E" w:rsidRDefault="007C2050" w:rsidP="007E1DBE">
      <w:pPr>
        <w:rPr>
          <w:lang w:eastAsia="zh-CN"/>
        </w:rPr>
      </w:pPr>
      <w:r>
        <w:rPr>
          <w:lang w:eastAsia="zh-CN"/>
        </w:rPr>
        <w:t xml:space="preserve">The </w:t>
      </w:r>
      <w:r w:rsidRPr="001C0CC4">
        <w:t>∆T</w:t>
      </w:r>
      <w:r w:rsidRPr="001C0CC4">
        <w:rPr>
          <w:vertAlign w:val="subscript"/>
          <w:lang w:eastAsia="zh-CN"/>
        </w:rPr>
        <w:t>RxSRS</w:t>
      </w:r>
      <w:r>
        <w:rPr>
          <w:lang w:eastAsia="zh-CN"/>
        </w:rPr>
        <w:t xml:space="preserve"> allowance is described as follows</w:t>
      </w:r>
    </w:p>
    <w:p w14:paraId="27E66FEB" w14:textId="77777777" w:rsidR="007C2050" w:rsidRPr="001C0CC4" w:rsidRDefault="007C2050" w:rsidP="007C2050">
      <w:pPr>
        <w:pStyle w:val="B10"/>
      </w:pPr>
      <w:r w:rsidRPr="001C0CC4">
        <w:t>∆T</w:t>
      </w:r>
      <w:r w:rsidRPr="001C0CC4">
        <w:rPr>
          <w:vertAlign w:val="subscript"/>
        </w:rPr>
        <w:t>RxSRS</w:t>
      </w:r>
      <w:r w:rsidRPr="001C0CC4">
        <w:t xml:space="preserve"> is applied when UE transmits SRS to other than first SRS port when the </w:t>
      </w:r>
      <w:r w:rsidRPr="001C0CC4">
        <w:rPr>
          <w:i/>
        </w:rPr>
        <w:t>SRS-TxSwitch</w:t>
      </w:r>
      <w:r w:rsidRPr="001C0CC4">
        <w:t xml:space="preserve"> capability is indicated as  '1T2R', '1T4R' or, '1T4R/2T4R' with UE configured with 4 SRS resources in the SRS resource set, and when 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 with the UE configured with 2 SRS resources in the SRS resource set. 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p>
    <w:p w14:paraId="30C59B60" w14:textId="2BD8F2AD" w:rsidR="007C2050" w:rsidRDefault="007C2050" w:rsidP="007E1DBE">
      <w:pPr>
        <w:rPr>
          <w:lang w:eastAsia="zh-CN"/>
        </w:rPr>
      </w:pPr>
      <w:r>
        <w:rPr>
          <w:lang w:eastAsia="zh-CN"/>
        </w:rPr>
        <w:t>Hence, the allowance is applicable w</w:t>
      </w:r>
      <w:r w:rsidR="005E378A">
        <w:rPr>
          <w:lang w:eastAsia="zh-CN"/>
        </w:rPr>
        <w:t>hen</w:t>
      </w:r>
      <w:r>
        <w:rPr>
          <w:lang w:eastAsia="zh-CN"/>
        </w:rPr>
        <w:t xml:space="preserve"> </w:t>
      </w:r>
      <w:r w:rsidRPr="007C2050">
        <w:rPr>
          <w:i/>
          <w:iCs/>
          <w:lang w:eastAsia="zh-CN"/>
        </w:rPr>
        <w:t>SRS-TxSwitch</w:t>
      </w:r>
      <w:r>
        <w:rPr>
          <w:lang w:eastAsia="zh-CN"/>
        </w:rPr>
        <w:t xml:space="preserve"> capability is indicated and the UE is configured with multiple SRS resources.  Clearly, this is applicable to DL MIMO with SRS antenna switching where it is necessary to sound all Rx antennas for best performance.  However, the allowance should also be applicable to the DL CA case where SRS carrier switching enables sounding of all Rx carriers.  In particular </w:t>
      </w:r>
      <w:r w:rsidR="005E378A">
        <w:rPr>
          <w:lang w:eastAsia="zh-CN"/>
        </w:rPr>
        <w:t xml:space="preserve">it is needed </w:t>
      </w:r>
      <w:r>
        <w:rPr>
          <w:lang w:eastAsia="zh-CN"/>
        </w:rPr>
        <w:t xml:space="preserve">for the case of a DL-only carrier </w:t>
      </w:r>
      <w:r w:rsidR="005E378A">
        <w:rPr>
          <w:lang w:eastAsia="zh-CN"/>
        </w:rPr>
        <w:t xml:space="preserve">where </w:t>
      </w:r>
      <w:r>
        <w:rPr>
          <w:lang w:eastAsia="zh-CN"/>
        </w:rPr>
        <w:t xml:space="preserve">there is no native Tx path on that carrier.  Therefore, a PA needs to be switched to </w:t>
      </w:r>
      <w:r w:rsidR="005E378A">
        <w:rPr>
          <w:lang w:eastAsia="zh-CN"/>
        </w:rPr>
        <w:t>the DL-only</w:t>
      </w:r>
      <w:r>
        <w:rPr>
          <w:lang w:eastAsia="zh-CN"/>
        </w:rPr>
        <w:t xml:space="preserve"> carrier for the purpose of transmitting SRS.  The same losses as described for SRS antenna switching (switches, RF cabling, PCB trace loss) are present in this case of SRS carrier switching to a DL-only carrier are also present.  </w:t>
      </w:r>
    </w:p>
    <w:p w14:paraId="09ABA1AC" w14:textId="3DEE3360" w:rsidR="005E378A" w:rsidRDefault="005E378A" w:rsidP="007E1DBE">
      <w:pPr>
        <w:rPr>
          <w:lang w:eastAsia="zh-CN"/>
        </w:rPr>
      </w:pPr>
      <w:r>
        <w:rPr>
          <w:lang w:eastAsia="zh-CN"/>
        </w:rPr>
        <w:t>Another case where the existing allowance is insufficient is related to the power class.  According to the P</w:t>
      </w:r>
      <w:r w:rsidRPr="005E378A">
        <w:rPr>
          <w:vertAlign w:val="subscript"/>
          <w:lang w:eastAsia="zh-CN"/>
        </w:rPr>
        <w:t xml:space="preserve">CMAX_L </w:t>
      </w:r>
      <w:r>
        <w:rPr>
          <w:lang w:eastAsia="zh-CN"/>
        </w:rPr>
        <w:t>equation shown above, the configured power is defined relative to P</w:t>
      </w:r>
      <w:r w:rsidRPr="005E378A">
        <w:rPr>
          <w:vertAlign w:val="subscript"/>
          <w:lang w:eastAsia="zh-CN"/>
        </w:rPr>
        <w:t>PowerClass</w:t>
      </w:r>
      <w:r>
        <w:rPr>
          <w:lang w:eastAsia="zh-CN"/>
        </w:rPr>
        <w:t>.  Consider the case of a carrier that supports PC2 power class and DL MIMO and is requested to transmit SRS to all diversity Rx antennas.  Since the UE has declared PC2 for this carrier, the P</w:t>
      </w:r>
      <w:r w:rsidRPr="005E378A">
        <w:rPr>
          <w:vertAlign w:val="subscript"/>
          <w:lang w:eastAsia="zh-CN"/>
        </w:rPr>
        <w:t xml:space="preserve">CMAX_L </w:t>
      </w:r>
      <w:r>
        <w:rPr>
          <w:lang w:eastAsia="zh-CN"/>
        </w:rPr>
        <w:t>for the SRS transmission on diversity Rx antennas will be computed according to PC2 P</w:t>
      </w:r>
      <w:r w:rsidRPr="005E378A">
        <w:rPr>
          <w:vertAlign w:val="subscript"/>
          <w:lang w:eastAsia="zh-CN"/>
        </w:rPr>
        <w:t>PowerClass</w:t>
      </w:r>
      <w:r>
        <w:rPr>
          <w:lang w:eastAsia="zh-CN"/>
        </w:rPr>
        <w:t>, namely, 26 dBm.  In order to meet the P</w:t>
      </w:r>
      <w:r w:rsidRPr="005E378A">
        <w:rPr>
          <w:vertAlign w:val="subscript"/>
          <w:lang w:eastAsia="zh-CN"/>
        </w:rPr>
        <w:t>CMAX_L</w:t>
      </w:r>
      <w:r>
        <w:rPr>
          <w:lang w:eastAsia="zh-CN"/>
        </w:rPr>
        <w:t xml:space="preserve"> requirement, the PC2 PA will have to be switched and routed to the diversity Rx antennas.  However, it may be preferable to </w:t>
      </w:r>
      <w:r w:rsidR="008548CB">
        <w:rPr>
          <w:lang w:eastAsia="zh-CN"/>
        </w:rPr>
        <w:t>transmit the SRS from</w:t>
      </w:r>
      <w:r>
        <w:rPr>
          <w:lang w:eastAsia="zh-CN"/>
        </w:rPr>
        <w:t xml:space="preserve"> a different PA </w:t>
      </w:r>
      <w:r w:rsidR="008548CB">
        <w:rPr>
          <w:lang w:eastAsia="zh-CN"/>
        </w:rPr>
        <w:t xml:space="preserve">to the diversity antennas.  The PC2 PA is already challenged to meet higher 26 dBm output power with good efficiency so seeks to minimize any insertion loss due to additional switching for SRS.  If another PA is available, it would be preferable to use the other PA for SRS transmission on the diversity antenna rather than adding a switch in front of the PC2 PA.  For example, a UE that is hardware capable of UL MIMO may be equipped with a PC2 PA and a PC3 PA for the carrier with the PC2 PA attached to the primary antenna and PC3 PA connected to diversity antenna.  </w:t>
      </w:r>
      <w:r w:rsidR="008548CB">
        <w:rPr>
          <w:lang w:eastAsia="zh-CN"/>
        </w:rPr>
        <w:lastRenderedPageBreak/>
        <w:t>When sounding the diversity antenna</w:t>
      </w:r>
      <w:r w:rsidR="007F5372">
        <w:rPr>
          <w:lang w:eastAsia="zh-CN"/>
        </w:rPr>
        <w:t>(s)</w:t>
      </w:r>
      <w:r w:rsidR="008548CB">
        <w:rPr>
          <w:lang w:eastAsia="zh-CN"/>
        </w:rPr>
        <w:t>, it does not make sense to route the PC2 PA to that antenna; rather, it is more sensible to use the PC3 PA that is already attached to it</w:t>
      </w:r>
      <w:r w:rsidR="007F5372">
        <w:rPr>
          <w:lang w:eastAsia="zh-CN"/>
        </w:rPr>
        <w:t xml:space="preserve"> or switch and route the PC3 PA to the other diversity antenna rather than the PC2 PA</w:t>
      </w:r>
      <w:r w:rsidR="008548CB">
        <w:rPr>
          <w:lang w:eastAsia="zh-CN"/>
        </w:rPr>
        <w:t>.  However, transmitting SRS with the PC3 PA will not meet the current P</w:t>
      </w:r>
      <w:r w:rsidR="008548CB" w:rsidRPr="005E378A">
        <w:rPr>
          <w:vertAlign w:val="subscript"/>
          <w:lang w:eastAsia="zh-CN"/>
        </w:rPr>
        <w:t>CMAX_L</w:t>
      </w:r>
      <w:r w:rsidR="008548CB">
        <w:rPr>
          <w:lang w:eastAsia="zh-CN"/>
        </w:rPr>
        <w:t xml:space="preserve"> requirement as described above.</w:t>
      </w:r>
    </w:p>
    <w:p w14:paraId="68E81FAF" w14:textId="64BFE5DF" w:rsidR="007F5372" w:rsidRPr="007F5372" w:rsidRDefault="007F5372" w:rsidP="007F5372">
      <w:pPr>
        <w:pStyle w:val="Heading2"/>
        <w:rPr>
          <w:lang w:val="en-US"/>
        </w:rPr>
      </w:pPr>
      <w:r>
        <w:rPr>
          <w:lang w:val="en-US"/>
        </w:rPr>
        <w:t>Proposed solution</w:t>
      </w:r>
    </w:p>
    <w:p w14:paraId="59FC90A8" w14:textId="24BEDA55" w:rsidR="008548CB" w:rsidRDefault="007F5372" w:rsidP="007E1DBE">
      <w:r>
        <w:rPr>
          <w:lang w:eastAsia="zh-CN"/>
        </w:rPr>
        <w:t xml:space="preserve">To address the deficiencies identified above, it is proposed to modify the applicability of </w:t>
      </w:r>
      <w:r w:rsidRPr="001C0CC4">
        <w:t>∆T</w:t>
      </w:r>
      <w:r w:rsidRPr="001C0CC4">
        <w:rPr>
          <w:vertAlign w:val="subscript"/>
        </w:rPr>
        <w:t>RxSRS</w:t>
      </w:r>
      <w:r>
        <w:t xml:space="preserve"> is modified as follows</w:t>
      </w:r>
    </w:p>
    <w:p w14:paraId="7F3A7860" w14:textId="77777777" w:rsidR="007F5372" w:rsidRDefault="007F5372" w:rsidP="007F5372">
      <w:pPr>
        <w:pStyle w:val="B10"/>
      </w:pPr>
      <w:r w:rsidRPr="001C0CC4">
        <w:t>∆T</w:t>
      </w:r>
      <w:r w:rsidRPr="001C0CC4">
        <w:rPr>
          <w:vertAlign w:val="subscript"/>
        </w:rPr>
        <w:t>RxSRS</w:t>
      </w:r>
      <w:r w:rsidRPr="001C0CC4">
        <w:t xml:space="preserve"> is applied when </w:t>
      </w:r>
    </w:p>
    <w:p w14:paraId="5B80C466" w14:textId="7BD2A5A5" w:rsidR="007F5372" w:rsidRDefault="007F5372" w:rsidP="007F5372">
      <w:pPr>
        <w:pStyle w:val="B10"/>
        <w:numPr>
          <w:ilvl w:val="0"/>
          <w:numId w:val="25"/>
        </w:numPr>
        <w:ind w:left="900" w:hanging="180"/>
      </w:pPr>
      <w:r w:rsidRPr="001C0CC4">
        <w:t xml:space="preserve">UE transmits SRS to other than first SRS port when the </w:t>
      </w:r>
      <w:r w:rsidRPr="001C0CC4">
        <w:rPr>
          <w:i/>
        </w:rPr>
        <w:t>SRS-TxSwitch</w:t>
      </w:r>
      <w:r w:rsidRPr="001C0CC4">
        <w:t xml:space="preserve"> capability is indicated as  '1T2R', '1T4R' or, '1T4R/2T4R' </w:t>
      </w:r>
    </w:p>
    <w:p w14:paraId="2DB0D758" w14:textId="5B29A945" w:rsidR="007F5372" w:rsidRDefault="007F5372" w:rsidP="007F5372">
      <w:pPr>
        <w:pStyle w:val="B10"/>
        <w:numPr>
          <w:ilvl w:val="0"/>
          <w:numId w:val="25"/>
        </w:numPr>
        <w:ind w:left="900" w:hanging="180"/>
      </w:pPr>
      <w:r w:rsidRPr="001C0CC4">
        <w:t xml:space="preserve">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w:t>
      </w:r>
      <w:bookmarkStart w:id="0" w:name="_GoBack"/>
      <w:bookmarkEnd w:id="0"/>
      <w:r>
        <w:t>, and</w:t>
      </w:r>
    </w:p>
    <w:p w14:paraId="6B7E4FEE" w14:textId="7B6D05F6" w:rsidR="007F5372" w:rsidRDefault="007F5372" w:rsidP="006E3693">
      <w:pPr>
        <w:pStyle w:val="B10"/>
        <w:numPr>
          <w:ilvl w:val="0"/>
          <w:numId w:val="25"/>
        </w:numPr>
        <w:ind w:left="900" w:hanging="180"/>
      </w:pPr>
      <w:r>
        <w:t>UE transmits SRS to a DL-only carrier</w:t>
      </w:r>
      <w:r w:rsidRPr="001C0CC4">
        <w:t xml:space="preserve"> </w:t>
      </w:r>
    </w:p>
    <w:p w14:paraId="66F7ECE5" w14:textId="09BAAB53" w:rsidR="007F5372" w:rsidRPr="001C0CC4" w:rsidRDefault="007F5372" w:rsidP="006E3693">
      <w:pPr>
        <w:pStyle w:val="B10"/>
        <w:ind w:left="270" w:firstLine="0"/>
      </w:pPr>
      <w:r w:rsidRPr="001C0CC4">
        <w:t>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rsidR="006E3693">
        <w:t xml:space="preserve"> when the device is capable of power class 3 in the band</w:t>
      </w:r>
      <w:r w:rsidRPr="001C0CC4">
        <w:t>.</w:t>
      </w:r>
      <w:r w:rsidR="006E3693">
        <w:t xml:space="preserve">  </w:t>
      </w:r>
      <w:r w:rsidR="006E3693" w:rsidRPr="001C0CC4">
        <w:t>The value of ∆T</w:t>
      </w:r>
      <w:r w:rsidR="006E3693" w:rsidRPr="001C0CC4">
        <w:rPr>
          <w:vertAlign w:val="subscript"/>
        </w:rPr>
        <w:t>RxSRS</w:t>
      </w:r>
      <w:r w:rsidR="006E3693" w:rsidRPr="001C0CC4">
        <w:t xml:space="preserve"> is </w:t>
      </w:r>
      <w:r w:rsidR="006E3693">
        <w:t>7</w:t>
      </w:r>
      <w:r w:rsidR="006E3693" w:rsidRPr="001C0CC4">
        <w:t xml:space="preserve">.5dB for n79 and </w:t>
      </w:r>
      <w:r w:rsidR="006E3693">
        <w:t>6</w:t>
      </w:r>
      <w:r w:rsidR="006E3693" w:rsidRPr="001C0CC4">
        <w:t xml:space="preserve"> dB for bands whose F</w:t>
      </w:r>
      <w:r w:rsidR="006E3693" w:rsidRPr="001C0CC4">
        <w:rPr>
          <w:vertAlign w:val="subscript"/>
        </w:rPr>
        <w:t>UL_high</w:t>
      </w:r>
      <w:r w:rsidR="006E3693" w:rsidRPr="001C0CC4" w:rsidDel="00411D7A">
        <w:t xml:space="preserve"> </w:t>
      </w:r>
      <w:r w:rsidR="006E3693" w:rsidRPr="001C0CC4">
        <w:t>is lower than the F</w:t>
      </w:r>
      <w:r w:rsidR="006E3693" w:rsidRPr="001C0CC4">
        <w:rPr>
          <w:vertAlign w:val="subscript"/>
        </w:rPr>
        <w:t>UL_low</w:t>
      </w:r>
      <w:r w:rsidR="006E3693" w:rsidRPr="001C0CC4" w:rsidDel="00411D7A">
        <w:rPr>
          <w:vertAlign w:val="subscript"/>
        </w:rPr>
        <w:t xml:space="preserve"> </w:t>
      </w:r>
      <w:r w:rsidR="006E3693" w:rsidRPr="001C0CC4">
        <w:t>of n79</w:t>
      </w:r>
      <w:r w:rsidR="006E3693">
        <w:t xml:space="preserve"> when the device is capable of power class 2 in the band.</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58621DEB" w14:textId="68B6E364" w:rsidR="00FA01C7" w:rsidRPr="006E3693" w:rsidRDefault="00FA01C7" w:rsidP="00A0551F">
      <w:pPr>
        <w:rPr>
          <w:lang w:val="en-US"/>
        </w:rPr>
      </w:pPr>
      <w:r>
        <w:rPr>
          <w:lang w:val="en-US"/>
        </w:rPr>
        <w:t xml:space="preserve">This contribution </w:t>
      </w:r>
      <w:r w:rsidR="006E3693">
        <w:rPr>
          <w:lang w:val="en-US"/>
        </w:rPr>
        <w:t xml:space="preserve">describes two shortcomings of the </w:t>
      </w:r>
      <w:r w:rsidR="006E3693" w:rsidRPr="001C0CC4">
        <w:t>∆T</w:t>
      </w:r>
      <w:r w:rsidR="006E3693" w:rsidRPr="001C0CC4">
        <w:rPr>
          <w:vertAlign w:val="subscript"/>
        </w:rPr>
        <w:t>RxSRS</w:t>
      </w:r>
      <w:r w:rsidR="006E3693">
        <w:t xml:space="preserve"> allowance for </w:t>
      </w:r>
      <w:r w:rsidR="006E3693">
        <w:rPr>
          <w:lang w:eastAsia="zh-CN"/>
        </w:rPr>
        <w:t>P</w:t>
      </w:r>
      <w:r w:rsidR="006E3693" w:rsidRPr="005E378A">
        <w:rPr>
          <w:vertAlign w:val="subscript"/>
          <w:lang w:eastAsia="zh-CN"/>
        </w:rPr>
        <w:t>CMAX_L</w:t>
      </w:r>
      <w:r w:rsidR="006E3693">
        <w:rPr>
          <w:lang w:eastAsia="zh-CN"/>
        </w:rPr>
        <w:t xml:space="preserve"> when SRS carrier switching is required with a DL-only carrier and when the transmission on the primary antenna is PC2 but only PC3 on the diversity antennas.  The proposed modification is described </w:t>
      </w:r>
      <w:r w:rsidR="003D4359">
        <w:rPr>
          <w:lang w:eastAsia="zh-CN"/>
        </w:rPr>
        <w:t xml:space="preserve">in this contribution </w:t>
      </w:r>
      <w:r w:rsidR="006E3693">
        <w:rPr>
          <w:lang w:eastAsia="zh-CN"/>
        </w:rPr>
        <w:t>and included in [</w:t>
      </w:r>
      <w:r w:rsidR="003D4359">
        <w:rPr>
          <w:lang w:eastAsia="zh-CN"/>
        </w:rPr>
        <w:t>2</w:t>
      </w:r>
      <w:r w:rsidR="006E3693">
        <w:rPr>
          <w:lang w:eastAsia="zh-CN"/>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4CF71B9" w14:textId="77777777" w:rsidR="006D4D5F" w:rsidRDefault="00A563E3" w:rsidP="001219FC">
      <w:pPr>
        <w:numPr>
          <w:ilvl w:val="0"/>
          <w:numId w:val="2"/>
        </w:numPr>
        <w:tabs>
          <w:tab w:val="left" w:pos="1080"/>
        </w:tabs>
        <w:rPr>
          <w:lang w:val="en-US" w:eastAsia="x-none"/>
        </w:rPr>
      </w:pPr>
      <w:bookmarkStart w:id="1" w:name="_Hlk859252"/>
      <w:r>
        <w:rPr>
          <w:lang w:val="en-US" w:eastAsia="x-none"/>
        </w:rPr>
        <w:t>R</w:t>
      </w:r>
      <w:r w:rsidR="006D4D5F">
        <w:rPr>
          <w:lang w:val="en-US" w:eastAsia="x-none"/>
        </w:rPr>
        <w:t>4-1812719, “Further discussion on additional IL caused by SRS switch,” OPPO</w:t>
      </w:r>
    </w:p>
    <w:p w14:paraId="6E0979A1" w14:textId="337E1E06" w:rsidR="006D4D5F" w:rsidRDefault="006D4D5F" w:rsidP="001219FC">
      <w:pPr>
        <w:numPr>
          <w:ilvl w:val="0"/>
          <w:numId w:val="2"/>
        </w:numPr>
        <w:tabs>
          <w:tab w:val="left" w:pos="1080"/>
        </w:tabs>
        <w:rPr>
          <w:lang w:val="en-US" w:eastAsia="x-none"/>
        </w:rPr>
      </w:pPr>
      <w:r>
        <w:rPr>
          <w:lang w:val="en-US" w:eastAsia="x-none"/>
        </w:rPr>
        <w:t>R4-201</w:t>
      </w:r>
      <w:r w:rsidR="003D4359">
        <w:rPr>
          <w:lang w:val="en-US" w:eastAsia="x-none"/>
        </w:rPr>
        <w:t>1342</w:t>
      </w:r>
      <w:r>
        <w:rPr>
          <w:lang w:val="en-US" w:eastAsia="x-none"/>
        </w:rPr>
        <w:t>, “Correction to configured power with allowance for SRS switching,” Qualcomm Incorporated</w:t>
      </w:r>
      <w:bookmarkEnd w:id="1"/>
    </w:p>
    <w:sectPr w:rsidR="006D4D5F"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7C2E5" w14:textId="77777777" w:rsidR="00462309" w:rsidRDefault="00462309">
      <w:r>
        <w:separator/>
      </w:r>
    </w:p>
  </w:endnote>
  <w:endnote w:type="continuationSeparator" w:id="0">
    <w:p w14:paraId="02B96EDB" w14:textId="77777777" w:rsidR="00462309" w:rsidRDefault="0046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78B30" w14:textId="77777777" w:rsidR="00462309" w:rsidRDefault="00462309">
      <w:r>
        <w:separator/>
      </w:r>
    </w:p>
  </w:footnote>
  <w:footnote w:type="continuationSeparator" w:id="0">
    <w:p w14:paraId="144286F8" w14:textId="77777777" w:rsidR="00462309" w:rsidRDefault="00462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0072F"/>
    <w:multiLevelType w:val="hybridMultilevel"/>
    <w:tmpl w:val="80664816"/>
    <w:lvl w:ilvl="0" w:tplc="4E5CA9E4">
      <w:numFmt w:val="bullet"/>
      <w:lvlText w:val="-"/>
      <w:lvlJc w:val="left"/>
      <w:pPr>
        <w:ind w:left="1288" w:hanging="360"/>
      </w:pPr>
      <w:rPr>
        <w:rFonts w:ascii="Times New Roman" w:eastAsia="MS Mincho" w:hAnsi="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9DD13CB"/>
    <w:multiLevelType w:val="hybridMultilevel"/>
    <w:tmpl w:val="1D3ABC6E"/>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FFF6063"/>
    <w:multiLevelType w:val="hybridMultilevel"/>
    <w:tmpl w:val="F6B894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8801BDD"/>
    <w:multiLevelType w:val="hybridMultilevel"/>
    <w:tmpl w:val="295C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91D2CD6"/>
    <w:multiLevelType w:val="hybridMultilevel"/>
    <w:tmpl w:val="94F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20"/>
  </w:num>
  <w:num w:numId="4">
    <w:abstractNumId w:val="22"/>
  </w:num>
  <w:num w:numId="5">
    <w:abstractNumId w:val="17"/>
  </w:num>
  <w:num w:numId="6">
    <w:abstractNumId w:val="8"/>
  </w:num>
  <w:num w:numId="7">
    <w:abstractNumId w:val="4"/>
  </w:num>
  <w:num w:numId="8">
    <w:abstractNumId w:val="19"/>
  </w:num>
  <w:num w:numId="9">
    <w:abstractNumId w:val="9"/>
  </w:num>
  <w:num w:numId="10">
    <w:abstractNumId w:val="16"/>
  </w:num>
  <w:num w:numId="11">
    <w:abstractNumId w:val="24"/>
  </w:num>
  <w:num w:numId="12">
    <w:abstractNumId w:val="7"/>
  </w:num>
  <w:num w:numId="13">
    <w:abstractNumId w:val="15"/>
  </w:num>
  <w:num w:numId="14">
    <w:abstractNumId w:val="5"/>
  </w:num>
  <w:num w:numId="15">
    <w:abstractNumId w:val="14"/>
  </w:num>
  <w:num w:numId="16">
    <w:abstractNumId w:val="2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11"/>
  </w:num>
  <w:num w:numId="20">
    <w:abstractNumId w:val="12"/>
  </w:num>
  <w:num w:numId="21">
    <w:abstractNumId w:val="21"/>
  </w:num>
  <w:num w:numId="22">
    <w:abstractNumId w:val="6"/>
  </w:num>
  <w:num w:numId="23">
    <w:abstractNumId w:val="2"/>
  </w:num>
  <w:num w:numId="24">
    <w:abstractNumId w:val="3"/>
  </w:num>
  <w:num w:numId="2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01"/>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502"/>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1B50"/>
    <w:rsid w:val="00062AE2"/>
    <w:rsid w:val="00062E5A"/>
    <w:rsid w:val="00062F52"/>
    <w:rsid w:val="00063B14"/>
    <w:rsid w:val="0006427B"/>
    <w:rsid w:val="000642D1"/>
    <w:rsid w:val="000643A3"/>
    <w:rsid w:val="0006440F"/>
    <w:rsid w:val="000648F2"/>
    <w:rsid w:val="00064DFA"/>
    <w:rsid w:val="00065C27"/>
    <w:rsid w:val="00066EEB"/>
    <w:rsid w:val="000671C6"/>
    <w:rsid w:val="00067594"/>
    <w:rsid w:val="00070561"/>
    <w:rsid w:val="00070ECC"/>
    <w:rsid w:val="00072354"/>
    <w:rsid w:val="000724BF"/>
    <w:rsid w:val="00072597"/>
    <w:rsid w:val="000725AA"/>
    <w:rsid w:val="00072830"/>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31"/>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5C"/>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2D6"/>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951"/>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CC9"/>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60"/>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3E31"/>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5D8"/>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263"/>
    <w:rsid w:val="002865FA"/>
    <w:rsid w:val="002866C4"/>
    <w:rsid w:val="0028685E"/>
    <w:rsid w:val="002869C0"/>
    <w:rsid w:val="002900D1"/>
    <w:rsid w:val="00290FB2"/>
    <w:rsid w:val="0029101E"/>
    <w:rsid w:val="0029138C"/>
    <w:rsid w:val="002921C4"/>
    <w:rsid w:val="0029239C"/>
    <w:rsid w:val="0029286C"/>
    <w:rsid w:val="002932EC"/>
    <w:rsid w:val="0029582E"/>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3E3C"/>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6C1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947"/>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41E2"/>
    <w:rsid w:val="00385043"/>
    <w:rsid w:val="00385B1E"/>
    <w:rsid w:val="00385D57"/>
    <w:rsid w:val="003861E5"/>
    <w:rsid w:val="003878AD"/>
    <w:rsid w:val="00387BA4"/>
    <w:rsid w:val="00387CB5"/>
    <w:rsid w:val="00390A6F"/>
    <w:rsid w:val="00391CF7"/>
    <w:rsid w:val="00392F02"/>
    <w:rsid w:val="00393109"/>
    <w:rsid w:val="003931B6"/>
    <w:rsid w:val="00393306"/>
    <w:rsid w:val="00393535"/>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ABD"/>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359"/>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8CD"/>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309"/>
    <w:rsid w:val="00462DE2"/>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396"/>
    <w:rsid w:val="00543BDB"/>
    <w:rsid w:val="00543E5A"/>
    <w:rsid w:val="0054477C"/>
    <w:rsid w:val="00544811"/>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6E"/>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4B1"/>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C09"/>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2CAC"/>
    <w:rsid w:val="005E362E"/>
    <w:rsid w:val="005E378A"/>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A6E"/>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4E8"/>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4D5F"/>
    <w:rsid w:val="006D54CC"/>
    <w:rsid w:val="006D7134"/>
    <w:rsid w:val="006D765E"/>
    <w:rsid w:val="006D7813"/>
    <w:rsid w:val="006E1113"/>
    <w:rsid w:val="006E1B28"/>
    <w:rsid w:val="006E249F"/>
    <w:rsid w:val="006E27C5"/>
    <w:rsid w:val="006E3112"/>
    <w:rsid w:val="006E3693"/>
    <w:rsid w:val="006E42B8"/>
    <w:rsid w:val="006E4356"/>
    <w:rsid w:val="006E46D0"/>
    <w:rsid w:val="006E5206"/>
    <w:rsid w:val="006E5807"/>
    <w:rsid w:val="006E5BD1"/>
    <w:rsid w:val="006E6FE5"/>
    <w:rsid w:val="006E778F"/>
    <w:rsid w:val="006E7859"/>
    <w:rsid w:val="006F0251"/>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B27"/>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750"/>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3C37"/>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214"/>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050"/>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0D73"/>
    <w:rsid w:val="007E1193"/>
    <w:rsid w:val="007E1275"/>
    <w:rsid w:val="007E1DBE"/>
    <w:rsid w:val="007E1E78"/>
    <w:rsid w:val="007E2009"/>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99A"/>
    <w:rsid w:val="007F2B6A"/>
    <w:rsid w:val="007F3094"/>
    <w:rsid w:val="007F321F"/>
    <w:rsid w:val="007F4C7A"/>
    <w:rsid w:val="007F51CC"/>
    <w:rsid w:val="007F5372"/>
    <w:rsid w:val="007F5F94"/>
    <w:rsid w:val="007F6F18"/>
    <w:rsid w:val="007F7987"/>
    <w:rsid w:val="008000EE"/>
    <w:rsid w:val="00800130"/>
    <w:rsid w:val="0080055A"/>
    <w:rsid w:val="008008A4"/>
    <w:rsid w:val="00800BA3"/>
    <w:rsid w:val="008017C0"/>
    <w:rsid w:val="00801901"/>
    <w:rsid w:val="00801D20"/>
    <w:rsid w:val="00801D46"/>
    <w:rsid w:val="00801D79"/>
    <w:rsid w:val="00802FDB"/>
    <w:rsid w:val="00803BB2"/>
    <w:rsid w:val="00804B52"/>
    <w:rsid w:val="00804FE7"/>
    <w:rsid w:val="00805329"/>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65D"/>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8CB"/>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4E35"/>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828"/>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2D8"/>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319A"/>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3EA8"/>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46E"/>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57"/>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6ED"/>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3E3"/>
    <w:rsid w:val="00A56A0E"/>
    <w:rsid w:val="00A56DCF"/>
    <w:rsid w:val="00A57C83"/>
    <w:rsid w:val="00A57D58"/>
    <w:rsid w:val="00A60442"/>
    <w:rsid w:val="00A605DA"/>
    <w:rsid w:val="00A60D41"/>
    <w:rsid w:val="00A61769"/>
    <w:rsid w:val="00A61962"/>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7F1"/>
    <w:rsid w:val="00A958A5"/>
    <w:rsid w:val="00A95ED3"/>
    <w:rsid w:val="00A966AD"/>
    <w:rsid w:val="00A971F8"/>
    <w:rsid w:val="00A9739A"/>
    <w:rsid w:val="00A97B21"/>
    <w:rsid w:val="00A97CDF"/>
    <w:rsid w:val="00AA00B9"/>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2C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7E9"/>
    <w:rsid w:val="00B20AC8"/>
    <w:rsid w:val="00B20C4A"/>
    <w:rsid w:val="00B20C77"/>
    <w:rsid w:val="00B211BF"/>
    <w:rsid w:val="00B2152F"/>
    <w:rsid w:val="00B21ECA"/>
    <w:rsid w:val="00B2267D"/>
    <w:rsid w:val="00B22C12"/>
    <w:rsid w:val="00B22E28"/>
    <w:rsid w:val="00B23059"/>
    <w:rsid w:val="00B23562"/>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3C"/>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799"/>
    <w:rsid w:val="00BE287E"/>
    <w:rsid w:val="00BE2BB2"/>
    <w:rsid w:val="00BE3383"/>
    <w:rsid w:val="00BE38EB"/>
    <w:rsid w:val="00BE3E92"/>
    <w:rsid w:val="00BE3F08"/>
    <w:rsid w:val="00BE4B1B"/>
    <w:rsid w:val="00BE4DB0"/>
    <w:rsid w:val="00BE78AF"/>
    <w:rsid w:val="00BE7F6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1BA"/>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370"/>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008"/>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59"/>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38C"/>
    <w:rsid w:val="00CA215A"/>
    <w:rsid w:val="00CA29D5"/>
    <w:rsid w:val="00CA2ED0"/>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4F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7C1"/>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655"/>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E8"/>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6C7B"/>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77F2E"/>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15C"/>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0B7"/>
    <w:rsid w:val="00DF118A"/>
    <w:rsid w:val="00DF1281"/>
    <w:rsid w:val="00DF1627"/>
    <w:rsid w:val="00DF199B"/>
    <w:rsid w:val="00DF1E2D"/>
    <w:rsid w:val="00DF201C"/>
    <w:rsid w:val="00DF255E"/>
    <w:rsid w:val="00DF2ECA"/>
    <w:rsid w:val="00DF34F9"/>
    <w:rsid w:val="00DF4C20"/>
    <w:rsid w:val="00DF4C7C"/>
    <w:rsid w:val="00DF51C0"/>
    <w:rsid w:val="00DF53E9"/>
    <w:rsid w:val="00DF54A5"/>
    <w:rsid w:val="00DF5633"/>
    <w:rsid w:val="00DF6058"/>
    <w:rsid w:val="00DF6787"/>
    <w:rsid w:val="00DF7330"/>
    <w:rsid w:val="00DF79C3"/>
    <w:rsid w:val="00DF7C4C"/>
    <w:rsid w:val="00DF7EB3"/>
    <w:rsid w:val="00E0019F"/>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5E1"/>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B42"/>
    <w:rsid w:val="00E36D90"/>
    <w:rsid w:val="00E371C2"/>
    <w:rsid w:val="00E374C5"/>
    <w:rsid w:val="00E377D8"/>
    <w:rsid w:val="00E403AD"/>
    <w:rsid w:val="00E408DB"/>
    <w:rsid w:val="00E40900"/>
    <w:rsid w:val="00E412E7"/>
    <w:rsid w:val="00E413B2"/>
    <w:rsid w:val="00E423DD"/>
    <w:rsid w:val="00E4265A"/>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A41"/>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1D2"/>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1B7F"/>
    <w:rsid w:val="00EB21F4"/>
    <w:rsid w:val="00EB2235"/>
    <w:rsid w:val="00EB24B0"/>
    <w:rsid w:val="00EB26A9"/>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0D60"/>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5D39"/>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E7C"/>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15B"/>
    <w:rsid w:val="00F368B6"/>
    <w:rsid w:val="00F36A11"/>
    <w:rsid w:val="00F36C90"/>
    <w:rsid w:val="00F36D83"/>
    <w:rsid w:val="00F3756B"/>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93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A1439-5427-47A7-9C53-E421AA4C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2020-08-07T17:07:00Z</dcterms:created>
  <dcterms:modified xsi:type="dcterms:W3CDTF">2020-08-07T17:07:00Z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