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0A771F77"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D9391F" w:rsidRPr="00D9391F">
        <w:rPr>
          <w:rFonts w:ascii="Arial" w:hAnsi="Arial" w:cs="Arial"/>
          <w:b/>
          <w:sz w:val="24"/>
          <w:szCs w:val="24"/>
          <w:lang w:val="en-US"/>
        </w:rPr>
        <w:t>R4-2011080</w:t>
      </w:r>
      <w:bookmarkStart w:id="2" w:name="_GoBack"/>
      <w:bookmarkEnd w:id="2"/>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4E6079DD"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B49DE">
        <w:rPr>
          <w:rFonts w:ascii="Arial" w:hAnsi="Arial"/>
          <w:sz w:val="24"/>
          <w:lang w:val="en-US"/>
        </w:rPr>
        <w:t>7.1.5.</w:t>
      </w:r>
      <w:r w:rsidR="00260815">
        <w:rPr>
          <w:rFonts w:ascii="Arial" w:hAnsi="Arial"/>
          <w:sz w:val="24"/>
          <w:lang w:val="en-US"/>
        </w:rPr>
        <w:t>7</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13A579F6"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D53A4A">
        <w:rPr>
          <w:rFonts w:ascii="Arial" w:hAnsi="Arial"/>
          <w:sz w:val="24"/>
          <w:lang w:val="en-US"/>
        </w:rPr>
        <w:t xml:space="preserve">Discussion on </w:t>
      </w:r>
      <w:r w:rsidR="00534C66">
        <w:rPr>
          <w:rFonts w:ascii="Arial" w:hAnsi="Arial"/>
          <w:sz w:val="24"/>
          <w:lang w:val="en-US"/>
        </w:rPr>
        <w:t>BWP switch requirements</w:t>
      </w:r>
      <w:r w:rsidR="00D53A4A" w:rsidRPr="00D53A4A">
        <w:rPr>
          <w:rFonts w:ascii="Arial" w:hAnsi="Arial"/>
          <w:sz w:val="24"/>
          <w:lang w:val="en-US"/>
        </w:rPr>
        <w:t xml:space="preserve"> 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5AC28BFD" w14:textId="70853589" w:rsidR="00E775B2" w:rsidRDefault="00F10653" w:rsidP="00DF0231">
      <w:pPr>
        <w:rPr>
          <w:rFonts w:eastAsiaTheme="minorEastAsia"/>
          <w:lang w:val="en-US" w:eastAsia="zh-CN"/>
        </w:rPr>
      </w:pPr>
      <w:r>
        <w:rPr>
          <w:rFonts w:eastAsiaTheme="minorEastAsia"/>
          <w:lang w:val="en-US" w:eastAsia="zh-CN"/>
        </w:rPr>
        <w:t>In last RAN</w:t>
      </w:r>
      <w:r w:rsidR="003139FE">
        <w:rPr>
          <w:rFonts w:eastAsiaTheme="minorEastAsia"/>
          <w:lang w:val="en-US" w:eastAsia="zh-CN"/>
        </w:rPr>
        <w:t>#9</w:t>
      </w:r>
      <w:r w:rsidR="00F714A7">
        <w:rPr>
          <w:rFonts w:eastAsiaTheme="minorEastAsia"/>
          <w:lang w:val="en-US" w:eastAsia="zh-CN"/>
        </w:rPr>
        <w:t>5e</w:t>
      </w:r>
      <w:r w:rsidR="00DF0231" w:rsidRPr="002D2977">
        <w:rPr>
          <w:rFonts w:eastAsiaTheme="minorEastAsia"/>
          <w:lang w:val="en-US" w:eastAsia="zh-CN"/>
        </w:rPr>
        <w:t xml:space="preserve"> </w:t>
      </w:r>
      <w:r>
        <w:rPr>
          <w:rFonts w:eastAsiaTheme="minorEastAsia"/>
          <w:lang w:val="en-US" w:eastAsia="zh-CN"/>
        </w:rPr>
        <w:t xml:space="preserve">meeting </w:t>
      </w:r>
      <w:r w:rsidR="00DF0231" w:rsidRPr="002D2977">
        <w:rPr>
          <w:rFonts w:eastAsiaTheme="minorEastAsia"/>
          <w:lang w:val="en-US" w:eastAsia="zh-CN"/>
        </w:rPr>
        <w:t>the RRM requirements</w:t>
      </w:r>
      <w:r w:rsidR="00E775B2">
        <w:rPr>
          <w:rFonts w:eastAsiaTheme="minorEastAsia"/>
          <w:lang w:val="en-US" w:eastAsia="zh-CN"/>
        </w:rPr>
        <w:t xml:space="preserve"> for</w:t>
      </w:r>
      <w:r w:rsidR="00534C66">
        <w:rPr>
          <w:rFonts w:eastAsiaTheme="minorEastAsia"/>
          <w:lang w:val="en-US" w:eastAsia="zh-CN"/>
        </w:rPr>
        <w:t xml:space="preserve"> BWP switching requirements</w:t>
      </w:r>
      <w:r w:rsidR="00D53A4A">
        <w:rPr>
          <w:rFonts w:eastAsiaTheme="minorEastAsia"/>
          <w:lang w:val="en-US" w:eastAsia="zh-CN"/>
        </w:rPr>
        <w:t xml:space="preserve"> in NR-U</w:t>
      </w:r>
      <w:r w:rsidR="00E775B2">
        <w:rPr>
          <w:rFonts w:eastAsiaTheme="minorEastAsia"/>
          <w:lang w:val="en-US" w:eastAsia="zh-CN"/>
        </w:rPr>
        <w:t xml:space="preserve"> were discussed</w:t>
      </w:r>
      <w:r w:rsidR="00D53A4A">
        <w:rPr>
          <w:rFonts w:eastAsiaTheme="minorEastAsia"/>
          <w:lang w:val="en-US" w:eastAsia="zh-CN"/>
        </w:rPr>
        <w:t xml:space="preserve"> with agreements captured in</w:t>
      </w:r>
      <w:r w:rsidR="00FD345B">
        <w:rPr>
          <w:rFonts w:eastAsiaTheme="minorEastAsia"/>
          <w:lang w:val="en-US" w:eastAsia="zh-CN"/>
        </w:rPr>
        <w:t xml:space="preserve"> [1]</w:t>
      </w:r>
      <w:r w:rsidR="00E775B2">
        <w:rPr>
          <w:rFonts w:eastAsiaTheme="minorEastAsia"/>
          <w:lang w:val="en-US" w:eastAsia="zh-CN"/>
        </w:rPr>
        <w:t>. In this paper, we further present our views on the remaining issue</w:t>
      </w:r>
      <w:r w:rsidR="00D53A4A">
        <w:rPr>
          <w:rFonts w:eastAsiaTheme="minorEastAsia"/>
          <w:lang w:val="en-US" w:eastAsia="zh-CN"/>
        </w:rPr>
        <w:t>s</w:t>
      </w:r>
      <w:r w:rsidR="00E775B2">
        <w:rPr>
          <w:rFonts w:eastAsiaTheme="minorEastAsia"/>
          <w:lang w:val="en-US" w:eastAsia="zh-CN"/>
        </w:rPr>
        <w:t>.</w:t>
      </w:r>
      <w:r w:rsidR="007200C7">
        <w:rPr>
          <w:rFonts w:eastAsiaTheme="minorEastAsia"/>
          <w:lang w:val="en-US" w:eastAsia="zh-CN"/>
        </w:rPr>
        <w:t xml:space="preserve"> </w:t>
      </w:r>
    </w:p>
    <w:p w14:paraId="6D78271B" w14:textId="77777777" w:rsidR="00DF0231" w:rsidRDefault="00DF0231" w:rsidP="00DF0231">
      <w:pPr>
        <w:pStyle w:val="1"/>
        <w:numPr>
          <w:ilvl w:val="0"/>
          <w:numId w:val="1"/>
        </w:numPr>
        <w:rPr>
          <w:lang w:val="en-US"/>
        </w:rPr>
      </w:pPr>
      <w:r w:rsidRPr="002D2977">
        <w:rPr>
          <w:lang w:val="en-US"/>
        </w:rPr>
        <w:t>Discussion</w:t>
      </w:r>
    </w:p>
    <w:p w14:paraId="58863B41" w14:textId="53711B34" w:rsidR="00D53A4A" w:rsidRDefault="00C42942" w:rsidP="00D53A4A">
      <w:pPr>
        <w:rPr>
          <w:rFonts w:eastAsiaTheme="minorEastAsia"/>
          <w:lang w:val="en-US" w:eastAsia="zh-CN"/>
        </w:rPr>
      </w:pPr>
      <w:r>
        <w:rPr>
          <w:rFonts w:eastAsiaTheme="minorEastAsia"/>
          <w:lang w:val="en-US" w:eastAsia="zh-CN"/>
        </w:rPr>
        <w:t xml:space="preserve">Based on the discussion in the last RAN4#95e meeting, </w:t>
      </w:r>
      <w:r w:rsidR="00D53A4A">
        <w:rPr>
          <w:rFonts w:eastAsiaTheme="minorEastAsia"/>
          <w:lang w:val="en-US" w:eastAsia="zh-CN"/>
        </w:rPr>
        <w:t>the agreements and remaining issues are listed as follows:</w:t>
      </w:r>
    </w:p>
    <w:tbl>
      <w:tblPr>
        <w:tblStyle w:val="a7"/>
        <w:tblW w:w="0" w:type="auto"/>
        <w:tblLook w:val="04A0" w:firstRow="1" w:lastRow="0" w:firstColumn="1" w:lastColumn="0" w:noHBand="0" w:noVBand="1"/>
      </w:tblPr>
      <w:tblGrid>
        <w:gridCol w:w="9562"/>
      </w:tblGrid>
      <w:tr w:rsidR="00D53A4A" w14:paraId="7A71782E" w14:textId="77777777" w:rsidTr="00D53A4A">
        <w:tc>
          <w:tcPr>
            <w:tcW w:w="9562" w:type="dxa"/>
          </w:tcPr>
          <w:p w14:paraId="40E76A98" w14:textId="77777777" w:rsidR="007373F0" w:rsidRPr="00CC6360" w:rsidRDefault="007373F0" w:rsidP="007373F0">
            <w:pPr>
              <w:numPr>
                <w:ilvl w:val="0"/>
                <w:numId w:val="23"/>
              </w:numPr>
              <w:spacing w:after="0" w:line="216" w:lineRule="auto"/>
              <w:ind w:left="1080"/>
              <w:rPr>
                <w:rFonts w:ascii="宋体" w:eastAsia="宋体" w:hAnsi="宋体" w:cs="宋体"/>
                <w:sz w:val="24"/>
                <w:szCs w:val="24"/>
                <w:lang w:val="en-US" w:eastAsia="zh-CN"/>
              </w:rPr>
            </w:pPr>
            <w:r w:rsidRPr="00CC6360">
              <w:rPr>
                <w:rFonts w:ascii="Calibri" w:eastAsia="+mn-ea" w:hAnsi="Calibri" w:cs="+mn-cs"/>
                <w:b/>
                <w:bCs/>
                <w:color w:val="000000"/>
                <w:kern w:val="24"/>
                <w:sz w:val="24"/>
                <w:szCs w:val="56"/>
                <w:u w:val="single"/>
                <w:lang w:eastAsia="zh-CN"/>
              </w:rPr>
              <w:t xml:space="preserve">The ending point of </w:t>
            </w:r>
            <w:r w:rsidRPr="00CC6360">
              <w:rPr>
                <w:rFonts w:ascii="Calibri" w:eastAsia="+mn-ea" w:hAnsi="Calibri" w:cs="+mn-cs"/>
                <w:b/>
                <w:bCs/>
                <w:color w:val="000000"/>
                <w:kern w:val="24"/>
                <w:sz w:val="24"/>
                <w:szCs w:val="56"/>
                <w:u w:val="single"/>
                <w:lang w:val="en-US" w:eastAsia="zh-CN"/>
              </w:rPr>
              <w:t>UL BWP switching delay</w:t>
            </w:r>
            <w:r w:rsidRPr="00CC6360">
              <w:rPr>
                <w:rFonts w:ascii="Calibri" w:eastAsia="+mn-ea" w:hAnsi="Calibri" w:cs="+mn-cs"/>
                <w:b/>
                <w:bCs/>
                <w:color w:val="000000"/>
                <w:kern w:val="24"/>
                <w:sz w:val="24"/>
                <w:szCs w:val="56"/>
                <w:u w:val="single"/>
                <w:lang w:eastAsia="zh-CN"/>
              </w:rPr>
              <w:t xml:space="preserve"> upon detection of consistent UL LBT failure</w:t>
            </w:r>
          </w:p>
          <w:p w14:paraId="08F11A98" w14:textId="77777777" w:rsidR="007373F0" w:rsidRPr="00CC6360" w:rsidRDefault="007373F0" w:rsidP="00586C50">
            <w:pPr>
              <w:numPr>
                <w:ilvl w:val="1"/>
                <w:numId w:val="23"/>
              </w:numPr>
              <w:spacing w:after="0" w:line="216" w:lineRule="auto"/>
              <w:ind w:left="1434" w:hanging="357"/>
              <w:rPr>
                <w:rFonts w:ascii="Calibri" w:eastAsia="+mn-ea" w:hAnsi="Calibri" w:cs="+mn-cs"/>
                <w:color w:val="000000"/>
                <w:kern w:val="24"/>
                <w:sz w:val="21"/>
                <w:szCs w:val="48"/>
                <w:lang w:eastAsia="zh-CN"/>
              </w:rPr>
            </w:pPr>
            <w:r w:rsidRPr="00CC6360">
              <w:rPr>
                <w:rFonts w:ascii="Calibri" w:eastAsia="+mn-ea" w:hAnsi="Calibri" w:cs="+mn-cs"/>
                <w:color w:val="000000"/>
                <w:kern w:val="24"/>
                <w:sz w:val="21"/>
                <w:szCs w:val="48"/>
                <w:lang w:eastAsia="zh-CN"/>
              </w:rPr>
              <w:t>Option 1: UE is ready to transmit RACH</w:t>
            </w:r>
          </w:p>
          <w:p w14:paraId="2495F6BD" w14:textId="77777777" w:rsidR="007373F0" w:rsidRPr="00CC6360" w:rsidRDefault="007373F0" w:rsidP="00586C50">
            <w:pPr>
              <w:numPr>
                <w:ilvl w:val="1"/>
                <w:numId w:val="23"/>
              </w:numPr>
              <w:spacing w:after="0" w:line="216" w:lineRule="auto"/>
              <w:ind w:left="1434" w:hanging="357"/>
              <w:rPr>
                <w:rFonts w:ascii="Calibri" w:eastAsia="+mn-ea" w:hAnsi="Calibri" w:cs="+mn-cs"/>
                <w:color w:val="000000"/>
                <w:kern w:val="24"/>
                <w:sz w:val="21"/>
                <w:szCs w:val="48"/>
                <w:lang w:eastAsia="zh-CN"/>
              </w:rPr>
            </w:pPr>
            <w:r w:rsidRPr="00CC6360">
              <w:rPr>
                <w:rFonts w:ascii="Calibri" w:eastAsia="+mn-ea" w:hAnsi="Calibri" w:cs="+mn-cs"/>
                <w:color w:val="000000"/>
                <w:kern w:val="24"/>
                <w:sz w:val="21"/>
                <w:szCs w:val="48"/>
                <w:lang w:eastAsia="zh-CN"/>
              </w:rPr>
              <w:t>Option 2: UE transmits RACH</w:t>
            </w:r>
          </w:p>
          <w:p w14:paraId="28276902" w14:textId="5D221DDF" w:rsidR="007373F0" w:rsidRPr="00CC6360" w:rsidRDefault="007373F0" w:rsidP="007373F0">
            <w:pPr>
              <w:numPr>
                <w:ilvl w:val="1"/>
                <w:numId w:val="23"/>
              </w:numPr>
              <w:spacing w:after="0" w:line="216" w:lineRule="auto"/>
              <w:rPr>
                <w:rFonts w:ascii="宋体" w:eastAsia="宋体" w:hAnsi="宋体" w:cs="宋体"/>
                <w:sz w:val="21"/>
                <w:szCs w:val="24"/>
                <w:lang w:val="en-US" w:eastAsia="zh-CN"/>
              </w:rPr>
            </w:pPr>
            <w:r w:rsidRPr="00CC6360">
              <w:rPr>
                <w:rFonts w:ascii="Calibri" w:eastAsia="+mn-ea" w:hAnsi="Calibri" w:cs="+mn-cs"/>
                <w:color w:val="000000"/>
                <w:kern w:val="24"/>
                <w:sz w:val="21"/>
                <w:szCs w:val="48"/>
                <w:lang w:eastAsia="zh-CN"/>
              </w:rPr>
              <w:t>Option 3: The UE shall be able to transmit PRACH on the new UL BWP of the SpCell on the first available UL slot occurs right after slot n+T</w:t>
            </w:r>
            <w:r w:rsidRPr="00CC6360">
              <w:rPr>
                <w:rFonts w:ascii="Calibri" w:eastAsia="+mn-ea" w:hAnsi="Calibri" w:cs="+mn-cs"/>
                <w:color w:val="000000"/>
                <w:kern w:val="24"/>
                <w:sz w:val="21"/>
                <w:szCs w:val="48"/>
                <w:vertAlign w:val="subscript"/>
                <w:lang w:eastAsia="zh-CN"/>
              </w:rPr>
              <w:t>BWPswitchDelay</w:t>
            </w:r>
            <w:r w:rsidRPr="00CC6360">
              <w:rPr>
                <w:rFonts w:ascii="Calibri" w:eastAsia="+mn-ea" w:hAnsi="Calibri" w:cs="+mn-cs"/>
                <w:color w:val="000000"/>
                <w:kern w:val="24"/>
                <w:sz w:val="21"/>
                <w:szCs w:val="48"/>
                <w:lang w:eastAsia="zh-CN"/>
              </w:rPr>
              <w:t xml:space="preserve"> +1, where T</w:t>
            </w:r>
            <w:r w:rsidRPr="00CC6360">
              <w:rPr>
                <w:rFonts w:ascii="Calibri" w:eastAsia="+mn-ea" w:hAnsi="Calibri" w:cs="+mn-cs"/>
                <w:color w:val="000000"/>
                <w:kern w:val="24"/>
                <w:sz w:val="21"/>
                <w:szCs w:val="48"/>
                <w:vertAlign w:val="subscript"/>
                <w:lang w:eastAsia="zh-CN"/>
              </w:rPr>
              <w:t>BWPswitchDelay</w:t>
            </w:r>
            <w:r w:rsidRPr="00CC6360">
              <w:rPr>
                <w:rFonts w:ascii="Calibri" w:eastAsia="+mn-ea" w:hAnsi="Calibri" w:cs="+mn-cs"/>
                <w:color w:val="000000"/>
                <w:kern w:val="24"/>
                <w:position w:val="-12"/>
                <w:sz w:val="21"/>
                <w:szCs w:val="48"/>
                <w:vertAlign w:val="subscript"/>
                <w:lang w:eastAsia="zh-CN"/>
              </w:rPr>
              <w:t xml:space="preserve"> </w:t>
            </w:r>
            <w:r w:rsidRPr="00CC6360">
              <w:rPr>
                <w:rFonts w:ascii="Calibri" w:eastAsia="+mn-ea" w:hAnsi="Calibri" w:cs="+mn-cs"/>
                <w:color w:val="000000"/>
                <w:kern w:val="24"/>
                <w:sz w:val="21"/>
                <w:szCs w:val="48"/>
                <w:lang w:eastAsia="zh-CN"/>
              </w:rPr>
              <w:t>is defined in Table 8.6.2-1</w:t>
            </w:r>
          </w:p>
          <w:p w14:paraId="0AF43BFC" w14:textId="77777777" w:rsidR="007373F0" w:rsidRPr="00CC6360" w:rsidRDefault="007373F0" w:rsidP="007373F0">
            <w:pPr>
              <w:numPr>
                <w:ilvl w:val="0"/>
                <w:numId w:val="23"/>
              </w:numPr>
              <w:spacing w:after="0" w:line="216" w:lineRule="auto"/>
              <w:ind w:left="1080"/>
              <w:rPr>
                <w:rFonts w:ascii="宋体" w:eastAsia="宋体" w:hAnsi="宋体" w:cs="宋体"/>
                <w:sz w:val="24"/>
                <w:szCs w:val="24"/>
                <w:lang w:val="en-US" w:eastAsia="zh-CN"/>
              </w:rPr>
            </w:pPr>
            <w:r w:rsidRPr="00CC6360">
              <w:rPr>
                <w:rFonts w:ascii="Calibri" w:eastAsia="+mn-ea" w:hAnsi="Calibri" w:cs="+mn-cs"/>
                <w:b/>
                <w:bCs/>
                <w:color w:val="000000"/>
                <w:kern w:val="24"/>
                <w:sz w:val="24"/>
                <w:szCs w:val="56"/>
                <w:u w:val="single"/>
                <w:lang w:eastAsia="zh-CN"/>
              </w:rPr>
              <w:t>Whether to introduce any non-overlapping condition for the old and new UL BWPs</w:t>
            </w:r>
            <w:r w:rsidRPr="00CC6360">
              <w:rPr>
                <w:rFonts w:ascii="Calibri" w:eastAsia="+mn-ea" w:hAnsi="Calibri" w:cs="+mn-cs"/>
                <w:i/>
                <w:iCs/>
                <w:color w:val="000000"/>
                <w:kern w:val="24"/>
                <w:sz w:val="24"/>
                <w:szCs w:val="56"/>
                <w:lang w:eastAsia="zh-CN"/>
              </w:rPr>
              <w:t xml:space="preserve"> </w:t>
            </w:r>
          </w:p>
          <w:p w14:paraId="56ADE63F" w14:textId="77777777" w:rsidR="007373F0" w:rsidRPr="00CC6360" w:rsidRDefault="007373F0" w:rsidP="007373F0">
            <w:pPr>
              <w:numPr>
                <w:ilvl w:val="1"/>
                <w:numId w:val="23"/>
              </w:numPr>
              <w:spacing w:after="0" w:line="216" w:lineRule="auto"/>
              <w:ind w:left="2520"/>
              <w:rPr>
                <w:rFonts w:ascii="宋体" w:eastAsia="宋体" w:hAnsi="宋体" w:cs="宋体"/>
                <w:sz w:val="21"/>
                <w:szCs w:val="24"/>
                <w:lang w:val="en-US" w:eastAsia="zh-CN"/>
              </w:rPr>
            </w:pPr>
            <w:r w:rsidRPr="00CC6360">
              <w:rPr>
                <w:rFonts w:ascii="Calibri" w:eastAsia="+mn-ea" w:hAnsi="Calibri" w:cs="+mn-cs"/>
                <w:color w:val="00B050"/>
                <w:kern w:val="24"/>
                <w:sz w:val="21"/>
                <w:szCs w:val="48"/>
                <w:lang w:val="en-US" w:eastAsia="zh-CN"/>
              </w:rPr>
              <w:t>No condition to be added on the relative frequency location of new UL BWP when UE is performing UL BWP switching upon detection of consistent UL LBT failure.</w:t>
            </w:r>
          </w:p>
          <w:p w14:paraId="5304CE76" w14:textId="47880226" w:rsidR="00D53A4A" w:rsidRPr="007373F0" w:rsidRDefault="00D53A4A" w:rsidP="00D53A4A">
            <w:pPr>
              <w:overflowPunct w:val="0"/>
              <w:spacing w:after="0"/>
              <w:ind w:left="720"/>
              <w:rPr>
                <w:rFonts w:ascii="宋体" w:eastAsia="宋体" w:hAnsi="宋体" w:cs="宋体"/>
                <w:sz w:val="22"/>
                <w:szCs w:val="22"/>
                <w:lang w:val="en-US" w:eastAsia="zh-CN"/>
              </w:rPr>
            </w:pPr>
          </w:p>
        </w:tc>
      </w:tr>
    </w:tbl>
    <w:p w14:paraId="352D87A9" w14:textId="77777777" w:rsidR="00D53A4A" w:rsidRDefault="00D53A4A" w:rsidP="00D53A4A">
      <w:pPr>
        <w:rPr>
          <w:rFonts w:eastAsiaTheme="minorEastAsia"/>
          <w:lang w:val="en-US" w:eastAsia="zh-CN"/>
        </w:rPr>
      </w:pPr>
    </w:p>
    <w:p w14:paraId="54C24C1A" w14:textId="4B1D0E44" w:rsidR="003E683D" w:rsidRDefault="00586C50" w:rsidP="00520DD2">
      <w:pPr>
        <w:rPr>
          <w:rFonts w:eastAsiaTheme="minorEastAsia" w:cs="v4.2.0"/>
          <w:lang w:eastAsia="zh-CN"/>
        </w:rPr>
      </w:pPr>
      <w:r>
        <w:rPr>
          <w:rFonts w:eastAsiaTheme="minorEastAsia" w:cs="v4.2.0" w:hint="eastAsia"/>
          <w:lang w:eastAsia="zh-CN"/>
        </w:rPr>
        <w:t xml:space="preserve">The only remaining issue about UL BWP switching triggered by </w:t>
      </w:r>
      <w:r>
        <w:rPr>
          <w:rFonts w:eastAsiaTheme="minorEastAsia" w:cs="v4.2.0"/>
          <w:lang w:eastAsia="zh-CN"/>
        </w:rPr>
        <w:t xml:space="preserve">consistent UL LBT failure is the end point of the BWP switching delay. </w:t>
      </w:r>
      <w:r w:rsidR="002F07F4">
        <w:rPr>
          <w:rFonts w:eastAsiaTheme="minorEastAsia" w:cs="v4.2.0"/>
          <w:lang w:eastAsia="zh-CN"/>
        </w:rPr>
        <w:t xml:space="preserve">The options as shown above. Our preference is option 1. </w:t>
      </w:r>
      <w:r w:rsidR="002F07F4">
        <w:rPr>
          <w:rFonts w:eastAsiaTheme="minorEastAsia" w:cs="v4.2.0" w:hint="eastAsia"/>
          <w:lang w:eastAsia="zh-CN"/>
        </w:rPr>
        <w:t>Proponent</w:t>
      </w:r>
      <w:r w:rsidR="00F91703">
        <w:rPr>
          <w:rFonts w:eastAsiaTheme="minorEastAsia" w:cs="v4.2.0"/>
          <w:lang w:eastAsia="zh-CN"/>
        </w:rPr>
        <w:t xml:space="preserve"> of</w:t>
      </w:r>
      <w:r w:rsidR="002F07F4">
        <w:rPr>
          <w:rFonts w:eastAsiaTheme="minorEastAsia" w:cs="v4.2.0"/>
          <w:lang w:eastAsia="zh-CN"/>
        </w:rPr>
        <w:t xml:space="preserve"> option 2 proposed that an uncertainty period of time should be considered as the HO requirements. However, the cases here is quite different from the HO, and we present our analysis in this paper.</w:t>
      </w:r>
    </w:p>
    <w:p w14:paraId="24D5690C" w14:textId="255AA8B0" w:rsidR="002F07F4" w:rsidRDefault="002F07F4" w:rsidP="00520DD2">
      <w:pPr>
        <w:rPr>
          <w:rFonts w:eastAsiaTheme="minorEastAsia" w:cs="v4.2.0"/>
          <w:lang w:eastAsia="zh-CN"/>
        </w:rPr>
      </w:pPr>
      <w:r>
        <w:rPr>
          <w:rFonts w:eastAsiaTheme="minorEastAsia" w:cs="v4.2.0"/>
          <w:lang w:eastAsia="zh-CN"/>
        </w:rPr>
        <w:t xml:space="preserve">For option 2, if the time uncertainty for UE transmitting the RACH is included in the BWP delay, it will lead to ambiguity for both the delay and interruption requirements. </w:t>
      </w:r>
    </w:p>
    <w:p w14:paraId="22062DFF" w14:textId="4E0F3315" w:rsidR="002F07F4" w:rsidRDefault="002F07F4" w:rsidP="00520DD2">
      <w:pPr>
        <w:rPr>
          <w:rFonts w:eastAsiaTheme="minorEastAsia" w:cs="v4.2.0"/>
          <w:lang w:eastAsia="zh-CN"/>
        </w:rPr>
      </w:pPr>
      <w:r>
        <w:rPr>
          <w:rFonts w:eastAsiaTheme="minorEastAsia" w:cs="v4.2.0"/>
          <w:lang w:eastAsia="zh-CN"/>
        </w:rPr>
        <w:t>For the delay requirements, as agreed in the previous meeting, the UL BWP switching delay requirement is the same as the d</w:t>
      </w:r>
      <w:r>
        <w:rPr>
          <w:rFonts w:eastAsiaTheme="minorEastAsia" w:cs="v4.2.0" w:hint="eastAsia"/>
          <w:lang w:eastAsia="zh-CN"/>
        </w:rPr>
        <w:t>e</w:t>
      </w:r>
      <w:r>
        <w:rPr>
          <w:rFonts w:eastAsiaTheme="minorEastAsia" w:cs="v4.2.0"/>
          <w:lang w:eastAsia="zh-CN"/>
        </w:rPr>
        <w:t>lay of DCI and timer-based BWP. For option 2, it is unclear to UE whether UE could just complete the BWP switching before RACH transmission even with a longer switching delay than the delay of DCI and timer based BWP switching.</w:t>
      </w:r>
    </w:p>
    <w:tbl>
      <w:tblPr>
        <w:tblStyle w:val="a7"/>
        <w:tblW w:w="0" w:type="auto"/>
        <w:tblLook w:val="04A0" w:firstRow="1" w:lastRow="0" w:firstColumn="1" w:lastColumn="0" w:noHBand="0" w:noVBand="1"/>
      </w:tblPr>
      <w:tblGrid>
        <w:gridCol w:w="9562"/>
      </w:tblGrid>
      <w:tr w:rsidR="002F07F4" w14:paraId="46FCC01C" w14:textId="77777777" w:rsidTr="002F07F4">
        <w:tc>
          <w:tcPr>
            <w:tcW w:w="9562" w:type="dxa"/>
          </w:tcPr>
          <w:p w14:paraId="4EC97906" w14:textId="4958252E" w:rsidR="002F07F4" w:rsidRDefault="002F07F4" w:rsidP="002F07F4">
            <w:pPr>
              <w:rPr>
                <w:rFonts w:eastAsiaTheme="minorEastAsia" w:cs="v4.2.0"/>
                <w:lang w:val="en-US" w:eastAsia="zh-CN"/>
              </w:rPr>
            </w:pPr>
            <w:r w:rsidRPr="002F07F4">
              <w:rPr>
                <w:rFonts w:eastAsiaTheme="minorEastAsia" w:cs="v4.2.0"/>
                <w:lang w:val="en-US" w:eastAsia="zh-CN"/>
              </w:rPr>
              <w:t>R4-2005367</w:t>
            </w:r>
            <w:r>
              <w:rPr>
                <w:rFonts w:eastAsiaTheme="minorEastAsia" w:cs="v4.2.0"/>
                <w:lang w:val="en-US" w:eastAsia="zh-CN"/>
              </w:rPr>
              <w:t xml:space="preserve"> RAN4#94-e-bis</w:t>
            </w:r>
          </w:p>
          <w:p w14:paraId="6FFB967E" w14:textId="77777777" w:rsidR="002F07F4" w:rsidRPr="002F07F4" w:rsidRDefault="002F07F4" w:rsidP="002F07F4">
            <w:pPr>
              <w:numPr>
                <w:ilvl w:val="0"/>
                <w:numId w:val="24"/>
              </w:numPr>
              <w:rPr>
                <w:rFonts w:eastAsiaTheme="minorEastAsia" w:cs="v4.2.0"/>
                <w:highlight w:val="green"/>
                <w:lang w:val="en-US" w:eastAsia="zh-CN"/>
              </w:rPr>
            </w:pPr>
            <w:r w:rsidRPr="002F07F4">
              <w:rPr>
                <w:rFonts w:eastAsiaTheme="minorEastAsia" w:cs="v4.2.0"/>
                <w:highlight w:val="green"/>
                <w:lang w:val="en-US" w:eastAsia="zh-CN"/>
              </w:rPr>
              <w:t>The UL BWP switching delay</w:t>
            </w:r>
            <w:r w:rsidRPr="002F07F4">
              <w:rPr>
                <w:rFonts w:eastAsiaTheme="minorEastAsia" w:cs="v4.2.0"/>
                <w:highlight w:val="green"/>
                <w:lang w:eastAsia="zh-CN"/>
              </w:rPr>
              <w:t xml:space="preserve"> upon detection of consistent UL LBT failure</w:t>
            </w:r>
            <w:r w:rsidRPr="002F07F4">
              <w:rPr>
                <w:rFonts w:eastAsiaTheme="minorEastAsia" w:cs="v4.2.0"/>
                <w:highlight w:val="green"/>
                <w:lang w:val="en-US" w:eastAsia="zh-CN"/>
              </w:rPr>
              <w:t xml:space="preserve"> is the same as the delay of DCI and timer based BWP switching</w:t>
            </w:r>
          </w:p>
          <w:p w14:paraId="28D6796B" w14:textId="2B5967D3" w:rsidR="002F07F4" w:rsidRPr="002F07F4" w:rsidRDefault="002F07F4" w:rsidP="00520DD2">
            <w:pPr>
              <w:numPr>
                <w:ilvl w:val="0"/>
                <w:numId w:val="24"/>
              </w:numPr>
              <w:rPr>
                <w:rFonts w:eastAsiaTheme="minorEastAsia" w:cs="v4.2.0"/>
                <w:lang w:val="en-US" w:eastAsia="zh-CN"/>
              </w:rPr>
            </w:pPr>
            <w:r w:rsidRPr="002F07F4">
              <w:rPr>
                <w:rFonts w:eastAsiaTheme="minorEastAsia" w:cs="v4.2.0"/>
                <w:lang w:val="en-US" w:eastAsia="zh-CN"/>
              </w:rPr>
              <w:t xml:space="preserve">The interruption requirement (starting time and duration) of UL BWP switching </w:t>
            </w:r>
            <w:r w:rsidRPr="002F07F4">
              <w:rPr>
                <w:rFonts w:eastAsiaTheme="minorEastAsia" w:cs="v4.2.0"/>
                <w:lang w:eastAsia="zh-CN"/>
              </w:rPr>
              <w:t>upon detection of consistent UL LBT failure follow existing interruption requirements for DCI and timer based BWP switch</w:t>
            </w:r>
          </w:p>
        </w:tc>
      </w:tr>
    </w:tbl>
    <w:p w14:paraId="3FF0E65E" w14:textId="77777777" w:rsidR="002F07F4" w:rsidRDefault="002F07F4" w:rsidP="00520DD2">
      <w:pPr>
        <w:rPr>
          <w:rFonts w:eastAsiaTheme="minorEastAsia" w:cs="v4.2.0"/>
          <w:lang w:eastAsia="zh-CN"/>
        </w:rPr>
      </w:pPr>
    </w:p>
    <w:p w14:paraId="36046D79" w14:textId="57F269A2" w:rsidR="002F07F4" w:rsidRPr="00501368" w:rsidRDefault="002F07F4" w:rsidP="002F07F4">
      <w:pPr>
        <w:rPr>
          <w:rFonts w:eastAsiaTheme="minorEastAsia" w:cs="v4.2.0"/>
          <w:b/>
          <w:lang w:eastAsia="zh-CN"/>
        </w:rPr>
      </w:pPr>
      <w:r w:rsidRPr="00501368">
        <w:rPr>
          <w:rFonts w:eastAsiaTheme="minorEastAsia" w:cs="v4.2.0" w:hint="eastAsia"/>
          <w:b/>
          <w:lang w:eastAsia="zh-CN"/>
        </w:rPr>
        <w:lastRenderedPageBreak/>
        <w:t>Obs</w:t>
      </w:r>
      <w:r w:rsidRPr="00501368">
        <w:rPr>
          <w:rFonts w:eastAsiaTheme="minorEastAsia" w:cs="v4.2.0"/>
          <w:b/>
          <w:lang w:eastAsia="zh-CN"/>
        </w:rPr>
        <w:t>ervation 1: For option 2, it is unclear whether UE could just complete the BWP switching before RACH transmission even with a longer switching delay than the delay of DCI and timer based BWP switching, which is not aligned with previous agreement.</w:t>
      </w:r>
    </w:p>
    <w:p w14:paraId="09CB62E1" w14:textId="1FDF5524" w:rsidR="002F07F4" w:rsidRDefault="00C47376" w:rsidP="002F07F4">
      <w:pPr>
        <w:rPr>
          <w:rFonts w:eastAsiaTheme="minorEastAsia" w:cs="v4.2.0"/>
          <w:lang w:eastAsia="zh-CN"/>
        </w:rPr>
      </w:pPr>
      <w:r>
        <w:rPr>
          <w:rFonts w:eastAsiaTheme="minorEastAsia" w:cs="v4.2.0"/>
          <w:lang w:eastAsia="zh-CN"/>
        </w:rPr>
        <w:t>D</w:t>
      </w:r>
      <w:r w:rsidR="00501368">
        <w:rPr>
          <w:rFonts w:eastAsiaTheme="minorEastAsia" w:cs="v4.2.0"/>
          <w:lang w:eastAsia="zh-CN"/>
        </w:rPr>
        <w:t>ifferen</w:t>
      </w:r>
      <w:r w:rsidR="004D6543">
        <w:rPr>
          <w:rFonts w:eastAsiaTheme="minorEastAsia" w:cs="v4.2.0"/>
          <w:lang w:eastAsia="zh-CN"/>
        </w:rPr>
        <w:t>t</w:t>
      </w:r>
      <w:r w:rsidR="00501368">
        <w:rPr>
          <w:rFonts w:eastAsiaTheme="minorEastAsia" w:cs="v4.2.0"/>
          <w:lang w:eastAsia="zh-CN"/>
        </w:rPr>
        <w:t xml:space="preserve"> from the HO requirements is that the UL BWP switching could cause interruptions on other serving cells. </w:t>
      </w:r>
      <w:r w:rsidR="00963B98">
        <w:rPr>
          <w:rFonts w:eastAsiaTheme="minorEastAsia" w:cs="v4.2.0"/>
          <w:lang w:eastAsia="zh-CN"/>
        </w:rPr>
        <w:t>As agreed in the previous meeting and the corresponding CR [3], the interruption should follow the existing requirements for DCI and timer based BWP switch.</w:t>
      </w:r>
      <w:r w:rsidR="008072F9">
        <w:rPr>
          <w:rFonts w:eastAsiaTheme="minorEastAsia" w:cs="v4.2.0"/>
          <w:lang w:eastAsia="zh-CN"/>
        </w:rPr>
        <w:t xml:space="preserve"> As described in the requirements, if the delay uncertainty is included in the BWP switching delay, does it mean that the interruption on other serving cell could happen in the extended delay including the uncertainty for PRACH.</w:t>
      </w:r>
    </w:p>
    <w:tbl>
      <w:tblPr>
        <w:tblStyle w:val="a7"/>
        <w:tblW w:w="0" w:type="auto"/>
        <w:tblLook w:val="04A0" w:firstRow="1" w:lastRow="0" w:firstColumn="1" w:lastColumn="0" w:noHBand="0" w:noVBand="1"/>
      </w:tblPr>
      <w:tblGrid>
        <w:gridCol w:w="9562"/>
      </w:tblGrid>
      <w:tr w:rsidR="00963B98" w14:paraId="0E54421F" w14:textId="77777777" w:rsidTr="00963B98">
        <w:tc>
          <w:tcPr>
            <w:tcW w:w="9562" w:type="dxa"/>
          </w:tcPr>
          <w:p w14:paraId="50B0164C" w14:textId="60004E02" w:rsidR="00963B98" w:rsidRPr="008072F9" w:rsidRDefault="00963B98" w:rsidP="002F07F4">
            <w:pPr>
              <w:rPr>
                <w:rFonts w:cs="v4.2.0"/>
              </w:rPr>
            </w:pPr>
            <w:r w:rsidRPr="00885F53">
              <w:rPr>
                <w:rFonts w:cs="v4.2.0"/>
                <w:lang w:eastAsia="zh-CN"/>
              </w:rPr>
              <w:t xml:space="preserve">When </w:t>
            </w:r>
            <w:r w:rsidRPr="002A0D89">
              <w:rPr>
                <w:rFonts w:cs="v4.2.0"/>
                <w:lang w:eastAsia="zh-CN"/>
              </w:rPr>
              <w:t xml:space="preserve">UL BWP switch </w:t>
            </w:r>
            <w:r>
              <w:rPr>
                <w:rFonts w:cs="v4.2.0"/>
                <w:lang w:eastAsia="zh-CN"/>
              </w:rPr>
              <w:t xml:space="preserve">is </w:t>
            </w:r>
            <w:r w:rsidRPr="002A0D89">
              <w:rPr>
                <w:rFonts w:cs="v4.2.0"/>
                <w:lang w:eastAsia="zh-CN"/>
              </w:rPr>
              <w:t>triggered by consistent uplink LBT failures</w:t>
            </w:r>
            <w:r>
              <w:rPr>
                <w:rFonts w:cs="v4.2.0"/>
                <w:lang w:eastAsia="zh-CN"/>
              </w:rPr>
              <w:t xml:space="preserve"> [7]</w:t>
            </w:r>
            <w:r w:rsidRPr="00885F53">
              <w:rPr>
                <w:rFonts w:cs="v4.2.0"/>
              </w:rPr>
              <w:t xml:space="preserve">, </w:t>
            </w:r>
            <w:r>
              <w:rPr>
                <w:rFonts w:cs="v4.2.0"/>
              </w:rPr>
              <w:t xml:space="preserve">the </w:t>
            </w:r>
            <w:r w:rsidRPr="00885F53">
              <w:rPr>
                <w:rFonts w:cs="v4.2.0"/>
              </w:rPr>
              <w:t xml:space="preserve">UE is allowed to cause interruption of up to X slot to other active serving cells due to switching its active </w:t>
            </w:r>
            <w:r>
              <w:rPr>
                <w:rFonts w:cs="v4.2.0"/>
              </w:rPr>
              <w:t xml:space="preserve">UL </w:t>
            </w:r>
            <w:r w:rsidRPr="00885F53">
              <w:rPr>
                <w:rFonts w:cs="v4.2.0"/>
              </w:rPr>
              <w:t xml:space="preserve">BWP involving changes in any of the parameters listed in Table 8.2.1.2.7-2 if the UE is not capable of per-FR gap, or if the </w:t>
            </w:r>
            <w:r>
              <w:rPr>
                <w:rFonts w:cs="v4.2.0"/>
              </w:rPr>
              <w:t xml:space="preserve">UL </w:t>
            </w:r>
            <w:r w:rsidRPr="00885F53">
              <w:rPr>
                <w:rFonts w:cs="v4.2.0"/>
              </w:rPr>
              <w:t xml:space="preserve">BWP switching involves SCS changing. When the </w:t>
            </w:r>
            <w:r>
              <w:rPr>
                <w:rFonts w:cs="v4.2.0"/>
              </w:rPr>
              <w:t xml:space="preserve">UL </w:t>
            </w:r>
            <w:r w:rsidRPr="00885F53">
              <w:rPr>
                <w:rFonts w:cs="v4.2.0"/>
              </w:rPr>
              <w:t>BWP switch imposes changes in any of the parameters listed in Table 8.2.1.2.7-2 and the UE is capable of per-FR gap</w:t>
            </w:r>
            <w:r>
              <w:rPr>
                <w:rFonts w:cs="v4.2.0"/>
              </w:rPr>
              <w:t>,</w:t>
            </w:r>
            <w:r w:rsidRPr="00885F53">
              <w:rPr>
                <w:rFonts w:cs="v4.2.0"/>
              </w:rPr>
              <w:t xml:space="preserve"> the UE is allowed to cause interruption of up to X slot to other active serving cells in the same frequency range wherein the UE is performing </w:t>
            </w:r>
            <w:r>
              <w:rPr>
                <w:rFonts w:cs="v4.2.0"/>
              </w:rPr>
              <w:t xml:space="preserve">UL </w:t>
            </w:r>
            <w:r w:rsidRPr="00885F53">
              <w:rPr>
                <w:rFonts w:cs="v4.2.0"/>
              </w:rPr>
              <w:t xml:space="preserve">BWP switching. X is defined in Table 8.2.1.2.7-1. </w:t>
            </w:r>
            <w:r w:rsidRPr="008072F9">
              <w:rPr>
                <w:rFonts w:cs="v4.2.0"/>
                <w:highlight w:val="yellow"/>
              </w:rPr>
              <w:t xml:space="preserve">The starting time of interruption is only allowed within the UL BWP switching delay </w:t>
            </w:r>
            <w:r w:rsidRPr="008072F9">
              <w:rPr>
                <w:highlight w:val="yellow"/>
                <w:lang w:eastAsia="zh-CN"/>
              </w:rPr>
              <w:t>T</w:t>
            </w:r>
            <w:r w:rsidRPr="008072F9">
              <w:rPr>
                <w:highlight w:val="yellow"/>
                <w:vertAlign w:val="subscript"/>
                <w:lang w:eastAsia="zh-CN"/>
              </w:rPr>
              <w:t>BWPswitchDelay</w:t>
            </w:r>
            <w:r w:rsidRPr="008072F9">
              <w:rPr>
                <w:rFonts w:cs="v4.2.0"/>
                <w:highlight w:val="yellow"/>
              </w:rPr>
              <w:t xml:space="preserve"> as defined in clause 8.6.2.</w:t>
            </w:r>
            <w:r w:rsidRPr="00885F53">
              <w:rPr>
                <w:rFonts w:cs="v4.2.0"/>
              </w:rPr>
              <w:t xml:space="preserve"> Interruptions are not allowed during </w:t>
            </w:r>
            <w:r>
              <w:rPr>
                <w:rFonts w:cs="v4.2.0"/>
              </w:rPr>
              <w:t xml:space="preserve">UL </w:t>
            </w:r>
            <w:r w:rsidRPr="00885F53">
              <w:rPr>
                <w:rFonts w:cs="v4.2.0"/>
              </w:rPr>
              <w:t>BWP switch involving other parameter change.</w:t>
            </w:r>
          </w:p>
        </w:tc>
      </w:tr>
    </w:tbl>
    <w:p w14:paraId="50F9C7E1" w14:textId="77777777" w:rsidR="00963B98" w:rsidRDefault="00963B98" w:rsidP="002F07F4">
      <w:pPr>
        <w:rPr>
          <w:rFonts w:eastAsiaTheme="minorEastAsia" w:cs="v4.2.0"/>
          <w:lang w:eastAsia="zh-CN"/>
        </w:rPr>
      </w:pPr>
    </w:p>
    <w:p w14:paraId="77FA193B" w14:textId="625A9B76" w:rsidR="008072F9" w:rsidRPr="002A4356" w:rsidRDefault="00501368" w:rsidP="008072F9">
      <w:pPr>
        <w:rPr>
          <w:rFonts w:eastAsiaTheme="minorEastAsia" w:cs="v4.2.0"/>
          <w:b/>
          <w:lang w:eastAsia="zh-CN"/>
        </w:rPr>
      </w:pPr>
      <w:r w:rsidRPr="002A4356">
        <w:rPr>
          <w:rFonts w:eastAsiaTheme="minorEastAsia" w:cs="v4.2.0" w:hint="eastAsia"/>
          <w:b/>
          <w:lang w:eastAsia="zh-CN"/>
        </w:rPr>
        <w:t>O</w:t>
      </w:r>
      <w:r w:rsidRPr="002A4356">
        <w:rPr>
          <w:rFonts w:eastAsiaTheme="minorEastAsia" w:cs="v4.2.0"/>
          <w:b/>
          <w:lang w:eastAsia="zh-CN"/>
        </w:rPr>
        <w:t>bservation 2:</w:t>
      </w:r>
      <w:r w:rsidR="004D6543" w:rsidRPr="002A4356">
        <w:rPr>
          <w:rFonts w:eastAsiaTheme="minorEastAsia" w:cs="v4.2.0"/>
          <w:b/>
          <w:lang w:eastAsia="zh-CN"/>
        </w:rPr>
        <w:t xml:space="preserve"> </w:t>
      </w:r>
      <w:r w:rsidR="008072F9" w:rsidRPr="002A4356">
        <w:rPr>
          <w:rFonts w:eastAsiaTheme="minorEastAsia" w:cs="v4.2.0"/>
          <w:b/>
          <w:lang w:eastAsia="zh-CN"/>
        </w:rPr>
        <w:t>If the delay uncertainty is included in the BWP switching delay, it mean that the starting time of interruption on other serving cell</w:t>
      </w:r>
      <w:r w:rsidR="00CC6360" w:rsidRPr="002A4356">
        <w:rPr>
          <w:rFonts w:eastAsiaTheme="minorEastAsia" w:cs="v4.2.0"/>
          <w:b/>
          <w:lang w:eastAsia="zh-CN"/>
        </w:rPr>
        <w:t>s</w:t>
      </w:r>
      <w:r w:rsidR="008072F9" w:rsidRPr="002A4356">
        <w:rPr>
          <w:rFonts w:eastAsiaTheme="minorEastAsia" w:cs="v4.2.0"/>
          <w:b/>
          <w:lang w:eastAsia="zh-CN"/>
        </w:rPr>
        <w:t xml:space="preserve"> could happen in the extended delay including the uncertainty for PRACH</w:t>
      </w:r>
      <w:r w:rsidR="00EB49DE">
        <w:rPr>
          <w:rFonts w:eastAsiaTheme="minorEastAsia" w:cs="v4.2.0"/>
          <w:b/>
          <w:lang w:eastAsia="zh-CN"/>
        </w:rPr>
        <w:t>.</w:t>
      </w:r>
    </w:p>
    <w:p w14:paraId="38277922" w14:textId="428032E4" w:rsidR="002F07F4" w:rsidRDefault="008072F9" w:rsidP="00520DD2">
      <w:pPr>
        <w:rPr>
          <w:rFonts w:eastAsiaTheme="minorEastAsia" w:cs="v4.2.0"/>
          <w:lang w:eastAsia="zh-CN"/>
        </w:rPr>
      </w:pPr>
      <w:r>
        <w:rPr>
          <w:rFonts w:eastAsiaTheme="minorEastAsia" w:cs="v4.2.0"/>
          <w:lang w:eastAsia="zh-CN"/>
        </w:rPr>
        <w:t>Based on the above analysis, we can compromise to option 3 provided that the questions in observation 1&amp;2 are clarified first.</w:t>
      </w:r>
    </w:p>
    <w:p w14:paraId="6DE509B0" w14:textId="32DF3C85" w:rsidR="00CC6360" w:rsidRDefault="00CC6360" w:rsidP="00520DD2">
      <w:pPr>
        <w:rPr>
          <w:rFonts w:eastAsiaTheme="minorEastAsia" w:cs="v4.2.0"/>
          <w:lang w:eastAsia="zh-CN"/>
        </w:rPr>
      </w:pPr>
      <w:r>
        <w:rPr>
          <w:rFonts w:eastAsiaTheme="minorEastAsia" w:cs="v4.2.0"/>
          <w:lang w:eastAsia="zh-CN"/>
        </w:rPr>
        <w:t xml:space="preserve">And also, from our perspective, the current wording </w:t>
      </w:r>
      <w:r w:rsidR="002A4356">
        <w:rPr>
          <w:rFonts w:eastAsiaTheme="minorEastAsia" w:cs="v4.2.0"/>
          <w:lang w:eastAsia="zh-CN"/>
        </w:rPr>
        <w:t xml:space="preserve">as follows </w:t>
      </w:r>
      <w:r>
        <w:rPr>
          <w:rFonts w:eastAsiaTheme="minorEastAsia" w:cs="v4.2.0"/>
          <w:lang w:eastAsia="zh-CN"/>
        </w:rPr>
        <w:t>in the endorsed CR</w:t>
      </w:r>
      <w:r w:rsidR="002A4356">
        <w:rPr>
          <w:rFonts w:eastAsiaTheme="minorEastAsia" w:cs="v4.2.0"/>
          <w:lang w:eastAsia="zh-CN"/>
        </w:rPr>
        <w:t xml:space="preserve"> </w:t>
      </w:r>
      <w:r>
        <w:rPr>
          <w:rFonts w:eastAsiaTheme="minorEastAsia" w:cs="v4.2.0"/>
          <w:lang w:eastAsia="zh-CN"/>
        </w:rPr>
        <w:t xml:space="preserve">[4] is clear enough. </w:t>
      </w:r>
    </w:p>
    <w:tbl>
      <w:tblPr>
        <w:tblStyle w:val="a7"/>
        <w:tblW w:w="0" w:type="auto"/>
        <w:tblLook w:val="04A0" w:firstRow="1" w:lastRow="0" w:firstColumn="1" w:lastColumn="0" w:noHBand="0" w:noVBand="1"/>
      </w:tblPr>
      <w:tblGrid>
        <w:gridCol w:w="9562"/>
      </w:tblGrid>
      <w:tr w:rsidR="002A4356" w14:paraId="7B80FF60" w14:textId="77777777" w:rsidTr="002A4356">
        <w:tc>
          <w:tcPr>
            <w:tcW w:w="9562" w:type="dxa"/>
          </w:tcPr>
          <w:p w14:paraId="7FDE6CE3" w14:textId="77777777" w:rsidR="002A4356" w:rsidRDefault="002A4356" w:rsidP="00520DD2">
            <w:pPr>
              <w:rPr>
                <w:rFonts w:eastAsiaTheme="minorEastAsia" w:cs="v4.2.0"/>
                <w:lang w:eastAsia="zh-CN"/>
              </w:rPr>
            </w:pPr>
            <w:r w:rsidRPr="002A4356">
              <w:rPr>
                <w:rFonts w:eastAsiaTheme="minorEastAsia" w:cs="v4.2.0"/>
                <w:lang w:eastAsia="zh-CN"/>
              </w:rPr>
              <w:t>R4-2008571</w:t>
            </w:r>
          </w:p>
          <w:p w14:paraId="12059710" w14:textId="46BF2C1E" w:rsidR="002A4356" w:rsidRDefault="002A4356" w:rsidP="00520DD2">
            <w:pPr>
              <w:rPr>
                <w:rFonts w:eastAsiaTheme="minorEastAsia" w:cs="v4.2.0"/>
                <w:lang w:eastAsia="zh-CN"/>
              </w:rPr>
            </w:pPr>
            <w:r w:rsidRPr="00D94C71">
              <w:rPr>
                <w:lang w:eastAsia="ko-KR"/>
              </w:rPr>
              <w:t xml:space="preserve">The UE shall </w:t>
            </w:r>
            <w:r w:rsidRPr="00D94C71">
              <w:t xml:space="preserve">be able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w:t>
            </w:r>
          </w:p>
        </w:tc>
      </w:tr>
    </w:tbl>
    <w:p w14:paraId="55802143" w14:textId="77777777" w:rsidR="002A4356" w:rsidRDefault="002A4356" w:rsidP="00520DD2">
      <w:pPr>
        <w:rPr>
          <w:rFonts w:eastAsiaTheme="minorEastAsia" w:cs="v4.2.0"/>
          <w:lang w:eastAsia="zh-CN"/>
        </w:rPr>
      </w:pPr>
    </w:p>
    <w:p w14:paraId="39218B2A" w14:textId="59016B8F" w:rsidR="002A4356" w:rsidRPr="00D95093" w:rsidRDefault="002A4356" w:rsidP="00520DD2">
      <w:pPr>
        <w:rPr>
          <w:rFonts w:eastAsiaTheme="minorEastAsia" w:cs="v4.2.0"/>
          <w:b/>
          <w:lang w:eastAsia="zh-CN"/>
        </w:rPr>
      </w:pPr>
      <w:r w:rsidRPr="00BA4265">
        <w:rPr>
          <w:rFonts w:eastAsiaTheme="minorEastAsia" w:cs="v4.2.0" w:hint="eastAsia"/>
          <w:b/>
          <w:lang w:eastAsia="zh-CN"/>
        </w:rPr>
        <w:t xml:space="preserve">Proposal </w:t>
      </w:r>
      <w:r w:rsidR="00D657E8">
        <w:rPr>
          <w:rFonts w:eastAsiaTheme="minorEastAsia" w:cs="v4.2.0"/>
          <w:b/>
          <w:lang w:eastAsia="zh-CN"/>
        </w:rPr>
        <w:t>1</w:t>
      </w:r>
      <w:r w:rsidRPr="00BA4265">
        <w:rPr>
          <w:rFonts w:eastAsiaTheme="minorEastAsia" w:cs="v4.2.0" w:hint="eastAsia"/>
          <w:b/>
          <w:lang w:eastAsia="zh-CN"/>
        </w:rPr>
        <w:t xml:space="preserve">: </w:t>
      </w:r>
      <w:r w:rsidRPr="00BA4265">
        <w:rPr>
          <w:b/>
          <w:lang w:eastAsia="ko-KR"/>
        </w:rPr>
        <w:t xml:space="preserve">The UE shall </w:t>
      </w:r>
      <w:r w:rsidRPr="00BA4265">
        <w:rPr>
          <w:b/>
        </w:rPr>
        <w:t xml:space="preserve">be able to transmit PRACH on the new UL BWP of the SpCell on the first UL slot </w:t>
      </w:r>
      <w:r w:rsidRPr="00BA4265">
        <w:rPr>
          <w:b/>
          <w:lang w:val="en-US" w:eastAsia="zh-CN"/>
        </w:rPr>
        <w:t>occurs</w:t>
      </w:r>
      <w:r w:rsidRPr="00BA4265">
        <w:rPr>
          <w:b/>
        </w:rPr>
        <w:t xml:space="preserve"> right after slot n+</w:t>
      </w:r>
      <w:r w:rsidRPr="00BA4265">
        <w:rPr>
          <w:b/>
          <w:lang w:eastAsia="zh-CN"/>
        </w:rPr>
        <w:t>T</w:t>
      </w:r>
      <w:r w:rsidRPr="00BA4265">
        <w:rPr>
          <w:b/>
          <w:vertAlign w:val="subscript"/>
          <w:lang w:eastAsia="zh-CN"/>
        </w:rPr>
        <w:t>BWPswitchDelay</w:t>
      </w:r>
      <w:r w:rsidRPr="00BA4265">
        <w:rPr>
          <w:b/>
        </w:rPr>
        <w:t xml:space="preserve"> +1, where </w:t>
      </w:r>
      <w:r w:rsidRPr="00BA4265">
        <w:rPr>
          <w:b/>
          <w:lang w:eastAsia="zh-CN"/>
        </w:rPr>
        <w:t>T</w:t>
      </w:r>
      <w:r w:rsidRPr="00BA4265">
        <w:rPr>
          <w:b/>
          <w:vertAlign w:val="subscript"/>
          <w:lang w:eastAsia="zh-CN"/>
        </w:rPr>
        <w:t xml:space="preserve">BWPswitchDelay </w:t>
      </w:r>
      <w:r w:rsidRPr="00BA4265">
        <w:rPr>
          <w:b/>
          <w:lang w:eastAsia="zh-CN"/>
        </w:rPr>
        <w:t xml:space="preserve">is defined in </w:t>
      </w:r>
      <w:r w:rsidRPr="00BA4265">
        <w:rPr>
          <w:b/>
        </w:rPr>
        <w:t>Table 8.6.2-1.</w:t>
      </w: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6F0D1075" w14:textId="77777777" w:rsidR="00D657E8" w:rsidRPr="00D657E8" w:rsidRDefault="00D657E8" w:rsidP="00D657E8">
      <w:pPr>
        <w:rPr>
          <w:rFonts w:eastAsiaTheme="minorEastAsia" w:cs="v4.2.0"/>
          <w:b/>
          <w:lang w:eastAsia="zh-CN"/>
        </w:rPr>
      </w:pPr>
      <w:r w:rsidRPr="00D657E8">
        <w:rPr>
          <w:rFonts w:eastAsiaTheme="minorEastAsia" w:cs="v4.2.0" w:hint="eastAsia"/>
          <w:b/>
          <w:lang w:eastAsia="zh-CN"/>
        </w:rPr>
        <w:t>Obs</w:t>
      </w:r>
      <w:r w:rsidRPr="00D657E8">
        <w:rPr>
          <w:rFonts w:eastAsiaTheme="minorEastAsia" w:cs="v4.2.0"/>
          <w:b/>
          <w:lang w:eastAsia="zh-CN"/>
        </w:rPr>
        <w:t>ervation 1: For option 2, it is unclear whether UE could just complete the BWP switching before RACH transmission even with a longer switching delay than the delay of DCI and timer based BWP switching, which is not aligned with previous agreement.</w:t>
      </w:r>
    </w:p>
    <w:p w14:paraId="7D521751" w14:textId="77777777" w:rsidR="00D657E8" w:rsidRPr="002A4356" w:rsidRDefault="00D657E8" w:rsidP="00D657E8">
      <w:pPr>
        <w:rPr>
          <w:rFonts w:eastAsiaTheme="minorEastAsia" w:cs="v4.2.0"/>
          <w:b/>
          <w:lang w:eastAsia="zh-CN"/>
        </w:rPr>
      </w:pPr>
      <w:r w:rsidRPr="002A4356">
        <w:rPr>
          <w:rFonts w:eastAsiaTheme="minorEastAsia" w:cs="v4.2.0" w:hint="eastAsia"/>
          <w:b/>
          <w:lang w:eastAsia="zh-CN"/>
        </w:rPr>
        <w:t>O</w:t>
      </w:r>
      <w:r w:rsidRPr="002A4356">
        <w:rPr>
          <w:rFonts w:eastAsiaTheme="minorEastAsia" w:cs="v4.2.0"/>
          <w:b/>
          <w:lang w:eastAsia="zh-CN"/>
        </w:rPr>
        <w:t>bservation 2: If the delay uncertainty is included in the BWP switching delay, does it mean that the starting time of interruption on other serving cells could happen in the extended delay including the uncertainty for PRACH</w:t>
      </w:r>
      <w:r>
        <w:rPr>
          <w:rFonts w:eastAsiaTheme="minorEastAsia" w:cs="v4.2.0"/>
          <w:b/>
          <w:lang w:eastAsia="zh-CN"/>
        </w:rPr>
        <w:t>?</w:t>
      </w:r>
    </w:p>
    <w:p w14:paraId="3A266C14" w14:textId="36923981" w:rsidR="00D657E8" w:rsidRPr="00D657E8" w:rsidRDefault="00D657E8" w:rsidP="00B71C35">
      <w:pPr>
        <w:rPr>
          <w:rFonts w:eastAsiaTheme="minorEastAsia" w:cs="v4.2.0"/>
          <w:b/>
          <w:lang w:eastAsia="zh-CN"/>
        </w:rPr>
      </w:pPr>
      <w:r w:rsidRPr="00BA4265">
        <w:rPr>
          <w:rFonts w:eastAsiaTheme="minorEastAsia" w:cs="v4.2.0" w:hint="eastAsia"/>
          <w:b/>
          <w:lang w:eastAsia="zh-CN"/>
        </w:rPr>
        <w:t xml:space="preserve">Proposal </w:t>
      </w:r>
      <w:r>
        <w:rPr>
          <w:rFonts w:eastAsiaTheme="minorEastAsia" w:cs="v4.2.0"/>
          <w:b/>
          <w:lang w:eastAsia="zh-CN"/>
        </w:rPr>
        <w:t>1</w:t>
      </w:r>
      <w:r w:rsidRPr="00BA4265">
        <w:rPr>
          <w:rFonts w:eastAsiaTheme="minorEastAsia" w:cs="v4.2.0" w:hint="eastAsia"/>
          <w:b/>
          <w:lang w:eastAsia="zh-CN"/>
        </w:rPr>
        <w:t xml:space="preserve">: </w:t>
      </w:r>
      <w:r w:rsidRPr="00BA4265">
        <w:rPr>
          <w:b/>
          <w:lang w:eastAsia="ko-KR"/>
        </w:rPr>
        <w:t xml:space="preserve">The UE shall </w:t>
      </w:r>
      <w:r w:rsidRPr="00BA4265">
        <w:rPr>
          <w:b/>
        </w:rPr>
        <w:t xml:space="preserve">be able to transmit PRACH on the new UL BWP of the SpCell on the first UL slot </w:t>
      </w:r>
      <w:r w:rsidRPr="00BA4265">
        <w:rPr>
          <w:b/>
          <w:lang w:val="en-US" w:eastAsia="zh-CN"/>
        </w:rPr>
        <w:t>occurs</w:t>
      </w:r>
      <w:r w:rsidRPr="00BA4265">
        <w:rPr>
          <w:b/>
        </w:rPr>
        <w:t xml:space="preserve"> right after slot n+</w:t>
      </w:r>
      <w:r w:rsidRPr="00BA4265">
        <w:rPr>
          <w:b/>
          <w:lang w:eastAsia="zh-CN"/>
        </w:rPr>
        <w:t>T</w:t>
      </w:r>
      <w:r w:rsidRPr="00BA4265">
        <w:rPr>
          <w:b/>
          <w:vertAlign w:val="subscript"/>
          <w:lang w:eastAsia="zh-CN"/>
        </w:rPr>
        <w:t>BWPswitchDelay</w:t>
      </w:r>
      <w:r w:rsidRPr="00BA4265">
        <w:rPr>
          <w:b/>
        </w:rPr>
        <w:t xml:space="preserve"> +1, where </w:t>
      </w:r>
      <w:r w:rsidRPr="00BA4265">
        <w:rPr>
          <w:b/>
          <w:lang w:eastAsia="zh-CN"/>
        </w:rPr>
        <w:t>T</w:t>
      </w:r>
      <w:r w:rsidRPr="00BA4265">
        <w:rPr>
          <w:b/>
          <w:vertAlign w:val="subscript"/>
          <w:lang w:eastAsia="zh-CN"/>
        </w:rPr>
        <w:t xml:space="preserve">BWPswitchDelay </w:t>
      </w:r>
      <w:r w:rsidRPr="00BA4265">
        <w:rPr>
          <w:b/>
          <w:lang w:eastAsia="zh-CN"/>
        </w:rPr>
        <w:t xml:space="preserve">is defined in </w:t>
      </w:r>
      <w:r w:rsidRPr="00BA4265">
        <w:rPr>
          <w:b/>
        </w:rPr>
        <w:t>Table 8.6.2-1.</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464D0A63" w14:textId="57588A0F" w:rsidR="00DF0231" w:rsidRDefault="00DF0231" w:rsidP="00DF0231">
      <w:r w:rsidRPr="002D2977">
        <w:rPr>
          <w:lang w:val="en-US"/>
        </w:rPr>
        <w:t xml:space="preserve">[1] </w:t>
      </w:r>
      <w:r w:rsidR="00125DB4" w:rsidRPr="00125DB4">
        <w:t>R4-2008567</w:t>
      </w:r>
      <w:r w:rsidRPr="002D2977">
        <w:rPr>
          <w:lang w:val="en-US"/>
        </w:rPr>
        <w:t xml:space="preserve"> “</w:t>
      </w:r>
      <w:r w:rsidR="00125DB4" w:rsidRPr="00125DB4">
        <w:t>WF on NR-U RRM Requirements (Part 2)</w:t>
      </w:r>
      <w:r w:rsidRPr="002D2977">
        <w:rPr>
          <w:lang w:val="en-US"/>
        </w:rPr>
        <w:t>”</w:t>
      </w:r>
      <w:r w:rsidR="0087326D">
        <w:rPr>
          <w:lang w:val="en-US"/>
        </w:rPr>
        <w:t xml:space="preserve">, </w:t>
      </w:r>
      <w:r w:rsidR="00125DB4" w:rsidRPr="00125DB4">
        <w:rPr>
          <w:lang w:val="en-US"/>
        </w:rPr>
        <w:t>MediaTek inc</w:t>
      </w:r>
      <w:r w:rsidR="0087326D" w:rsidRPr="0087326D">
        <w:t>.</w:t>
      </w:r>
    </w:p>
    <w:p w14:paraId="14945CD2" w14:textId="68929B4F" w:rsidR="007D0DF7" w:rsidRDefault="00501368">
      <w:r>
        <w:rPr>
          <w:rFonts w:eastAsiaTheme="minorEastAsia" w:hint="eastAsia"/>
          <w:lang w:eastAsia="zh-CN"/>
        </w:rPr>
        <w:t>[</w:t>
      </w:r>
      <w:r>
        <w:rPr>
          <w:rFonts w:eastAsiaTheme="minorEastAsia"/>
          <w:lang w:eastAsia="zh-CN"/>
        </w:rPr>
        <w:t xml:space="preserve">2] </w:t>
      </w:r>
      <w:r w:rsidRPr="002F07F4">
        <w:rPr>
          <w:rFonts w:eastAsiaTheme="minorEastAsia" w:cs="v4.2.0"/>
          <w:lang w:val="en-US" w:eastAsia="zh-CN"/>
        </w:rPr>
        <w:t>R4-2005367</w:t>
      </w:r>
      <w:r>
        <w:rPr>
          <w:rFonts w:eastAsiaTheme="minorEastAsia" w:cs="v4.2.0"/>
          <w:lang w:val="en-US" w:eastAsia="zh-CN"/>
        </w:rPr>
        <w:t xml:space="preserve"> “</w:t>
      </w:r>
      <w:r w:rsidRPr="00501368">
        <w:rPr>
          <w:rFonts w:eastAsiaTheme="minorEastAsia" w:cs="v4.2.0"/>
          <w:lang w:eastAsia="zh-CN"/>
        </w:rPr>
        <w:t>WF on NR-U RRM Requirements (Part 2)</w:t>
      </w:r>
      <w:r>
        <w:rPr>
          <w:rFonts w:eastAsiaTheme="minorEastAsia" w:cs="v4.2.0"/>
          <w:lang w:val="en-US" w:eastAsia="zh-CN"/>
        </w:rPr>
        <w:t xml:space="preserve">”, </w:t>
      </w:r>
      <w:r w:rsidRPr="00125DB4">
        <w:rPr>
          <w:lang w:val="en-US"/>
        </w:rPr>
        <w:t>MediaTek inc</w:t>
      </w:r>
      <w:r w:rsidRPr="0087326D">
        <w:t>.</w:t>
      </w:r>
    </w:p>
    <w:p w14:paraId="22B6EA93" w14:textId="1058CB8A" w:rsidR="00963B98" w:rsidRDefault="00963B98">
      <w:pPr>
        <w:rPr>
          <w:rFonts w:eastAsiaTheme="minorEastAsia"/>
          <w:lang w:eastAsia="zh-CN"/>
        </w:rPr>
      </w:pPr>
      <w:r>
        <w:rPr>
          <w:rFonts w:eastAsiaTheme="minorEastAsia" w:hint="eastAsia"/>
          <w:lang w:eastAsia="zh-CN"/>
        </w:rPr>
        <w:t>[</w:t>
      </w:r>
      <w:r>
        <w:rPr>
          <w:rFonts w:eastAsiaTheme="minorEastAsia"/>
          <w:lang w:eastAsia="zh-CN"/>
        </w:rPr>
        <w:t>3] R4-2007984</w:t>
      </w:r>
    </w:p>
    <w:p w14:paraId="7C5B34C6" w14:textId="5239F08C" w:rsidR="00CC6360" w:rsidRPr="00501368" w:rsidRDefault="00CC6360">
      <w:pPr>
        <w:rPr>
          <w:rFonts w:eastAsiaTheme="minorEastAsia"/>
          <w:lang w:eastAsia="zh-CN"/>
        </w:rPr>
      </w:pPr>
      <w:r>
        <w:rPr>
          <w:rFonts w:eastAsiaTheme="minorEastAsia"/>
          <w:lang w:eastAsia="zh-CN"/>
        </w:rPr>
        <w:t xml:space="preserve">[4] </w:t>
      </w:r>
      <w:r w:rsidRPr="00CC6360">
        <w:rPr>
          <w:rFonts w:eastAsiaTheme="minorEastAsia"/>
          <w:lang w:eastAsia="zh-CN"/>
        </w:rPr>
        <w:t>R4-2008571</w:t>
      </w:r>
      <w:r w:rsidRPr="00CC6360">
        <w:rPr>
          <w:rFonts w:eastAsiaTheme="minorEastAsia"/>
          <w:lang w:eastAsia="zh-CN"/>
        </w:rPr>
        <w:tab/>
      </w:r>
    </w:p>
    <w:sectPr w:rsidR="00CC6360" w:rsidRPr="00501368"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4C745" w14:textId="77777777" w:rsidR="00893BA5" w:rsidRDefault="00893BA5">
      <w:pPr>
        <w:spacing w:after="0"/>
      </w:pPr>
      <w:r>
        <w:separator/>
      </w:r>
    </w:p>
  </w:endnote>
  <w:endnote w:type="continuationSeparator" w:id="0">
    <w:p w14:paraId="50709D4E" w14:textId="77777777" w:rsidR="00893BA5" w:rsidRDefault="00893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2F07F4" w:rsidRDefault="002F07F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2F07F4" w:rsidRDefault="002F07F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2F07F4" w:rsidRDefault="002F07F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9391F">
      <w:rPr>
        <w:rStyle w:val="a5"/>
      </w:rPr>
      <w:t>1</w:t>
    </w:r>
    <w:r>
      <w:rPr>
        <w:rStyle w:val="a5"/>
      </w:rPr>
      <w:fldChar w:fldCharType="end"/>
    </w:r>
  </w:p>
  <w:p w14:paraId="4C6D8748" w14:textId="77777777" w:rsidR="002F07F4" w:rsidRDefault="002F07F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901DD" w14:textId="77777777" w:rsidR="00893BA5" w:rsidRDefault="00893BA5">
      <w:pPr>
        <w:spacing w:after="0"/>
      </w:pPr>
      <w:r>
        <w:separator/>
      </w:r>
    </w:p>
  </w:footnote>
  <w:footnote w:type="continuationSeparator" w:id="0">
    <w:p w14:paraId="28B352CA" w14:textId="77777777" w:rsidR="00893BA5" w:rsidRDefault="00893BA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0961"/>
    <w:multiLevelType w:val="hybridMultilevel"/>
    <w:tmpl w:val="0370619A"/>
    <w:lvl w:ilvl="0" w:tplc="AFE8EE0C">
      <w:start w:val="1"/>
      <w:numFmt w:val="bullet"/>
      <w:lvlText w:val="•"/>
      <w:lvlJc w:val="left"/>
      <w:pPr>
        <w:tabs>
          <w:tab w:val="num" w:pos="720"/>
        </w:tabs>
        <w:ind w:left="720" w:hanging="360"/>
      </w:pPr>
      <w:rPr>
        <w:rFonts w:ascii="Arial" w:hAnsi="Arial" w:hint="default"/>
      </w:rPr>
    </w:lvl>
    <w:lvl w:ilvl="1" w:tplc="DDEC56D6" w:tentative="1">
      <w:start w:val="1"/>
      <w:numFmt w:val="bullet"/>
      <w:lvlText w:val="•"/>
      <w:lvlJc w:val="left"/>
      <w:pPr>
        <w:tabs>
          <w:tab w:val="num" w:pos="1440"/>
        </w:tabs>
        <w:ind w:left="1440" w:hanging="360"/>
      </w:pPr>
      <w:rPr>
        <w:rFonts w:ascii="Arial" w:hAnsi="Arial" w:hint="default"/>
      </w:rPr>
    </w:lvl>
    <w:lvl w:ilvl="2" w:tplc="D200E088" w:tentative="1">
      <w:start w:val="1"/>
      <w:numFmt w:val="bullet"/>
      <w:lvlText w:val="•"/>
      <w:lvlJc w:val="left"/>
      <w:pPr>
        <w:tabs>
          <w:tab w:val="num" w:pos="2160"/>
        </w:tabs>
        <w:ind w:left="2160" w:hanging="360"/>
      </w:pPr>
      <w:rPr>
        <w:rFonts w:ascii="Arial" w:hAnsi="Arial" w:hint="default"/>
      </w:rPr>
    </w:lvl>
    <w:lvl w:ilvl="3" w:tplc="66123348" w:tentative="1">
      <w:start w:val="1"/>
      <w:numFmt w:val="bullet"/>
      <w:lvlText w:val="•"/>
      <w:lvlJc w:val="left"/>
      <w:pPr>
        <w:tabs>
          <w:tab w:val="num" w:pos="2880"/>
        </w:tabs>
        <w:ind w:left="2880" w:hanging="360"/>
      </w:pPr>
      <w:rPr>
        <w:rFonts w:ascii="Arial" w:hAnsi="Arial" w:hint="default"/>
      </w:rPr>
    </w:lvl>
    <w:lvl w:ilvl="4" w:tplc="BDF878EC" w:tentative="1">
      <w:start w:val="1"/>
      <w:numFmt w:val="bullet"/>
      <w:lvlText w:val="•"/>
      <w:lvlJc w:val="left"/>
      <w:pPr>
        <w:tabs>
          <w:tab w:val="num" w:pos="3600"/>
        </w:tabs>
        <w:ind w:left="3600" w:hanging="360"/>
      </w:pPr>
      <w:rPr>
        <w:rFonts w:ascii="Arial" w:hAnsi="Arial" w:hint="default"/>
      </w:rPr>
    </w:lvl>
    <w:lvl w:ilvl="5" w:tplc="6B74AEAE" w:tentative="1">
      <w:start w:val="1"/>
      <w:numFmt w:val="bullet"/>
      <w:lvlText w:val="•"/>
      <w:lvlJc w:val="left"/>
      <w:pPr>
        <w:tabs>
          <w:tab w:val="num" w:pos="4320"/>
        </w:tabs>
        <w:ind w:left="4320" w:hanging="360"/>
      </w:pPr>
      <w:rPr>
        <w:rFonts w:ascii="Arial" w:hAnsi="Arial" w:hint="default"/>
      </w:rPr>
    </w:lvl>
    <w:lvl w:ilvl="6" w:tplc="DC321BD2" w:tentative="1">
      <w:start w:val="1"/>
      <w:numFmt w:val="bullet"/>
      <w:lvlText w:val="•"/>
      <w:lvlJc w:val="left"/>
      <w:pPr>
        <w:tabs>
          <w:tab w:val="num" w:pos="5040"/>
        </w:tabs>
        <w:ind w:left="5040" w:hanging="360"/>
      </w:pPr>
      <w:rPr>
        <w:rFonts w:ascii="Arial" w:hAnsi="Arial" w:hint="default"/>
      </w:rPr>
    </w:lvl>
    <w:lvl w:ilvl="7" w:tplc="BE9A9F14" w:tentative="1">
      <w:start w:val="1"/>
      <w:numFmt w:val="bullet"/>
      <w:lvlText w:val="•"/>
      <w:lvlJc w:val="left"/>
      <w:pPr>
        <w:tabs>
          <w:tab w:val="num" w:pos="5760"/>
        </w:tabs>
        <w:ind w:left="5760" w:hanging="360"/>
      </w:pPr>
      <w:rPr>
        <w:rFonts w:ascii="Arial" w:hAnsi="Arial" w:hint="default"/>
      </w:rPr>
    </w:lvl>
    <w:lvl w:ilvl="8" w:tplc="4168899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4A511C"/>
    <w:multiLevelType w:val="hybridMultilevel"/>
    <w:tmpl w:val="BB88CD26"/>
    <w:lvl w:ilvl="0" w:tplc="CF8CDACE">
      <w:start w:val="1"/>
      <w:numFmt w:val="bullet"/>
      <w:lvlText w:val="•"/>
      <w:lvlJc w:val="left"/>
      <w:pPr>
        <w:tabs>
          <w:tab w:val="num" w:pos="720"/>
        </w:tabs>
        <w:ind w:left="720" w:hanging="360"/>
      </w:pPr>
      <w:rPr>
        <w:rFonts w:ascii="Arial" w:hAnsi="Arial" w:hint="default"/>
      </w:rPr>
    </w:lvl>
    <w:lvl w:ilvl="1" w:tplc="B1DA7A64">
      <w:numFmt w:val="bullet"/>
      <w:lvlText w:val="•"/>
      <w:lvlJc w:val="left"/>
      <w:pPr>
        <w:tabs>
          <w:tab w:val="num" w:pos="1440"/>
        </w:tabs>
        <w:ind w:left="1440" w:hanging="360"/>
      </w:pPr>
      <w:rPr>
        <w:rFonts w:ascii="Arial" w:hAnsi="Arial" w:hint="default"/>
      </w:rPr>
    </w:lvl>
    <w:lvl w:ilvl="2" w:tplc="F03E0FFE" w:tentative="1">
      <w:start w:val="1"/>
      <w:numFmt w:val="bullet"/>
      <w:lvlText w:val="•"/>
      <w:lvlJc w:val="left"/>
      <w:pPr>
        <w:tabs>
          <w:tab w:val="num" w:pos="2160"/>
        </w:tabs>
        <w:ind w:left="2160" w:hanging="360"/>
      </w:pPr>
      <w:rPr>
        <w:rFonts w:ascii="Arial" w:hAnsi="Arial" w:hint="default"/>
      </w:rPr>
    </w:lvl>
    <w:lvl w:ilvl="3" w:tplc="E7F2CBDC" w:tentative="1">
      <w:start w:val="1"/>
      <w:numFmt w:val="bullet"/>
      <w:lvlText w:val="•"/>
      <w:lvlJc w:val="left"/>
      <w:pPr>
        <w:tabs>
          <w:tab w:val="num" w:pos="2880"/>
        </w:tabs>
        <w:ind w:left="2880" w:hanging="360"/>
      </w:pPr>
      <w:rPr>
        <w:rFonts w:ascii="Arial" w:hAnsi="Arial" w:hint="default"/>
      </w:rPr>
    </w:lvl>
    <w:lvl w:ilvl="4" w:tplc="449205F4" w:tentative="1">
      <w:start w:val="1"/>
      <w:numFmt w:val="bullet"/>
      <w:lvlText w:val="•"/>
      <w:lvlJc w:val="left"/>
      <w:pPr>
        <w:tabs>
          <w:tab w:val="num" w:pos="3600"/>
        </w:tabs>
        <w:ind w:left="3600" w:hanging="360"/>
      </w:pPr>
      <w:rPr>
        <w:rFonts w:ascii="Arial" w:hAnsi="Arial" w:hint="default"/>
      </w:rPr>
    </w:lvl>
    <w:lvl w:ilvl="5" w:tplc="D40ECD08" w:tentative="1">
      <w:start w:val="1"/>
      <w:numFmt w:val="bullet"/>
      <w:lvlText w:val="•"/>
      <w:lvlJc w:val="left"/>
      <w:pPr>
        <w:tabs>
          <w:tab w:val="num" w:pos="4320"/>
        </w:tabs>
        <w:ind w:left="4320" w:hanging="360"/>
      </w:pPr>
      <w:rPr>
        <w:rFonts w:ascii="Arial" w:hAnsi="Arial" w:hint="default"/>
      </w:rPr>
    </w:lvl>
    <w:lvl w:ilvl="6" w:tplc="29F88552" w:tentative="1">
      <w:start w:val="1"/>
      <w:numFmt w:val="bullet"/>
      <w:lvlText w:val="•"/>
      <w:lvlJc w:val="left"/>
      <w:pPr>
        <w:tabs>
          <w:tab w:val="num" w:pos="5040"/>
        </w:tabs>
        <w:ind w:left="5040" w:hanging="360"/>
      </w:pPr>
      <w:rPr>
        <w:rFonts w:ascii="Arial" w:hAnsi="Arial" w:hint="default"/>
      </w:rPr>
    </w:lvl>
    <w:lvl w:ilvl="7" w:tplc="294CC418" w:tentative="1">
      <w:start w:val="1"/>
      <w:numFmt w:val="bullet"/>
      <w:lvlText w:val="•"/>
      <w:lvlJc w:val="left"/>
      <w:pPr>
        <w:tabs>
          <w:tab w:val="num" w:pos="5760"/>
        </w:tabs>
        <w:ind w:left="5760" w:hanging="360"/>
      </w:pPr>
      <w:rPr>
        <w:rFonts w:ascii="Arial" w:hAnsi="Arial" w:hint="default"/>
      </w:rPr>
    </w:lvl>
    <w:lvl w:ilvl="8" w:tplc="7ACC8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1421ECB"/>
    <w:multiLevelType w:val="hybridMultilevel"/>
    <w:tmpl w:val="EC36835C"/>
    <w:lvl w:ilvl="0" w:tplc="F2EE2D52">
      <w:start w:val="1"/>
      <w:numFmt w:val="bullet"/>
      <w:lvlText w:val="•"/>
      <w:lvlJc w:val="left"/>
      <w:pPr>
        <w:tabs>
          <w:tab w:val="num" w:pos="720"/>
        </w:tabs>
        <w:ind w:left="720" w:hanging="360"/>
      </w:pPr>
      <w:rPr>
        <w:rFonts w:ascii="Arial" w:hAnsi="Arial" w:hint="default"/>
      </w:rPr>
    </w:lvl>
    <w:lvl w:ilvl="1" w:tplc="F154C3A0">
      <w:numFmt w:val="bullet"/>
      <w:lvlText w:val="•"/>
      <w:lvlJc w:val="left"/>
      <w:pPr>
        <w:tabs>
          <w:tab w:val="num" w:pos="1440"/>
        </w:tabs>
        <w:ind w:left="1440" w:hanging="360"/>
      </w:pPr>
      <w:rPr>
        <w:rFonts w:ascii="Arial" w:hAnsi="Arial" w:hint="default"/>
      </w:rPr>
    </w:lvl>
    <w:lvl w:ilvl="2" w:tplc="45BC8A8C">
      <w:numFmt w:val="bullet"/>
      <w:lvlText w:val="•"/>
      <w:lvlJc w:val="left"/>
      <w:pPr>
        <w:tabs>
          <w:tab w:val="num" w:pos="2160"/>
        </w:tabs>
        <w:ind w:left="2160" w:hanging="360"/>
      </w:pPr>
      <w:rPr>
        <w:rFonts w:ascii="Arial" w:hAnsi="Arial" w:hint="default"/>
      </w:rPr>
    </w:lvl>
    <w:lvl w:ilvl="3" w:tplc="BEA0B800" w:tentative="1">
      <w:start w:val="1"/>
      <w:numFmt w:val="bullet"/>
      <w:lvlText w:val="•"/>
      <w:lvlJc w:val="left"/>
      <w:pPr>
        <w:tabs>
          <w:tab w:val="num" w:pos="2880"/>
        </w:tabs>
        <w:ind w:left="2880" w:hanging="360"/>
      </w:pPr>
      <w:rPr>
        <w:rFonts w:ascii="Arial" w:hAnsi="Arial" w:hint="default"/>
      </w:rPr>
    </w:lvl>
    <w:lvl w:ilvl="4" w:tplc="8154EDB2" w:tentative="1">
      <w:start w:val="1"/>
      <w:numFmt w:val="bullet"/>
      <w:lvlText w:val="•"/>
      <w:lvlJc w:val="left"/>
      <w:pPr>
        <w:tabs>
          <w:tab w:val="num" w:pos="3600"/>
        </w:tabs>
        <w:ind w:left="3600" w:hanging="360"/>
      </w:pPr>
      <w:rPr>
        <w:rFonts w:ascii="Arial" w:hAnsi="Arial" w:hint="default"/>
      </w:rPr>
    </w:lvl>
    <w:lvl w:ilvl="5" w:tplc="8BB6557A" w:tentative="1">
      <w:start w:val="1"/>
      <w:numFmt w:val="bullet"/>
      <w:lvlText w:val="•"/>
      <w:lvlJc w:val="left"/>
      <w:pPr>
        <w:tabs>
          <w:tab w:val="num" w:pos="4320"/>
        </w:tabs>
        <w:ind w:left="4320" w:hanging="360"/>
      </w:pPr>
      <w:rPr>
        <w:rFonts w:ascii="Arial" w:hAnsi="Arial" w:hint="default"/>
      </w:rPr>
    </w:lvl>
    <w:lvl w:ilvl="6" w:tplc="7BBA2892" w:tentative="1">
      <w:start w:val="1"/>
      <w:numFmt w:val="bullet"/>
      <w:lvlText w:val="•"/>
      <w:lvlJc w:val="left"/>
      <w:pPr>
        <w:tabs>
          <w:tab w:val="num" w:pos="5040"/>
        </w:tabs>
        <w:ind w:left="5040" w:hanging="360"/>
      </w:pPr>
      <w:rPr>
        <w:rFonts w:ascii="Arial" w:hAnsi="Arial" w:hint="default"/>
      </w:rPr>
    </w:lvl>
    <w:lvl w:ilvl="7" w:tplc="C264FA80" w:tentative="1">
      <w:start w:val="1"/>
      <w:numFmt w:val="bullet"/>
      <w:lvlText w:val="•"/>
      <w:lvlJc w:val="left"/>
      <w:pPr>
        <w:tabs>
          <w:tab w:val="num" w:pos="5760"/>
        </w:tabs>
        <w:ind w:left="5760" w:hanging="360"/>
      </w:pPr>
      <w:rPr>
        <w:rFonts w:ascii="Arial" w:hAnsi="Arial" w:hint="default"/>
      </w:rPr>
    </w:lvl>
    <w:lvl w:ilvl="8" w:tplc="999EB3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4"/>
  </w:num>
  <w:num w:numId="2">
    <w:abstractNumId w:val="1"/>
  </w:num>
  <w:num w:numId="3">
    <w:abstractNumId w:val="20"/>
  </w:num>
  <w:num w:numId="4">
    <w:abstractNumId w:val="23"/>
  </w:num>
  <w:num w:numId="5">
    <w:abstractNumId w:val="17"/>
  </w:num>
  <w:num w:numId="6">
    <w:abstractNumId w:val="7"/>
  </w:num>
  <w:num w:numId="7">
    <w:abstractNumId w:val="15"/>
  </w:num>
  <w:num w:numId="8">
    <w:abstractNumId w:val="2"/>
  </w:num>
  <w:num w:numId="9">
    <w:abstractNumId w:val="6"/>
  </w:num>
  <w:num w:numId="10">
    <w:abstractNumId w:val="4"/>
  </w:num>
  <w:num w:numId="11">
    <w:abstractNumId w:val="9"/>
  </w:num>
  <w:num w:numId="12">
    <w:abstractNumId w:val="11"/>
  </w:num>
  <w:num w:numId="13">
    <w:abstractNumId w:val="10"/>
  </w:num>
  <w:num w:numId="14">
    <w:abstractNumId w:val="8"/>
  </w:num>
  <w:num w:numId="15">
    <w:abstractNumId w:val="19"/>
  </w:num>
  <w:num w:numId="16">
    <w:abstractNumId w:val="13"/>
  </w:num>
  <w:num w:numId="17">
    <w:abstractNumId w:val="12"/>
  </w:num>
  <w:num w:numId="18">
    <w:abstractNumId w:val="16"/>
  </w:num>
  <w:num w:numId="19">
    <w:abstractNumId w:val="21"/>
  </w:num>
  <w:num w:numId="20">
    <w:abstractNumId w:val="18"/>
  </w:num>
  <w:num w:numId="21">
    <w:abstractNumId w:val="22"/>
  </w:num>
  <w:num w:numId="22">
    <w:abstractNumId w:val="5"/>
  </w:num>
  <w:num w:numId="23">
    <w:abstractNumId w:val="3"/>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97395"/>
    <w:rsid w:val="000A1878"/>
    <w:rsid w:val="000A2ED7"/>
    <w:rsid w:val="000A4BCB"/>
    <w:rsid w:val="000A7A19"/>
    <w:rsid w:val="000C154C"/>
    <w:rsid w:val="000D2930"/>
    <w:rsid w:val="000E0A8A"/>
    <w:rsid w:val="000E2C03"/>
    <w:rsid w:val="0010016B"/>
    <w:rsid w:val="00100360"/>
    <w:rsid w:val="00125DB4"/>
    <w:rsid w:val="001270A1"/>
    <w:rsid w:val="00164F56"/>
    <w:rsid w:val="0017747E"/>
    <w:rsid w:val="001B2B0A"/>
    <w:rsid w:val="001E173F"/>
    <w:rsid w:val="001E7174"/>
    <w:rsid w:val="001F437B"/>
    <w:rsid w:val="0020033A"/>
    <w:rsid w:val="002221AC"/>
    <w:rsid w:val="00222AF7"/>
    <w:rsid w:val="002328DD"/>
    <w:rsid w:val="002339ED"/>
    <w:rsid w:val="00245810"/>
    <w:rsid w:val="00254006"/>
    <w:rsid w:val="00254F38"/>
    <w:rsid w:val="00260815"/>
    <w:rsid w:val="002736F0"/>
    <w:rsid w:val="00282D3C"/>
    <w:rsid w:val="00294B79"/>
    <w:rsid w:val="002A4356"/>
    <w:rsid w:val="002A5E54"/>
    <w:rsid w:val="002B3EF2"/>
    <w:rsid w:val="002B45C3"/>
    <w:rsid w:val="002E668C"/>
    <w:rsid w:val="002F07F4"/>
    <w:rsid w:val="002F579F"/>
    <w:rsid w:val="0030638F"/>
    <w:rsid w:val="00311CF9"/>
    <w:rsid w:val="003139FE"/>
    <w:rsid w:val="00336939"/>
    <w:rsid w:val="00356FB6"/>
    <w:rsid w:val="00362718"/>
    <w:rsid w:val="0036592F"/>
    <w:rsid w:val="003664ED"/>
    <w:rsid w:val="00384C02"/>
    <w:rsid w:val="003A5E2B"/>
    <w:rsid w:val="003E683D"/>
    <w:rsid w:val="003F0451"/>
    <w:rsid w:val="003F762D"/>
    <w:rsid w:val="00406366"/>
    <w:rsid w:val="00430F24"/>
    <w:rsid w:val="00432636"/>
    <w:rsid w:val="00435EBD"/>
    <w:rsid w:val="00451B80"/>
    <w:rsid w:val="00461C12"/>
    <w:rsid w:val="00466D02"/>
    <w:rsid w:val="00477263"/>
    <w:rsid w:val="0049501A"/>
    <w:rsid w:val="004A678E"/>
    <w:rsid w:val="004A7CF2"/>
    <w:rsid w:val="004C4868"/>
    <w:rsid w:val="004D6543"/>
    <w:rsid w:val="004E21D1"/>
    <w:rsid w:val="004F0167"/>
    <w:rsid w:val="00501368"/>
    <w:rsid w:val="00507437"/>
    <w:rsid w:val="0051050C"/>
    <w:rsid w:val="00520DD2"/>
    <w:rsid w:val="005235DB"/>
    <w:rsid w:val="0052623A"/>
    <w:rsid w:val="00530EB0"/>
    <w:rsid w:val="00534C66"/>
    <w:rsid w:val="005375AA"/>
    <w:rsid w:val="00545EC2"/>
    <w:rsid w:val="0054734A"/>
    <w:rsid w:val="00586C50"/>
    <w:rsid w:val="005A456B"/>
    <w:rsid w:val="005E4CCD"/>
    <w:rsid w:val="005F5231"/>
    <w:rsid w:val="0068746D"/>
    <w:rsid w:val="006A79AC"/>
    <w:rsid w:val="006D43CD"/>
    <w:rsid w:val="006F27CD"/>
    <w:rsid w:val="00701598"/>
    <w:rsid w:val="00702FA5"/>
    <w:rsid w:val="00712608"/>
    <w:rsid w:val="00714064"/>
    <w:rsid w:val="007200C7"/>
    <w:rsid w:val="00723883"/>
    <w:rsid w:val="00732D90"/>
    <w:rsid w:val="00736D84"/>
    <w:rsid w:val="007373F0"/>
    <w:rsid w:val="0077159B"/>
    <w:rsid w:val="007902A8"/>
    <w:rsid w:val="007A37DA"/>
    <w:rsid w:val="007B7142"/>
    <w:rsid w:val="007C04D0"/>
    <w:rsid w:val="007D0DF7"/>
    <w:rsid w:val="007D3409"/>
    <w:rsid w:val="007E5F97"/>
    <w:rsid w:val="007E67EC"/>
    <w:rsid w:val="007F2E6A"/>
    <w:rsid w:val="00804945"/>
    <w:rsid w:val="00806052"/>
    <w:rsid w:val="008072F9"/>
    <w:rsid w:val="00834289"/>
    <w:rsid w:val="008446CE"/>
    <w:rsid w:val="00866DB9"/>
    <w:rsid w:val="0087326D"/>
    <w:rsid w:val="00873C1C"/>
    <w:rsid w:val="008766C3"/>
    <w:rsid w:val="00884051"/>
    <w:rsid w:val="0088604D"/>
    <w:rsid w:val="008921D4"/>
    <w:rsid w:val="00892EAE"/>
    <w:rsid w:val="00893BA5"/>
    <w:rsid w:val="008A1C4E"/>
    <w:rsid w:val="008A6B2A"/>
    <w:rsid w:val="008B4F73"/>
    <w:rsid w:val="008D55C5"/>
    <w:rsid w:val="008E2591"/>
    <w:rsid w:val="00907365"/>
    <w:rsid w:val="00914A03"/>
    <w:rsid w:val="0091568D"/>
    <w:rsid w:val="00915DEA"/>
    <w:rsid w:val="009450D8"/>
    <w:rsid w:val="00963B9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1597D"/>
    <w:rsid w:val="00A22790"/>
    <w:rsid w:val="00A26AB0"/>
    <w:rsid w:val="00A33C20"/>
    <w:rsid w:val="00A34913"/>
    <w:rsid w:val="00A35F07"/>
    <w:rsid w:val="00A42E3A"/>
    <w:rsid w:val="00AC2C97"/>
    <w:rsid w:val="00AD65F4"/>
    <w:rsid w:val="00AD69AA"/>
    <w:rsid w:val="00AE165A"/>
    <w:rsid w:val="00AE6BE0"/>
    <w:rsid w:val="00AF5966"/>
    <w:rsid w:val="00B03811"/>
    <w:rsid w:val="00B10C6E"/>
    <w:rsid w:val="00B23292"/>
    <w:rsid w:val="00B2746E"/>
    <w:rsid w:val="00B343A3"/>
    <w:rsid w:val="00B41E6D"/>
    <w:rsid w:val="00B71C35"/>
    <w:rsid w:val="00B73A82"/>
    <w:rsid w:val="00B76F4D"/>
    <w:rsid w:val="00B911CA"/>
    <w:rsid w:val="00BA4265"/>
    <w:rsid w:val="00BB2A32"/>
    <w:rsid w:val="00BC449A"/>
    <w:rsid w:val="00BC47AB"/>
    <w:rsid w:val="00BC70A8"/>
    <w:rsid w:val="00BD2AB1"/>
    <w:rsid w:val="00BE1FD4"/>
    <w:rsid w:val="00BE677A"/>
    <w:rsid w:val="00BE6A2E"/>
    <w:rsid w:val="00BF00A7"/>
    <w:rsid w:val="00BF33D9"/>
    <w:rsid w:val="00BF62DA"/>
    <w:rsid w:val="00C11B10"/>
    <w:rsid w:val="00C166E3"/>
    <w:rsid w:val="00C338CA"/>
    <w:rsid w:val="00C42942"/>
    <w:rsid w:val="00C47376"/>
    <w:rsid w:val="00C50A0A"/>
    <w:rsid w:val="00C638D8"/>
    <w:rsid w:val="00C83525"/>
    <w:rsid w:val="00CA1729"/>
    <w:rsid w:val="00CA1DAE"/>
    <w:rsid w:val="00CC6360"/>
    <w:rsid w:val="00CE0DA0"/>
    <w:rsid w:val="00D24B94"/>
    <w:rsid w:val="00D34050"/>
    <w:rsid w:val="00D41D2D"/>
    <w:rsid w:val="00D53A4A"/>
    <w:rsid w:val="00D657E8"/>
    <w:rsid w:val="00D82643"/>
    <w:rsid w:val="00D9391F"/>
    <w:rsid w:val="00D95093"/>
    <w:rsid w:val="00DB10D2"/>
    <w:rsid w:val="00DB1DD4"/>
    <w:rsid w:val="00DB61B3"/>
    <w:rsid w:val="00DD1DFF"/>
    <w:rsid w:val="00DF0231"/>
    <w:rsid w:val="00E04C43"/>
    <w:rsid w:val="00E06181"/>
    <w:rsid w:val="00E16D37"/>
    <w:rsid w:val="00E17F78"/>
    <w:rsid w:val="00E22D0F"/>
    <w:rsid w:val="00E5666B"/>
    <w:rsid w:val="00E577DD"/>
    <w:rsid w:val="00E72064"/>
    <w:rsid w:val="00E775B2"/>
    <w:rsid w:val="00E91110"/>
    <w:rsid w:val="00E9184C"/>
    <w:rsid w:val="00EA4E79"/>
    <w:rsid w:val="00EA5149"/>
    <w:rsid w:val="00EB02DF"/>
    <w:rsid w:val="00EB49DE"/>
    <w:rsid w:val="00EE4EEA"/>
    <w:rsid w:val="00EE6F45"/>
    <w:rsid w:val="00EF1F3E"/>
    <w:rsid w:val="00EF66B2"/>
    <w:rsid w:val="00F0497C"/>
    <w:rsid w:val="00F076D1"/>
    <w:rsid w:val="00F10653"/>
    <w:rsid w:val="00F22DF5"/>
    <w:rsid w:val="00F303F4"/>
    <w:rsid w:val="00F413E7"/>
    <w:rsid w:val="00F43475"/>
    <w:rsid w:val="00F559B5"/>
    <w:rsid w:val="00F714A7"/>
    <w:rsid w:val="00F91703"/>
    <w:rsid w:val="00FA1D27"/>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3414952">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67461211">
      <w:bodyDiv w:val="1"/>
      <w:marLeft w:val="0"/>
      <w:marRight w:val="0"/>
      <w:marTop w:val="0"/>
      <w:marBottom w:val="0"/>
      <w:divBdr>
        <w:top w:val="none" w:sz="0" w:space="0" w:color="auto"/>
        <w:left w:val="none" w:sz="0" w:space="0" w:color="auto"/>
        <w:bottom w:val="none" w:sz="0" w:space="0" w:color="auto"/>
        <w:right w:val="none" w:sz="0" w:space="0" w:color="auto"/>
      </w:divBdr>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652717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16308683">
      <w:bodyDiv w:val="1"/>
      <w:marLeft w:val="0"/>
      <w:marRight w:val="0"/>
      <w:marTop w:val="0"/>
      <w:marBottom w:val="0"/>
      <w:divBdr>
        <w:top w:val="none" w:sz="0" w:space="0" w:color="auto"/>
        <w:left w:val="none" w:sz="0" w:space="0" w:color="auto"/>
        <w:bottom w:val="none" w:sz="0" w:space="0" w:color="auto"/>
        <w:right w:val="none" w:sz="0" w:space="0" w:color="auto"/>
      </w:divBdr>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29352492">
      <w:bodyDiv w:val="1"/>
      <w:marLeft w:val="0"/>
      <w:marRight w:val="0"/>
      <w:marTop w:val="0"/>
      <w:marBottom w:val="0"/>
      <w:divBdr>
        <w:top w:val="none" w:sz="0" w:space="0" w:color="auto"/>
        <w:left w:val="none" w:sz="0" w:space="0" w:color="auto"/>
        <w:bottom w:val="none" w:sz="0" w:space="0" w:color="auto"/>
        <w:right w:val="none" w:sz="0" w:space="0" w:color="auto"/>
      </w:divBdr>
      <w:divsChild>
        <w:div w:id="1955214735">
          <w:marLeft w:val="360"/>
          <w:marRight w:val="0"/>
          <w:marTop w:val="200"/>
          <w:marBottom w:val="0"/>
          <w:divBdr>
            <w:top w:val="none" w:sz="0" w:space="0" w:color="auto"/>
            <w:left w:val="none" w:sz="0" w:space="0" w:color="auto"/>
            <w:bottom w:val="none" w:sz="0" w:space="0" w:color="auto"/>
            <w:right w:val="none" w:sz="0" w:space="0" w:color="auto"/>
          </w:divBdr>
        </w:div>
        <w:div w:id="2107538164">
          <w:marLeft w:val="1080"/>
          <w:marRight w:val="0"/>
          <w:marTop w:val="100"/>
          <w:marBottom w:val="0"/>
          <w:divBdr>
            <w:top w:val="none" w:sz="0" w:space="0" w:color="auto"/>
            <w:left w:val="none" w:sz="0" w:space="0" w:color="auto"/>
            <w:bottom w:val="none" w:sz="0" w:space="0" w:color="auto"/>
            <w:right w:val="none" w:sz="0" w:space="0" w:color="auto"/>
          </w:divBdr>
        </w:div>
        <w:div w:id="394935768">
          <w:marLeft w:val="1080"/>
          <w:marRight w:val="0"/>
          <w:marTop w:val="100"/>
          <w:marBottom w:val="0"/>
          <w:divBdr>
            <w:top w:val="none" w:sz="0" w:space="0" w:color="auto"/>
            <w:left w:val="none" w:sz="0" w:space="0" w:color="auto"/>
            <w:bottom w:val="none" w:sz="0" w:space="0" w:color="auto"/>
            <w:right w:val="none" w:sz="0" w:space="0" w:color="auto"/>
          </w:divBdr>
        </w:div>
        <w:div w:id="1612712003">
          <w:marLeft w:val="1080"/>
          <w:marRight w:val="0"/>
          <w:marTop w:val="100"/>
          <w:marBottom w:val="0"/>
          <w:divBdr>
            <w:top w:val="none" w:sz="0" w:space="0" w:color="auto"/>
            <w:left w:val="none" w:sz="0" w:space="0" w:color="auto"/>
            <w:bottom w:val="none" w:sz="0" w:space="0" w:color="auto"/>
            <w:right w:val="none" w:sz="0" w:space="0" w:color="auto"/>
          </w:divBdr>
        </w:div>
        <w:div w:id="56441053">
          <w:marLeft w:val="360"/>
          <w:marRight w:val="0"/>
          <w:marTop w:val="200"/>
          <w:marBottom w:val="0"/>
          <w:divBdr>
            <w:top w:val="none" w:sz="0" w:space="0" w:color="auto"/>
            <w:left w:val="none" w:sz="0" w:space="0" w:color="auto"/>
            <w:bottom w:val="none" w:sz="0" w:space="0" w:color="auto"/>
            <w:right w:val="none" w:sz="0" w:space="0" w:color="auto"/>
          </w:divBdr>
        </w:div>
        <w:div w:id="1939831828">
          <w:marLeft w:val="1080"/>
          <w:marRight w:val="0"/>
          <w:marTop w:val="100"/>
          <w:marBottom w:val="0"/>
          <w:divBdr>
            <w:top w:val="none" w:sz="0" w:space="0" w:color="auto"/>
            <w:left w:val="none" w:sz="0" w:space="0" w:color="auto"/>
            <w:bottom w:val="none" w:sz="0" w:space="0" w:color="auto"/>
            <w:right w:val="none" w:sz="0" w:space="0" w:color="auto"/>
          </w:divBdr>
        </w:div>
      </w:divsChild>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6556204">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57252408">
      <w:bodyDiv w:val="1"/>
      <w:marLeft w:val="0"/>
      <w:marRight w:val="0"/>
      <w:marTop w:val="0"/>
      <w:marBottom w:val="0"/>
      <w:divBdr>
        <w:top w:val="none" w:sz="0" w:space="0" w:color="auto"/>
        <w:left w:val="none" w:sz="0" w:space="0" w:color="auto"/>
        <w:bottom w:val="none" w:sz="0" w:space="0" w:color="auto"/>
        <w:right w:val="none" w:sz="0" w:space="0" w:color="auto"/>
      </w:divBdr>
      <w:divsChild>
        <w:div w:id="1937446318">
          <w:marLeft w:val="360"/>
          <w:marRight w:val="0"/>
          <w:marTop w:val="200"/>
          <w:marBottom w:val="0"/>
          <w:divBdr>
            <w:top w:val="none" w:sz="0" w:space="0" w:color="auto"/>
            <w:left w:val="none" w:sz="0" w:space="0" w:color="auto"/>
            <w:bottom w:val="none" w:sz="0" w:space="0" w:color="auto"/>
            <w:right w:val="none" w:sz="0" w:space="0" w:color="auto"/>
          </w:divBdr>
        </w:div>
        <w:div w:id="735861527">
          <w:marLeft w:val="1080"/>
          <w:marRight w:val="0"/>
          <w:marTop w:val="100"/>
          <w:marBottom w:val="0"/>
          <w:divBdr>
            <w:top w:val="none" w:sz="0" w:space="0" w:color="auto"/>
            <w:left w:val="none" w:sz="0" w:space="0" w:color="auto"/>
            <w:bottom w:val="none" w:sz="0" w:space="0" w:color="auto"/>
            <w:right w:val="none" w:sz="0" w:space="0" w:color="auto"/>
          </w:divBdr>
        </w:div>
        <w:div w:id="1416048597">
          <w:marLeft w:val="360"/>
          <w:marRight w:val="0"/>
          <w:marTop w:val="200"/>
          <w:marBottom w:val="0"/>
          <w:divBdr>
            <w:top w:val="none" w:sz="0" w:space="0" w:color="auto"/>
            <w:left w:val="none" w:sz="0" w:space="0" w:color="auto"/>
            <w:bottom w:val="none" w:sz="0" w:space="0" w:color="auto"/>
            <w:right w:val="none" w:sz="0" w:space="0" w:color="auto"/>
          </w:divBdr>
        </w:div>
        <w:div w:id="1603612806">
          <w:marLeft w:val="1080"/>
          <w:marRight w:val="0"/>
          <w:marTop w:val="100"/>
          <w:marBottom w:val="0"/>
          <w:divBdr>
            <w:top w:val="none" w:sz="0" w:space="0" w:color="auto"/>
            <w:left w:val="none" w:sz="0" w:space="0" w:color="auto"/>
            <w:bottom w:val="none" w:sz="0" w:space="0" w:color="auto"/>
            <w:right w:val="none" w:sz="0" w:space="0" w:color="auto"/>
          </w:divBdr>
        </w:div>
        <w:div w:id="722564107">
          <w:marLeft w:val="360"/>
          <w:marRight w:val="0"/>
          <w:marTop w:val="200"/>
          <w:marBottom w:val="0"/>
          <w:divBdr>
            <w:top w:val="none" w:sz="0" w:space="0" w:color="auto"/>
            <w:left w:val="none" w:sz="0" w:space="0" w:color="auto"/>
            <w:bottom w:val="none" w:sz="0" w:space="0" w:color="auto"/>
            <w:right w:val="none" w:sz="0" w:space="0" w:color="auto"/>
          </w:divBdr>
        </w:div>
        <w:div w:id="265620106">
          <w:marLeft w:val="1080"/>
          <w:marRight w:val="0"/>
          <w:marTop w:val="100"/>
          <w:marBottom w:val="0"/>
          <w:divBdr>
            <w:top w:val="none" w:sz="0" w:space="0" w:color="auto"/>
            <w:left w:val="none" w:sz="0" w:space="0" w:color="auto"/>
            <w:bottom w:val="none" w:sz="0" w:space="0" w:color="auto"/>
            <w:right w:val="none" w:sz="0" w:space="0" w:color="auto"/>
          </w:divBdr>
        </w:div>
        <w:div w:id="1865170183">
          <w:marLeft w:val="1800"/>
          <w:marRight w:val="0"/>
          <w:marTop w:val="100"/>
          <w:marBottom w:val="0"/>
          <w:divBdr>
            <w:top w:val="none" w:sz="0" w:space="0" w:color="auto"/>
            <w:left w:val="none" w:sz="0" w:space="0" w:color="auto"/>
            <w:bottom w:val="none" w:sz="0" w:space="0" w:color="auto"/>
            <w:right w:val="none" w:sz="0" w:space="0" w:color="auto"/>
          </w:divBdr>
        </w:div>
        <w:div w:id="1659726572">
          <w:marLeft w:val="360"/>
          <w:marRight w:val="0"/>
          <w:marTop w:val="200"/>
          <w:marBottom w:val="0"/>
          <w:divBdr>
            <w:top w:val="none" w:sz="0" w:space="0" w:color="auto"/>
            <w:left w:val="none" w:sz="0" w:space="0" w:color="auto"/>
            <w:bottom w:val="none" w:sz="0" w:space="0" w:color="auto"/>
            <w:right w:val="none" w:sz="0" w:space="0" w:color="auto"/>
          </w:divBdr>
        </w:div>
        <w:div w:id="466630108">
          <w:marLeft w:val="1080"/>
          <w:marRight w:val="0"/>
          <w:marTop w:val="100"/>
          <w:marBottom w:val="0"/>
          <w:divBdr>
            <w:top w:val="none" w:sz="0" w:space="0" w:color="auto"/>
            <w:left w:val="none" w:sz="0" w:space="0" w:color="auto"/>
            <w:bottom w:val="none" w:sz="0" w:space="0" w:color="auto"/>
            <w:right w:val="none" w:sz="0" w:space="0" w:color="auto"/>
          </w:divBdr>
        </w:div>
      </w:divsChild>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83287571">
      <w:bodyDiv w:val="1"/>
      <w:marLeft w:val="0"/>
      <w:marRight w:val="0"/>
      <w:marTop w:val="0"/>
      <w:marBottom w:val="0"/>
      <w:divBdr>
        <w:top w:val="none" w:sz="0" w:space="0" w:color="auto"/>
        <w:left w:val="none" w:sz="0" w:space="0" w:color="auto"/>
        <w:bottom w:val="none" w:sz="0" w:space="0" w:color="auto"/>
        <w:right w:val="none" w:sz="0" w:space="0" w:color="auto"/>
      </w:divBdr>
      <w:divsChild>
        <w:div w:id="313487483">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8130538">
      <w:bodyDiv w:val="1"/>
      <w:marLeft w:val="0"/>
      <w:marRight w:val="0"/>
      <w:marTop w:val="0"/>
      <w:marBottom w:val="0"/>
      <w:divBdr>
        <w:top w:val="none" w:sz="0" w:space="0" w:color="auto"/>
        <w:left w:val="none" w:sz="0" w:space="0" w:color="auto"/>
        <w:bottom w:val="none" w:sz="0" w:space="0" w:color="auto"/>
        <w:right w:val="none" w:sz="0" w:space="0" w:color="auto"/>
      </w:divBdr>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64870555">
      <w:bodyDiv w:val="1"/>
      <w:marLeft w:val="0"/>
      <w:marRight w:val="0"/>
      <w:marTop w:val="0"/>
      <w:marBottom w:val="0"/>
      <w:divBdr>
        <w:top w:val="none" w:sz="0" w:space="0" w:color="auto"/>
        <w:left w:val="none" w:sz="0" w:space="0" w:color="auto"/>
        <w:bottom w:val="none" w:sz="0" w:space="0" w:color="auto"/>
        <w:right w:val="none" w:sz="0" w:space="0" w:color="auto"/>
      </w:divBdr>
      <w:divsChild>
        <w:div w:id="1269848332">
          <w:marLeft w:val="360"/>
          <w:marRight w:val="0"/>
          <w:marTop w:val="200"/>
          <w:marBottom w:val="0"/>
          <w:divBdr>
            <w:top w:val="none" w:sz="0" w:space="0" w:color="auto"/>
            <w:left w:val="none" w:sz="0" w:space="0" w:color="auto"/>
            <w:bottom w:val="none" w:sz="0" w:space="0" w:color="auto"/>
            <w:right w:val="none" w:sz="0" w:space="0" w:color="auto"/>
          </w:divBdr>
        </w:div>
        <w:div w:id="1056515900">
          <w:marLeft w:val="1080"/>
          <w:marRight w:val="0"/>
          <w:marTop w:val="100"/>
          <w:marBottom w:val="0"/>
          <w:divBdr>
            <w:top w:val="none" w:sz="0" w:space="0" w:color="auto"/>
            <w:left w:val="none" w:sz="0" w:space="0" w:color="auto"/>
            <w:bottom w:val="none" w:sz="0" w:space="0" w:color="auto"/>
            <w:right w:val="none" w:sz="0" w:space="0" w:color="auto"/>
          </w:divBdr>
        </w:div>
        <w:div w:id="1958565710">
          <w:marLeft w:val="1080"/>
          <w:marRight w:val="0"/>
          <w:marTop w:val="100"/>
          <w:marBottom w:val="0"/>
          <w:divBdr>
            <w:top w:val="none" w:sz="0" w:space="0" w:color="auto"/>
            <w:left w:val="none" w:sz="0" w:space="0" w:color="auto"/>
            <w:bottom w:val="none" w:sz="0" w:space="0" w:color="auto"/>
            <w:right w:val="none" w:sz="0" w:space="0" w:color="auto"/>
          </w:divBdr>
        </w:div>
        <w:div w:id="1396321914">
          <w:marLeft w:val="1080"/>
          <w:marRight w:val="0"/>
          <w:marTop w:val="100"/>
          <w:marBottom w:val="0"/>
          <w:divBdr>
            <w:top w:val="none" w:sz="0" w:space="0" w:color="auto"/>
            <w:left w:val="none" w:sz="0" w:space="0" w:color="auto"/>
            <w:bottom w:val="none" w:sz="0" w:space="0" w:color="auto"/>
            <w:right w:val="none" w:sz="0" w:space="0" w:color="auto"/>
          </w:divBdr>
        </w:div>
        <w:div w:id="2102876435">
          <w:marLeft w:val="360"/>
          <w:marRight w:val="0"/>
          <w:marTop w:val="200"/>
          <w:marBottom w:val="0"/>
          <w:divBdr>
            <w:top w:val="none" w:sz="0" w:space="0" w:color="auto"/>
            <w:left w:val="none" w:sz="0" w:space="0" w:color="auto"/>
            <w:bottom w:val="none" w:sz="0" w:space="0" w:color="auto"/>
            <w:right w:val="none" w:sz="0" w:space="0" w:color="auto"/>
          </w:divBdr>
        </w:div>
        <w:div w:id="400098827">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37457323">
      <w:bodyDiv w:val="1"/>
      <w:marLeft w:val="0"/>
      <w:marRight w:val="0"/>
      <w:marTop w:val="0"/>
      <w:marBottom w:val="0"/>
      <w:divBdr>
        <w:top w:val="none" w:sz="0" w:space="0" w:color="auto"/>
        <w:left w:val="none" w:sz="0" w:space="0" w:color="auto"/>
        <w:bottom w:val="none" w:sz="0" w:space="0" w:color="auto"/>
        <w:right w:val="none" w:sz="0" w:space="0" w:color="auto"/>
      </w:divBdr>
      <w:divsChild>
        <w:div w:id="4331271">
          <w:marLeft w:val="360"/>
          <w:marRight w:val="0"/>
          <w:marTop w:val="200"/>
          <w:marBottom w:val="0"/>
          <w:divBdr>
            <w:top w:val="none" w:sz="0" w:space="0" w:color="auto"/>
            <w:left w:val="none" w:sz="0" w:space="0" w:color="auto"/>
            <w:bottom w:val="none" w:sz="0" w:space="0" w:color="auto"/>
            <w:right w:val="none" w:sz="0" w:space="0" w:color="auto"/>
          </w:divBdr>
        </w:div>
        <w:div w:id="1887714835">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167824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991</TotalTime>
  <Pages>1</Pages>
  <Words>868</Words>
  <Characters>4949</Characters>
  <Application>Microsoft Office Word</Application>
  <DocSecurity>0</DocSecurity>
  <Lines>41</Lines>
  <Paragraphs>11</Paragraphs>
  <ScaleCrop>false</ScaleCrop>
  <Company>HUAWEI</Company>
  <LinksUpToDate>false</LinksUpToDate>
  <CharactersWithSpaces>5806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34</cp:revision>
  <dcterms:created xsi:type="dcterms:W3CDTF">2020-06-28T04:14:00Z</dcterms:created>
  <dcterms:modified xsi:type="dcterms:W3CDTF">2020-08-07T14:42:00Z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(3)N3e00k6klZXeevuvdrRhjg88fayNJ3aGDncybZxBincy9+RvLom6JHHNYJ4L9RDdZqM63Q5D
JCL/gIAZ9LCKBCbiSOPCCf2jxR1gMfut6Fa3CvWEiumu6OCnUNCZRu60xDAgx9+Gend+Rrg/
rNB1E1bft1/gXtpJVAJITI/0nsi7dpxkpEZ9gaTyharISKBUSkBv0AlU6mVK6ciz68dkts/P
SwQpRxovGMGYVzMauX</vt:lpwstr>
  </property>
  <property fmtid="{D5CDD505-2E9C-101B-9397-08002B2CF9AE}" pid="3" name="_2015_ms_pID_7253431">
    <vt:lpwstr>rBJMg4JzwPmx92ZRptrclB8NBNeHKmzney9MpGSEQnvNwrt8vGpb9C
qll43NpDopzyUQvm8p3s6av7aL+vR7tQJVwN4IsIicIz1uxrg/+J0LMiJUcP+QAkJjij16Lz
m9fDNA19PIZGLx80EJwgfYWjU7FIkhxs0tuz7MlFGSCSX+xdUyOWLnEuap/EFU/1KD8FMcDz
6hqrUuypiDTOktdRZCLoerX5a42WxDZh/Lz7</vt:lpwstr>
  </property>
  <property fmtid="{D5CDD505-2E9C-101B-9397-08002B2CF9AE}" pid="4" name="_2015_ms_pID_7253432">
    <vt:lpwstr>DZSVoB0K/HPlvQgiuuWaWlU=</vt:lpwstr>
  </property>
</Properties>
</file>