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4C9C2168" w:rsidR="00803510" w:rsidRPr="00EE2C74" w:rsidRDefault="00803510" w:rsidP="00803510">
      <w:pPr>
        <w:pStyle w:val="3GPPHeader"/>
        <w:spacing w:after="0"/>
        <w:rPr>
          <w:lang w:val="en-US"/>
        </w:rPr>
      </w:pPr>
      <w:bookmarkStart w:id="0" w:name="_GoBack"/>
      <w:bookmarkEnd w:id="0"/>
      <w:r w:rsidRPr="00EE2C74">
        <w:rPr>
          <w:lang w:val="en-US"/>
        </w:rPr>
        <w:t>3GPP TSG-RAN4 Meeting #9</w:t>
      </w:r>
      <w:r w:rsidR="005155DE">
        <w:rPr>
          <w:lang w:val="en-US"/>
        </w:rPr>
        <w:t>6</w:t>
      </w:r>
      <w:r>
        <w:rPr>
          <w:lang w:val="en-US"/>
        </w:rPr>
        <w:t>-e</w:t>
      </w:r>
      <w:r w:rsidRPr="00EE2C74">
        <w:rPr>
          <w:lang w:val="en-US"/>
        </w:rPr>
        <w:tab/>
      </w:r>
      <w:r w:rsidR="00911B20" w:rsidRPr="00911B20">
        <w:rPr>
          <w:lang w:val="en-US"/>
        </w:rPr>
        <w:t>R4-2009592</w:t>
      </w:r>
    </w:p>
    <w:p w14:paraId="091FE811" w14:textId="5C0C6147" w:rsidR="00803510" w:rsidRDefault="00911B20" w:rsidP="00803510">
      <w:pPr>
        <w:pStyle w:val="3GPPHeader"/>
        <w:spacing w:after="0"/>
        <w:rPr>
          <w:lang w:val="en-US"/>
        </w:rPr>
      </w:pPr>
      <w:r w:rsidRPr="00903F3C">
        <w:rPr>
          <w:lang w:val="en-US"/>
        </w:rPr>
        <w:t xml:space="preserve">Electronic Meeting, 17-28 </w:t>
      </w:r>
      <w:proofErr w:type="gramStart"/>
      <w:r w:rsidRPr="00903F3C">
        <w:rPr>
          <w:lang w:val="en-US"/>
        </w:rPr>
        <w:t>Aug.,</w:t>
      </w:r>
      <w:proofErr w:type="gramEnd"/>
      <w:r w:rsidRPr="00903F3C">
        <w:rPr>
          <w:lang w:val="en-US"/>
        </w:rPr>
        <w:t xml:space="preserv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4DD7436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235BA">
        <w:rPr>
          <w:sz w:val="22"/>
        </w:rPr>
        <w:t>O</w:t>
      </w:r>
      <w:r w:rsidR="008235BA" w:rsidRPr="008235BA">
        <w:rPr>
          <w:sz w:val="22"/>
        </w:rPr>
        <w:t>n UE capability xDD differentiation for SUL/SDL bands</w:t>
      </w:r>
    </w:p>
    <w:p w14:paraId="23226DA5" w14:textId="3482319C"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348C6">
        <w:rPr>
          <w:sz w:val="22"/>
        </w:rPr>
        <w:t>4</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7F13D3C3" w14:textId="2D385FDD" w:rsidR="00341491" w:rsidRDefault="00126055" w:rsidP="00341491">
      <w:r>
        <w:t>RAN</w:t>
      </w:r>
      <w:r w:rsidR="008235BA">
        <w:t>2</w:t>
      </w:r>
      <w:r>
        <w:t>#</w:t>
      </w:r>
      <w:r w:rsidR="008235BA">
        <w:t>110</w:t>
      </w:r>
      <w:r w:rsidR="008926AE">
        <w:t>-</w:t>
      </w:r>
      <w:r w:rsidR="00F62561">
        <w:t>e</w:t>
      </w:r>
      <w:r w:rsidR="005155DE">
        <w:t xml:space="preserve"> approved a</w:t>
      </w:r>
      <w:r w:rsidR="008235BA">
        <w:t xml:space="preserve">n </w:t>
      </w:r>
      <w:r w:rsidR="008926AE">
        <w:t>“</w:t>
      </w:r>
      <w:r w:rsidR="008235BA" w:rsidRPr="008235BA">
        <w:t>LS on UE capability xDD differentiation for SUL/SDL bands</w:t>
      </w:r>
      <w:r w:rsidR="008926AE">
        <w:t>”</w:t>
      </w:r>
      <w:r w:rsidR="005155DE" w:rsidRPr="005155DE">
        <w:t xml:space="preserve"> </w:t>
      </w:r>
      <w:r w:rsidR="005155DE">
        <w:t>[1]</w:t>
      </w:r>
      <w:r w:rsidR="00B72408">
        <w:t>. This contribution</w:t>
      </w:r>
      <w:r w:rsidR="00341491">
        <w:t xml:space="preserve"> aims at gaining a common understanding in RAN4 on if the below RAN2 understanding works or not </w:t>
      </w:r>
      <w:r w:rsidR="00CC44F1">
        <w:t xml:space="preserve">to differentiate SUL or SDL bands </w:t>
      </w:r>
      <w:r w:rsidR="00341491">
        <w:t xml:space="preserve">as </w:t>
      </w:r>
      <w:r w:rsidR="00CC44F1">
        <w:t>FDD or TDD, respectively.</w:t>
      </w:r>
    </w:p>
    <w:p w14:paraId="6D4D3870" w14:textId="77777777" w:rsidR="00341491" w:rsidRPr="00341491" w:rsidRDefault="00341491" w:rsidP="00341491">
      <w:pPr>
        <w:rPr>
          <w:i/>
          <w:iCs/>
        </w:rPr>
      </w:pPr>
      <w:r w:rsidRPr="00341491">
        <w:rPr>
          <w:rFonts w:ascii="Arial" w:eastAsia="SimSun" w:hAnsi="Arial" w:cs="Arial"/>
          <w:i/>
          <w:iCs/>
          <w:lang w:eastAsia="zh-CN"/>
        </w:rPr>
        <w:t xml:space="preserve">RAN2 understands that if a SUL/SDL band corresponds to TDD or FDD band, it applies UE capability for TDD or FDD. </w:t>
      </w:r>
      <w:r w:rsidRPr="00341491">
        <w:rPr>
          <w:rFonts w:ascii="Arial" w:hAnsi="Arial" w:cs="Arial"/>
          <w:i/>
          <w:iCs/>
          <w:lang w:val="en-US" w:eastAsia="ko-KR"/>
        </w:rPr>
        <w:t xml:space="preserve">According to clause 5.2 in 38.101-1 v15.9.0, NR operating bands in FR1 are defined in Table 5.2-1. There are 2 SDL bands (i.e. n75, n76) and 6 SUL bands (i.e. n80, n81, n82, n83, n84, n86) and </w:t>
      </w:r>
      <w:r w:rsidRPr="00341491">
        <w:rPr>
          <w:rFonts w:ascii="Arial" w:eastAsia="SimSun" w:hAnsi="Arial" w:cs="Arial"/>
          <w:i/>
          <w:iCs/>
          <w:lang w:val="en-US" w:eastAsia="zh-CN"/>
        </w:rPr>
        <w:t xml:space="preserve">all </w:t>
      </w:r>
      <w:r w:rsidRPr="00341491">
        <w:rPr>
          <w:rFonts w:ascii="Arial" w:hAnsi="Arial" w:cs="Arial"/>
          <w:i/>
          <w:iCs/>
          <w:lang w:val="en-US" w:eastAsia="ko-KR"/>
        </w:rPr>
        <w:t xml:space="preserve">these bands have corresponding TDD or FDD bands. </w:t>
      </w:r>
      <w:r w:rsidRPr="00341491">
        <w:rPr>
          <w:rFonts w:ascii="Arial" w:hAnsi="Arial" w:cs="Arial"/>
          <w:i/>
          <w:iCs/>
          <w:lang w:eastAsia="ko-KR"/>
        </w:rPr>
        <w:t>For Rel-16, there are 3 SDL bands (i.e. n29, n75, n76) and 8 SUL bands (i.e. n80, n81, n82, n83, n84, n86, n89, n95) i.e. new bands for n29, n89, n95 are introduced according to the table in 38.101-1 v16.30.</w:t>
      </w:r>
      <w:r w:rsidRPr="00341491">
        <w:rPr>
          <w:rFonts w:ascii="Arial" w:eastAsia="SimSun" w:hAnsi="Arial" w:cs="Arial"/>
          <w:i/>
          <w:iCs/>
          <w:lang w:eastAsia="zh-CN"/>
        </w:rPr>
        <w:t xml:space="preserve"> It is unclear whether all these bands correspond to TDD or FDD bands. Therefore, i</w:t>
      </w:r>
      <w:r w:rsidRPr="00341491">
        <w:rPr>
          <w:rFonts w:ascii="Arial" w:hAnsi="Arial" w:cs="Arial"/>
          <w:i/>
          <w:iCs/>
          <w:lang w:eastAsia="ko-KR"/>
        </w:rPr>
        <w:t>t is unclear how UE capability for FDD or TDD can be applied to SDL/SUL</w:t>
      </w:r>
      <w:r w:rsidRPr="00341491">
        <w:rPr>
          <w:rFonts w:ascii="Arial" w:eastAsia="SimSun" w:hAnsi="Arial" w:cs="Arial"/>
          <w:i/>
          <w:iCs/>
          <w:lang w:eastAsia="zh-CN"/>
        </w:rPr>
        <w:t xml:space="preserve"> in Rel-15 and Rel-16</w:t>
      </w:r>
      <w:r w:rsidRPr="00341491">
        <w:rPr>
          <w:i/>
          <w:iCs/>
        </w:rPr>
        <w:t xml:space="preserve"> </w:t>
      </w:r>
    </w:p>
    <w:p w14:paraId="33A9D0C0" w14:textId="54376C93" w:rsidR="00E014E2" w:rsidRPr="00341491" w:rsidRDefault="00341491" w:rsidP="00341491">
      <w:r>
        <w:t xml:space="preserve">Finally, we proposed to send </w:t>
      </w:r>
      <w:proofErr w:type="gramStart"/>
      <w:r>
        <w:t>an</w:t>
      </w:r>
      <w:proofErr w:type="gramEnd"/>
      <w:r>
        <w:t xml:space="preserve"> LS to RAN2 to share that RAN4 common understanding for this issue.</w:t>
      </w:r>
    </w:p>
    <w:p w14:paraId="33BDEED4" w14:textId="57E6DD85" w:rsidR="00E014E2" w:rsidRDefault="00E014E2" w:rsidP="00E014E2">
      <w:pPr>
        <w:pStyle w:val="Heading1"/>
      </w:pPr>
      <w:r>
        <w:t>2</w:t>
      </w:r>
      <w:r>
        <w:tab/>
      </w:r>
      <w:r w:rsidR="00341491">
        <w:t>Case study for SDL n75 and n29</w:t>
      </w:r>
    </w:p>
    <w:p w14:paraId="415410B8" w14:textId="51123B09" w:rsidR="00341491" w:rsidRPr="00341491" w:rsidRDefault="00341491" w:rsidP="00E014E2">
      <w:pPr>
        <w:rPr>
          <w:b/>
          <w:bCs/>
          <w:i/>
          <w:iCs/>
          <w:u w:val="single"/>
        </w:rPr>
      </w:pPr>
      <w:r w:rsidRPr="00341491">
        <w:rPr>
          <w:b/>
          <w:bCs/>
          <w:i/>
          <w:iCs/>
          <w:sz w:val="21"/>
          <w:szCs w:val="21"/>
          <w:u w:val="single"/>
        </w:rPr>
        <w:t>n75</w:t>
      </w:r>
    </w:p>
    <w:p w14:paraId="0FCAA28E" w14:textId="77777777" w:rsidR="00341491" w:rsidRDefault="00341491" w:rsidP="00E014E2">
      <w:r>
        <w:t>In the RAN2 LS, there is a following text.</w:t>
      </w:r>
    </w:p>
    <w:p w14:paraId="1788AFD9" w14:textId="77777777" w:rsidR="00341491" w:rsidRPr="00341491" w:rsidRDefault="00341491" w:rsidP="00E014E2">
      <w:pPr>
        <w:rPr>
          <w:b/>
          <w:bCs/>
        </w:rPr>
      </w:pPr>
      <w:r w:rsidRPr="00341491">
        <w:rPr>
          <w:b/>
          <w:bCs/>
        </w:rPr>
        <w:t xml:space="preserve">“There are 2 SDL bands (i.e. n75, n76) and 6 SUL bands (i.e. n80, n81, n82, n83, n84, n86) and all these bands have corresponding TDD </w:t>
      </w:r>
      <w:r w:rsidRPr="00E20AD7">
        <w:rPr>
          <w:b/>
          <w:bCs/>
          <w:color w:val="FF0000"/>
        </w:rPr>
        <w:t>or</w:t>
      </w:r>
      <w:r w:rsidRPr="00341491">
        <w:rPr>
          <w:b/>
          <w:bCs/>
        </w:rPr>
        <w:t xml:space="preserve"> FDD bands.”</w:t>
      </w:r>
    </w:p>
    <w:p w14:paraId="25E1814B" w14:textId="169C6BE0" w:rsidR="00341491" w:rsidRDefault="00E20AD7" w:rsidP="00E014E2">
      <w:r>
        <w:t>If the above “or” was always true, this would always work apart from the aspect that if this kind of differentiation is technically meaningful or not. According to the latest TS38.101-1, the following corresponding bands can be seen.</w:t>
      </w:r>
    </w:p>
    <w:p w14:paraId="09E32846" w14:textId="61A6A6BB" w:rsidR="00E20AD7" w:rsidRDefault="00E20AD7" w:rsidP="00E20AD7">
      <w:pPr>
        <w:pStyle w:val="TH"/>
      </w:pPr>
      <w:r w:rsidRPr="00C6449B">
        <w:t xml:space="preserve">Table </w:t>
      </w:r>
      <w:r>
        <w:t>2</w:t>
      </w:r>
      <w:r w:rsidRPr="00C6449B">
        <w:t xml:space="preserve">-1: </w:t>
      </w:r>
      <w:r>
        <w:t>bands whose frequency range is the same as that of n75</w:t>
      </w:r>
    </w:p>
    <w:tbl>
      <w:tblPr>
        <w:tblW w:w="4976" w:type="pct"/>
        <w:tblCellMar>
          <w:left w:w="0" w:type="dxa"/>
          <w:right w:w="0" w:type="dxa"/>
        </w:tblCellMar>
        <w:tblLook w:val="04A0" w:firstRow="1" w:lastRow="0" w:firstColumn="1" w:lastColumn="0" w:noHBand="0" w:noVBand="1"/>
      </w:tblPr>
      <w:tblGrid>
        <w:gridCol w:w="2394"/>
        <w:gridCol w:w="2393"/>
        <w:gridCol w:w="2393"/>
        <w:gridCol w:w="2393"/>
      </w:tblGrid>
      <w:tr w:rsidR="00E20AD7" w:rsidRPr="00E20AD7" w14:paraId="04EC1E3D" w14:textId="77777777" w:rsidTr="00E20AD7">
        <w:tc>
          <w:tcPr>
            <w:tcW w:w="1250" w:type="pc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2364015" w14:textId="77777777" w:rsidR="00E20AD7" w:rsidRPr="00E20AD7" w:rsidRDefault="00E20AD7" w:rsidP="00E20AD7">
            <w:pPr>
              <w:jc w:val="center"/>
            </w:pPr>
            <w:r w:rsidRPr="00E20AD7">
              <w:rPr>
                <w:b/>
                <w:bCs/>
              </w:rPr>
              <w:t>NR operating band</w:t>
            </w:r>
          </w:p>
        </w:tc>
        <w:tc>
          <w:tcPr>
            <w:tcW w:w="1250" w:type="pc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164517FC" w14:textId="2B7C8507" w:rsidR="00E20AD7" w:rsidRPr="00E20AD7" w:rsidRDefault="00E20AD7" w:rsidP="00E20AD7">
            <w:pPr>
              <w:jc w:val="center"/>
            </w:pPr>
            <w:r w:rsidRPr="00E20AD7">
              <w:rPr>
                <w:b/>
                <w:bCs/>
              </w:rPr>
              <w:t>Uplink (UL)</w:t>
            </w:r>
          </w:p>
        </w:tc>
        <w:tc>
          <w:tcPr>
            <w:tcW w:w="1250" w:type="pc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73B5D46B" w14:textId="6308161D" w:rsidR="00E20AD7" w:rsidRPr="00E20AD7" w:rsidRDefault="00E20AD7" w:rsidP="00E20AD7">
            <w:pPr>
              <w:jc w:val="center"/>
            </w:pPr>
            <w:r w:rsidRPr="00E20AD7">
              <w:rPr>
                <w:b/>
                <w:bCs/>
              </w:rPr>
              <w:t>Downlink (DL)</w:t>
            </w:r>
          </w:p>
        </w:tc>
        <w:tc>
          <w:tcPr>
            <w:tcW w:w="1250" w:type="pc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1A2FDB7" w14:textId="77777777" w:rsidR="00E20AD7" w:rsidRPr="00E20AD7" w:rsidRDefault="00E20AD7" w:rsidP="00E20AD7">
            <w:pPr>
              <w:jc w:val="center"/>
            </w:pPr>
            <w:r w:rsidRPr="00E20AD7">
              <w:rPr>
                <w:b/>
                <w:bCs/>
              </w:rPr>
              <w:t>Duplex Mode</w:t>
            </w:r>
          </w:p>
        </w:tc>
      </w:tr>
      <w:tr w:rsidR="00E20AD7" w:rsidRPr="00E20AD7" w14:paraId="4DB2CF24" w14:textId="77777777" w:rsidTr="00E20AD7">
        <w:tc>
          <w:tcPr>
            <w:tcW w:w="1250" w:type="pct"/>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150CBF2" w14:textId="77777777" w:rsidR="00E20AD7" w:rsidRPr="00E20AD7" w:rsidRDefault="00E20AD7" w:rsidP="00E20AD7">
            <w:pPr>
              <w:jc w:val="center"/>
            </w:pPr>
            <w:r w:rsidRPr="00E20AD7">
              <w:rPr>
                <w:b/>
                <w:bCs/>
              </w:rPr>
              <w:t>n50</w:t>
            </w:r>
          </w:p>
        </w:tc>
        <w:tc>
          <w:tcPr>
            <w:tcW w:w="1250" w:type="pct"/>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3ACEF30" w14:textId="77777777" w:rsidR="00E20AD7" w:rsidRPr="00E20AD7" w:rsidRDefault="00E20AD7" w:rsidP="00E20AD7">
            <w:pPr>
              <w:jc w:val="center"/>
            </w:pPr>
            <w:r w:rsidRPr="00E20AD7">
              <w:t>1432 MHz – 1517 MHz</w:t>
            </w:r>
          </w:p>
        </w:tc>
        <w:tc>
          <w:tcPr>
            <w:tcW w:w="1250" w:type="pct"/>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5C60CA0B" w14:textId="77777777" w:rsidR="00E20AD7" w:rsidRPr="00E20AD7" w:rsidRDefault="00E20AD7" w:rsidP="00E20AD7">
            <w:pPr>
              <w:jc w:val="center"/>
            </w:pPr>
            <w:r w:rsidRPr="00E20AD7">
              <w:t>1432 MHz – 1517 MHz</w:t>
            </w:r>
          </w:p>
        </w:tc>
        <w:tc>
          <w:tcPr>
            <w:tcW w:w="1250" w:type="pct"/>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33FE63" w14:textId="484535B2" w:rsidR="00E20AD7" w:rsidRPr="00E20AD7" w:rsidRDefault="00E20AD7" w:rsidP="00E20AD7">
            <w:pPr>
              <w:jc w:val="center"/>
            </w:pPr>
            <w:r w:rsidRPr="00E20AD7">
              <w:t>TDD</w:t>
            </w:r>
          </w:p>
        </w:tc>
      </w:tr>
      <w:tr w:rsidR="00E20AD7" w:rsidRPr="00E20AD7" w14:paraId="2A71F0FE" w14:textId="77777777" w:rsidTr="00E20AD7">
        <w:tc>
          <w:tcPr>
            <w:tcW w:w="1250" w:type="pct"/>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FC1743D" w14:textId="77777777" w:rsidR="00E20AD7" w:rsidRPr="00E20AD7" w:rsidRDefault="00E20AD7" w:rsidP="00E20AD7">
            <w:pPr>
              <w:jc w:val="center"/>
              <w:rPr>
                <w:highlight w:val="yellow"/>
              </w:rPr>
            </w:pPr>
            <w:r w:rsidRPr="00E20AD7">
              <w:rPr>
                <w:b/>
                <w:bCs/>
                <w:highlight w:val="yellow"/>
              </w:rPr>
              <w:t>n75</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B953209" w14:textId="77777777" w:rsidR="00E20AD7" w:rsidRPr="00E20AD7" w:rsidRDefault="00E20AD7" w:rsidP="00E20AD7">
            <w:pPr>
              <w:jc w:val="center"/>
              <w:rPr>
                <w:highlight w:val="yellow"/>
              </w:rPr>
            </w:pPr>
            <w:r w:rsidRPr="00E20AD7">
              <w:rPr>
                <w:highlight w:val="yellow"/>
              </w:rPr>
              <w:t>N/A</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5AD4FFF" w14:textId="77777777" w:rsidR="00E20AD7" w:rsidRPr="00E20AD7" w:rsidRDefault="00E20AD7" w:rsidP="00E20AD7">
            <w:pPr>
              <w:jc w:val="center"/>
              <w:rPr>
                <w:highlight w:val="yellow"/>
              </w:rPr>
            </w:pPr>
            <w:r w:rsidRPr="00E20AD7">
              <w:rPr>
                <w:highlight w:val="yellow"/>
              </w:rPr>
              <w:t>1432 MHz – 1517 MHz</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24E2C37A" w14:textId="77777777" w:rsidR="00E20AD7" w:rsidRPr="00E20AD7" w:rsidRDefault="00E20AD7" w:rsidP="00E20AD7">
            <w:pPr>
              <w:jc w:val="center"/>
              <w:rPr>
                <w:highlight w:val="yellow"/>
              </w:rPr>
            </w:pPr>
            <w:r w:rsidRPr="00E20AD7">
              <w:rPr>
                <w:highlight w:val="yellow"/>
              </w:rPr>
              <w:t>SDL</w:t>
            </w:r>
          </w:p>
        </w:tc>
      </w:tr>
      <w:tr w:rsidR="00E20AD7" w:rsidRPr="00E20AD7" w14:paraId="4B2D3F29" w14:textId="77777777" w:rsidTr="00E20AD7">
        <w:tc>
          <w:tcPr>
            <w:tcW w:w="1250" w:type="pct"/>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03719A9" w14:textId="77777777" w:rsidR="00E20AD7" w:rsidRPr="00E20AD7" w:rsidRDefault="00E20AD7" w:rsidP="00E20AD7">
            <w:pPr>
              <w:jc w:val="center"/>
            </w:pPr>
            <w:r w:rsidRPr="00E20AD7">
              <w:rPr>
                <w:b/>
                <w:bCs/>
              </w:rPr>
              <w:t>n92</w:t>
            </w:r>
          </w:p>
        </w:tc>
        <w:tc>
          <w:tcPr>
            <w:tcW w:w="1250" w:type="pct"/>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CE05CFD" w14:textId="77777777" w:rsidR="00E20AD7" w:rsidRPr="00E20AD7" w:rsidRDefault="00E20AD7" w:rsidP="00E20AD7">
            <w:pPr>
              <w:jc w:val="center"/>
            </w:pPr>
            <w:r w:rsidRPr="00E20AD7">
              <w:t>832 MHz – 862 MHz</w:t>
            </w:r>
          </w:p>
        </w:tc>
        <w:tc>
          <w:tcPr>
            <w:tcW w:w="1250" w:type="pct"/>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65BFB4D" w14:textId="77777777" w:rsidR="00E20AD7" w:rsidRPr="00E20AD7" w:rsidRDefault="00E20AD7" w:rsidP="00E20AD7">
            <w:pPr>
              <w:jc w:val="center"/>
            </w:pPr>
            <w:r w:rsidRPr="00E20AD7">
              <w:t>1432 MHz – 1517 MHz</w:t>
            </w:r>
          </w:p>
        </w:tc>
        <w:tc>
          <w:tcPr>
            <w:tcW w:w="1250" w:type="pct"/>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61C484F3" w14:textId="2229BB5E" w:rsidR="00E20AD7" w:rsidRPr="00E20AD7" w:rsidRDefault="00E20AD7" w:rsidP="00E20AD7">
            <w:pPr>
              <w:jc w:val="center"/>
            </w:pPr>
            <w:r w:rsidRPr="00E20AD7">
              <w:t>FDD</w:t>
            </w:r>
          </w:p>
        </w:tc>
      </w:tr>
      <w:tr w:rsidR="00E20AD7" w:rsidRPr="00E20AD7" w14:paraId="035F81FD" w14:textId="77777777" w:rsidTr="00E20AD7">
        <w:trPr>
          <w:trHeight w:val="25"/>
        </w:trPr>
        <w:tc>
          <w:tcPr>
            <w:tcW w:w="1250" w:type="pct"/>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1DCDC6A" w14:textId="77777777" w:rsidR="00E20AD7" w:rsidRPr="00E20AD7" w:rsidRDefault="00E20AD7" w:rsidP="00E20AD7">
            <w:pPr>
              <w:jc w:val="center"/>
            </w:pPr>
            <w:r w:rsidRPr="00E20AD7">
              <w:rPr>
                <w:b/>
                <w:bCs/>
              </w:rPr>
              <w:t>n94</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100A427" w14:textId="77777777" w:rsidR="00E20AD7" w:rsidRPr="00E20AD7" w:rsidRDefault="00E20AD7" w:rsidP="00E20AD7">
            <w:pPr>
              <w:jc w:val="center"/>
            </w:pPr>
            <w:r w:rsidRPr="00E20AD7">
              <w:t>880 MHz – 915 MHz</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0A63740" w14:textId="77777777" w:rsidR="00E20AD7" w:rsidRPr="00E20AD7" w:rsidRDefault="00E20AD7" w:rsidP="00E20AD7">
            <w:pPr>
              <w:jc w:val="center"/>
            </w:pPr>
            <w:r w:rsidRPr="00E20AD7">
              <w:t>1432 MHz – 1517 MHz</w:t>
            </w:r>
          </w:p>
        </w:tc>
        <w:tc>
          <w:tcPr>
            <w:tcW w:w="1250" w:type="pct"/>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3A245E1" w14:textId="3605C67D" w:rsidR="00E20AD7" w:rsidRPr="00E20AD7" w:rsidRDefault="00E20AD7" w:rsidP="00E20AD7">
            <w:pPr>
              <w:jc w:val="center"/>
            </w:pPr>
            <w:r w:rsidRPr="00E20AD7">
              <w:t>FDD</w:t>
            </w:r>
          </w:p>
        </w:tc>
      </w:tr>
    </w:tbl>
    <w:p w14:paraId="5AF85521" w14:textId="77777777" w:rsidR="00E20AD7" w:rsidRDefault="00E20AD7" w:rsidP="00E014E2"/>
    <w:p w14:paraId="128704F9" w14:textId="61FCCD83" w:rsidR="00E20AD7" w:rsidRDefault="00E20AD7" w:rsidP="00E014E2">
      <w:r>
        <w:t>At a first glance, we may be able to use n50 as</w:t>
      </w:r>
      <w:r w:rsidR="00CC44F1">
        <w:t xml:space="preserve"> a</w:t>
      </w:r>
      <w:r>
        <w:t xml:space="preserve"> corresponding band as reference for xDD</w:t>
      </w:r>
      <w:r w:rsidR="00CC44F1">
        <w:t xml:space="preserve"> differentiation</w:t>
      </w:r>
      <w:r>
        <w:t xml:space="preserve">. Both DL frequency range of n92 and n94 is also the same as that of n50 and n75. And these n92 and n94 are treated as FDD. Hence, </w:t>
      </w:r>
      <w:r w:rsidR="00911B20">
        <w:t>t</w:t>
      </w:r>
      <w:r>
        <w:t>he “</w:t>
      </w:r>
      <w:r w:rsidRPr="00E20AD7">
        <w:rPr>
          <w:color w:val="FF0000"/>
        </w:rPr>
        <w:t>or</w:t>
      </w:r>
      <w:r>
        <w:t>” does not always apply.</w:t>
      </w:r>
    </w:p>
    <w:p w14:paraId="41160CA1" w14:textId="459D96DD" w:rsidR="00184911" w:rsidRPr="00184911" w:rsidRDefault="00E20AD7" w:rsidP="00E014E2">
      <w:pPr>
        <w:rPr>
          <w:b/>
          <w:bCs/>
        </w:rPr>
      </w:pPr>
      <w:r w:rsidRPr="00184911">
        <w:rPr>
          <w:b/>
          <w:bCs/>
        </w:rPr>
        <w:t xml:space="preserve">Observation 1: </w:t>
      </w:r>
      <w:r w:rsidR="00A82CA2">
        <w:rPr>
          <w:b/>
          <w:bCs/>
        </w:rPr>
        <w:t>There can be multiple c</w:t>
      </w:r>
      <w:r w:rsidRPr="00184911">
        <w:rPr>
          <w:b/>
          <w:bCs/>
        </w:rPr>
        <w:t xml:space="preserve">orresponding bands </w:t>
      </w:r>
      <w:r w:rsidR="0065372E">
        <w:rPr>
          <w:b/>
          <w:bCs/>
        </w:rPr>
        <w:t>of</w:t>
      </w:r>
      <w:r w:rsidR="00A82CA2">
        <w:rPr>
          <w:b/>
          <w:bCs/>
        </w:rPr>
        <w:t xml:space="preserve"> SUL or SDL bands</w:t>
      </w:r>
      <w:r w:rsidR="00CC44F1">
        <w:rPr>
          <w:b/>
          <w:bCs/>
        </w:rPr>
        <w:t>,</w:t>
      </w:r>
      <w:r w:rsidR="00A82CA2">
        <w:rPr>
          <w:b/>
          <w:bCs/>
        </w:rPr>
        <w:t xml:space="preserve"> and they </w:t>
      </w:r>
      <w:r w:rsidR="00184911" w:rsidRPr="00184911">
        <w:rPr>
          <w:b/>
          <w:bCs/>
        </w:rPr>
        <w:t>do</w:t>
      </w:r>
      <w:r w:rsidRPr="00184911">
        <w:rPr>
          <w:b/>
          <w:bCs/>
        </w:rPr>
        <w:t xml:space="preserve"> not always</w:t>
      </w:r>
      <w:r w:rsidR="00184911" w:rsidRPr="00184911">
        <w:rPr>
          <w:b/>
          <w:bCs/>
        </w:rPr>
        <w:t xml:space="preserve"> use the </w:t>
      </w:r>
      <w:r w:rsidR="009C5281">
        <w:rPr>
          <w:b/>
          <w:bCs/>
        </w:rPr>
        <w:t>common</w:t>
      </w:r>
      <w:r w:rsidR="00184911" w:rsidRPr="00184911">
        <w:rPr>
          <w:b/>
          <w:bCs/>
        </w:rPr>
        <w:t xml:space="preserve"> duplex mode.</w:t>
      </w:r>
    </w:p>
    <w:p w14:paraId="19B1348D" w14:textId="6A6E4276" w:rsidR="00184911" w:rsidRPr="00341491" w:rsidRDefault="00184911" w:rsidP="00184911">
      <w:pPr>
        <w:rPr>
          <w:b/>
          <w:bCs/>
          <w:i/>
          <w:iCs/>
          <w:u w:val="single"/>
        </w:rPr>
      </w:pPr>
      <w:r>
        <w:rPr>
          <w:b/>
          <w:bCs/>
          <w:i/>
          <w:iCs/>
          <w:sz w:val="21"/>
          <w:szCs w:val="21"/>
          <w:u w:val="single"/>
        </w:rPr>
        <w:t>n29</w:t>
      </w:r>
    </w:p>
    <w:p w14:paraId="3E39D219" w14:textId="41319210" w:rsidR="00184911" w:rsidRDefault="00E21E9A" w:rsidP="00184911">
      <w:r>
        <w:lastRenderedPageBreak/>
        <w:t xml:space="preserve">So far, there has been no corresponding bands for n29 which is defined as SDL in TS38.101-1. When it comes to LTE Band 29, it has been defined as “FDD” in TS36.101. Since in LTE, using the title of FDD or TDD means which frame type structure 1 or 2 each of the bands selects. </w:t>
      </w:r>
      <w:r w:rsidR="003C536B">
        <w:t>And LTE Band 29 selected frame structure type 1.</w:t>
      </w:r>
      <w:r>
        <w:t xml:space="preserve"> </w:t>
      </w:r>
    </w:p>
    <w:p w14:paraId="6BD6C128" w14:textId="49B1882E" w:rsidR="003C536B" w:rsidRDefault="003C536B" w:rsidP="003C536B">
      <w:pPr>
        <w:rPr>
          <w:b/>
          <w:bCs/>
        </w:rPr>
      </w:pPr>
      <w:r w:rsidRPr="00184911">
        <w:rPr>
          <w:b/>
          <w:bCs/>
        </w:rPr>
        <w:t xml:space="preserve">Observation </w:t>
      </w:r>
      <w:r>
        <w:rPr>
          <w:b/>
          <w:bCs/>
        </w:rPr>
        <w:t>2</w:t>
      </w:r>
      <w:r w:rsidRPr="00184911">
        <w:rPr>
          <w:b/>
          <w:bCs/>
        </w:rPr>
        <w:t xml:space="preserve">: Corresponding bands </w:t>
      </w:r>
      <w:r w:rsidR="00A82CA2">
        <w:rPr>
          <w:b/>
          <w:bCs/>
        </w:rPr>
        <w:t xml:space="preserve">for SUL or SDL bands </w:t>
      </w:r>
      <w:r w:rsidRPr="00184911">
        <w:rPr>
          <w:b/>
          <w:bCs/>
        </w:rPr>
        <w:t xml:space="preserve">do not always </w:t>
      </w:r>
      <w:r>
        <w:rPr>
          <w:b/>
          <w:bCs/>
        </w:rPr>
        <w:t>exi</w:t>
      </w:r>
      <w:r w:rsidR="00CC44F1">
        <w:rPr>
          <w:b/>
          <w:bCs/>
        </w:rPr>
        <w:t>s</w:t>
      </w:r>
      <w:r>
        <w:rPr>
          <w:b/>
          <w:bCs/>
        </w:rPr>
        <w:t>t.</w:t>
      </w:r>
    </w:p>
    <w:p w14:paraId="2397EE95" w14:textId="3A6509EF" w:rsidR="003C536B" w:rsidRDefault="003C536B" w:rsidP="00E014E2">
      <w:r>
        <w:t>Hence, we can conclude that the method RAN2 came up with do</w:t>
      </w:r>
      <w:r w:rsidR="0003309C">
        <w:t>e</w:t>
      </w:r>
      <w:r>
        <w:t>s not always work.</w:t>
      </w:r>
    </w:p>
    <w:p w14:paraId="11A3B133" w14:textId="513AEC84" w:rsidR="003C536B" w:rsidRDefault="003C536B" w:rsidP="00E014E2">
      <w:pPr>
        <w:rPr>
          <w:b/>
          <w:bCs/>
        </w:rPr>
      </w:pPr>
      <w:r w:rsidRPr="00184911">
        <w:rPr>
          <w:b/>
          <w:bCs/>
        </w:rPr>
        <w:t xml:space="preserve">Observation </w:t>
      </w:r>
      <w:r>
        <w:rPr>
          <w:b/>
          <w:bCs/>
        </w:rPr>
        <w:t>3</w:t>
      </w:r>
      <w:r w:rsidRPr="00184911">
        <w:rPr>
          <w:b/>
          <w:bCs/>
        </w:rPr>
        <w:t xml:space="preserve">: </w:t>
      </w:r>
      <w:r w:rsidR="003D5738">
        <w:rPr>
          <w:b/>
          <w:bCs/>
        </w:rPr>
        <w:t xml:space="preserve">Given n75 and n29 discussion, </w:t>
      </w:r>
      <w:r w:rsidR="003D5738" w:rsidRPr="003D5738">
        <w:rPr>
          <w:b/>
          <w:bCs/>
        </w:rPr>
        <w:t>RAN2 understand</w:t>
      </w:r>
      <w:r w:rsidR="003D5738">
        <w:rPr>
          <w:b/>
          <w:bCs/>
        </w:rPr>
        <w:t xml:space="preserve">ing does not always apply in all the cases </w:t>
      </w:r>
      <w:r w:rsidR="003D5738" w:rsidRPr="003D5738">
        <w:rPr>
          <w:b/>
          <w:bCs/>
        </w:rPr>
        <w:t>that a SUL/SDL band corresponds to TDD or FDD band</w:t>
      </w:r>
      <w:r w:rsidR="003D5738">
        <w:rPr>
          <w:b/>
          <w:bCs/>
        </w:rPr>
        <w:t>. Hence applying</w:t>
      </w:r>
      <w:r w:rsidR="003D5738" w:rsidRPr="003D5738">
        <w:rPr>
          <w:b/>
          <w:bCs/>
        </w:rPr>
        <w:t xml:space="preserve"> </w:t>
      </w:r>
      <w:r w:rsidR="003D5738">
        <w:rPr>
          <w:b/>
          <w:bCs/>
        </w:rPr>
        <w:t xml:space="preserve">corresponding </w:t>
      </w:r>
      <w:r w:rsidR="003D5738" w:rsidRPr="003D5738">
        <w:rPr>
          <w:b/>
          <w:bCs/>
        </w:rPr>
        <w:t>UE capability for TDD or FDD</w:t>
      </w:r>
      <w:r w:rsidR="003D5738">
        <w:rPr>
          <w:b/>
          <w:bCs/>
        </w:rPr>
        <w:t xml:space="preserve"> cannot work reliably.</w:t>
      </w:r>
    </w:p>
    <w:p w14:paraId="20E68A73" w14:textId="35E40601" w:rsidR="003809C6" w:rsidRDefault="003809C6" w:rsidP="003809C6">
      <w:pPr>
        <w:pStyle w:val="Heading1"/>
      </w:pPr>
      <w:r>
        <w:t>3</w:t>
      </w:r>
      <w:r>
        <w:tab/>
        <w:t>RAN4 spec and xDD differentiation</w:t>
      </w:r>
    </w:p>
    <w:p w14:paraId="2AEA552D" w14:textId="5C9063DC" w:rsidR="003809C6" w:rsidRDefault="003809C6" w:rsidP="00C17B19">
      <w:pPr>
        <w:rPr>
          <w:iCs/>
        </w:rPr>
      </w:pPr>
      <w:r>
        <w:rPr>
          <w:iCs/>
        </w:rPr>
        <w:t>Practically, SDL or SUL does not work by themselves</w:t>
      </w:r>
      <w:r w:rsidR="00CC44F1">
        <w:rPr>
          <w:iCs/>
        </w:rPr>
        <w:t xml:space="preserve"> alone</w:t>
      </w:r>
      <w:r>
        <w:rPr>
          <w:iCs/>
        </w:rPr>
        <w:t xml:space="preserve">. They always work </w:t>
      </w:r>
      <w:r w:rsidR="00805FD3">
        <w:rPr>
          <w:iCs/>
        </w:rPr>
        <w:t>in a</w:t>
      </w:r>
      <w:r>
        <w:rPr>
          <w:iCs/>
        </w:rPr>
        <w:t xml:space="preserve"> pair, i.e., band combination</w:t>
      </w:r>
      <w:r w:rsidR="00CA5572">
        <w:rPr>
          <w:iCs/>
        </w:rPr>
        <w:t xml:space="preserve"> paired with FDD and/or TDD band(s)</w:t>
      </w:r>
      <w:r>
        <w:rPr>
          <w:iCs/>
        </w:rPr>
        <w:t xml:space="preserve">. </w:t>
      </w:r>
    </w:p>
    <w:p w14:paraId="51928664" w14:textId="20BFB12C" w:rsidR="002078E7" w:rsidRDefault="003809C6" w:rsidP="00C17B19">
      <w:pPr>
        <w:rPr>
          <w:iCs/>
        </w:rPr>
      </w:pPr>
      <w:r>
        <w:rPr>
          <w:iCs/>
        </w:rPr>
        <w:t xml:space="preserve">With respect to SDL bands, once they </w:t>
      </w:r>
      <w:r w:rsidR="00CC44F1">
        <w:rPr>
          <w:iCs/>
        </w:rPr>
        <w:t>become</w:t>
      </w:r>
      <w:r>
        <w:rPr>
          <w:iCs/>
        </w:rPr>
        <w:t xml:space="preserve"> a part of band combinations, the requirements are very similar to normal CA, EN-DC including CA etc</w:t>
      </w:r>
      <w:r w:rsidR="002078E7">
        <w:rPr>
          <w:iCs/>
        </w:rPr>
        <w:t>. For instance, in terms of UE RF, though these band combinations including SDL bands have specific sub-clauses for Rx requirements, a way to specify them is nothing special.</w:t>
      </w:r>
    </w:p>
    <w:p w14:paraId="48333DB6" w14:textId="399D2475" w:rsidR="002078E7" w:rsidRDefault="002078E7" w:rsidP="00C17B19">
      <w:pPr>
        <w:rPr>
          <w:iCs/>
        </w:rPr>
      </w:pPr>
      <w:r>
        <w:rPr>
          <w:iCs/>
        </w:rPr>
        <w:t xml:space="preserve">Regarding SUL bands, it is true that there are specific sub-clauses for SUL and some requirements like </w:t>
      </w:r>
      <w:r w:rsidRPr="002078E7">
        <w:rPr>
          <w:iCs/>
        </w:rPr>
        <w:t>frequencyShift7p5kh</w:t>
      </w:r>
      <w:r>
        <w:rPr>
          <w:iCs/>
        </w:rPr>
        <w:t xml:space="preserve"> are always applicable to almost all the SUL bands. </w:t>
      </w:r>
      <w:r w:rsidRPr="002078E7">
        <w:rPr>
          <w:iCs/>
        </w:rPr>
        <w:t>frequencyShift7p5kh</w:t>
      </w:r>
      <w:r>
        <w:rPr>
          <w:iCs/>
        </w:rPr>
        <w:t xml:space="preserve">, however, is not applicable to n95 (SUL) but </w:t>
      </w:r>
      <w:r w:rsidR="006A7E22">
        <w:rPr>
          <w:iCs/>
        </w:rPr>
        <w:t xml:space="preserve">is </w:t>
      </w:r>
      <w:r>
        <w:rPr>
          <w:iCs/>
        </w:rPr>
        <w:t>applicable to n90(TDD). Hence</w:t>
      </w:r>
      <w:r w:rsidR="006A7E22">
        <w:rPr>
          <w:iCs/>
        </w:rPr>
        <w:t>,</w:t>
      </w:r>
      <w:r>
        <w:rPr>
          <w:iCs/>
        </w:rPr>
        <w:t xml:space="preserve"> that is not completely specific to SUL.</w:t>
      </w:r>
    </w:p>
    <w:p w14:paraId="1B19C750" w14:textId="2A53DBF2" w:rsidR="00C17B19" w:rsidRDefault="002078E7" w:rsidP="00C17B19">
      <w:pPr>
        <w:rPr>
          <w:iCs/>
        </w:rPr>
      </w:pPr>
      <w:r>
        <w:rPr>
          <w:iCs/>
        </w:rPr>
        <w:t>Note that similar observations appl</w:t>
      </w:r>
      <w:r w:rsidR="00BD5506">
        <w:rPr>
          <w:iCs/>
        </w:rPr>
        <w:t>y</w:t>
      </w:r>
      <w:r>
        <w:rPr>
          <w:iCs/>
        </w:rPr>
        <w:t xml:space="preserve"> to BS RF, BS demod, UE demod and UE RRM</w:t>
      </w:r>
      <w:r w:rsidR="00BD5506">
        <w:rPr>
          <w:iCs/>
        </w:rPr>
        <w:t xml:space="preserve">. </w:t>
      </w:r>
      <w:r w:rsidR="00AB2764">
        <w:rPr>
          <w:iCs/>
        </w:rPr>
        <w:t>In short</w:t>
      </w:r>
      <w:r w:rsidR="00BD5506">
        <w:rPr>
          <w:iCs/>
        </w:rPr>
        <w:t>, RAN4 requirements are “</w:t>
      </w:r>
      <w:r w:rsidR="00BD5506" w:rsidRPr="00BD5506">
        <w:rPr>
          <w:b/>
          <w:bCs/>
          <w:iCs/>
        </w:rPr>
        <w:t>performance</w:t>
      </w:r>
      <w:r w:rsidR="00BD5506">
        <w:rPr>
          <w:iCs/>
        </w:rPr>
        <w:t xml:space="preserve">” requirements and in order to show the performance for SDL or SUL bands, any SDL or SUL bands should work as not SDL or SUL alone but as band combinations. Hence, </w:t>
      </w:r>
      <w:r>
        <w:rPr>
          <w:iCs/>
        </w:rPr>
        <w:t xml:space="preserve">RAN4 specifications </w:t>
      </w:r>
      <w:r w:rsidR="00DF4E2D">
        <w:rPr>
          <w:iCs/>
        </w:rPr>
        <w:t>remain consistent</w:t>
      </w:r>
      <w:r>
        <w:rPr>
          <w:iCs/>
        </w:rPr>
        <w:t xml:space="preserve"> without consideration of xDD differentiation</w:t>
      </w:r>
      <w:r w:rsidR="00BD5506">
        <w:rPr>
          <w:iCs/>
        </w:rPr>
        <w:t xml:space="preserve"> of SUL or SDL bands</w:t>
      </w:r>
      <w:r>
        <w:rPr>
          <w:iCs/>
        </w:rPr>
        <w:t>.</w:t>
      </w:r>
    </w:p>
    <w:p w14:paraId="63C634A8" w14:textId="4BBC08FD" w:rsidR="002078E7" w:rsidRDefault="002078E7" w:rsidP="00C17B19">
      <w:pPr>
        <w:rPr>
          <w:b/>
          <w:bCs/>
        </w:rPr>
      </w:pPr>
      <w:r w:rsidRPr="00184911">
        <w:rPr>
          <w:b/>
          <w:bCs/>
        </w:rPr>
        <w:t xml:space="preserve">Observation </w:t>
      </w:r>
      <w:r>
        <w:rPr>
          <w:b/>
          <w:bCs/>
        </w:rPr>
        <w:t>4</w:t>
      </w:r>
      <w:r w:rsidRPr="00184911">
        <w:rPr>
          <w:b/>
          <w:bCs/>
        </w:rPr>
        <w:t xml:space="preserve">: </w:t>
      </w:r>
      <w:r>
        <w:rPr>
          <w:b/>
          <w:bCs/>
        </w:rPr>
        <w:t xml:space="preserve">RAN4 specifications </w:t>
      </w:r>
      <w:r w:rsidR="007B21A7">
        <w:rPr>
          <w:b/>
          <w:bCs/>
        </w:rPr>
        <w:t>remain consistent</w:t>
      </w:r>
      <w:r>
        <w:rPr>
          <w:b/>
          <w:bCs/>
        </w:rPr>
        <w:t xml:space="preserve"> without </w:t>
      </w:r>
      <w:r w:rsidR="005C4AF3">
        <w:rPr>
          <w:b/>
          <w:bCs/>
        </w:rPr>
        <w:t xml:space="preserve">requiring </w:t>
      </w:r>
      <w:r w:rsidR="00CC44F1">
        <w:rPr>
          <w:b/>
          <w:bCs/>
        </w:rPr>
        <w:t xml:space="preserve">SUL or SDL bands </w:t>
      </w:r>
      <w:r w:rsidR="005C4AF3">
        <w:rPr>
          <w:b/>
          <w:bCs/>
        </w:rPr>
        <w:t xml:space="preserve">to be classified </w:t>
      </w:r>
      <w:r w:rsidR="00CC44F1">
        <w:rPr>
          <w:b/>
          <w:bCs/>
        </w:rPr>
        <w:t>as FDD or TDD bands.</w:t>
      </w:r>
    </w:p>
    <w:p w14:paraId="0F2B6F4C" w14:textId="16514791" w:rsidR="00AD0F48" w:rsidRDefault="00AB2764" w:rsidP="00AB2764">
      <w:r>
        <w:t xml:space="preserve">Hence, </w:t>
      </w:r>
      <w:r w:rsidR="006A7E22">
        <w:t xml:space="preserve">the RAN2 solution proposal, </w:t>
      </w:r>
      <w:r>
        <w:t>referring to RAN4 specifications</w:t>
      </w:r>
      <w:r w:rsidR="006A7E22">
        <w:t>,</w:t>
      </w:r>
      <w:r>
        <w:t xml:space="preserve"> may not work </w:t>
      </w:r>
      <w:r w:rsidR="006A7E22">
        <w:t>as</w:t>
      </w:r>
      <w:r>
        <w:t xml:space="preserve"> an answer for RAN2 questions. We, however, notice that </w:t>
      </w:r>
      <w:r w:rsidR="00B708C7">
        <w:t xml:space="preserve">RAN1 specification would </w:t>
      </w:r>
      <w:r>
        <w:t xml:space="preserve">bear </w:t>
      </w:r>
      <w:r w:rsidR="00B708C7">
        <w:t xml:space="preserve">SUL </w:t>
      </w:r>
      <w:r>
        <w:t xml:space="preserve">specific requirements </w:t>
      </w:r>
      <w:r w:rsidR="00B708C7">
        <w:t>such that SRS switching</w:t>
      </w:r>
      <w:r w:rsidR="00A41A2E">
        <w:t xml:space="preserve"> in TS38.213</w:t>
      </w:r>
      <w:r w:rsidR="00B708C7">
        <w:t>. Regarding SRS switching, p</w:t>
      </w:r>
      <w:r w:rsidR="00B708C7" w:rsidRPr="00B708C7">
        <w:t xml:space="preserve">hysical layer procedures for control </w:t>
      </w:r>
      <w:r w:rsidR="00B708C7">
        <w:t xml:space="preserve">for </w:t>
      </w:r>
      <w:r w:rsidR="002D5978">
        <w:t xml:space="preserve">a </w:t>
      </w:r>
      <w:r w:rsidR="00B708C7">
        <w:t>non-supplementary uplink carrier and that for a supplementary uplink carrier are clearly differentiated</w:t>
      </w:r>
      <w:r>
        <w:t xml:space="preserve">. Hence, </w:t>
      </w:r>
      <w:r w:rsidR="00B708C7">
        <w:t xml:space="preserve">RAN1 specification could be </w:t>
      </w:r>
      <w:r>
        <w:t>clues to solve RAN2 issues.</w:t>
      </w:r>
    </w:p>
    <w:p w14:paraId="55699A8E" w14:textId="4FF7AFA6" w:rsidR="0065372E" w:rsidRDefault="00C4466C" w:rsidP="00AB2764">
      <w:pPr>
        <w:rPr>
          <w:b/>
          <w:bCs/>
        </w:rPr>
      </w:pPr>
      <w:r>
        <w:rPr>
          <w:b/>
          <w:bCs/>
        </w:rPr>
        <w:t xml:space="preserve">Conclusion: </w:t>
      </w:r>
      <w:r w:rsidR="009C5281" w:rsidRPr="009C5281">
        <w:rPr>
          <w:rFonts w:cs="Arial"/>
          <w:b/>
          <w:bCs/>
          <w:iCs/>
          <w:lang w:val="en-US" w:eastAsia="ja-JP"/>
        </w:rPr>
        <w:t xml:space="preserve">RAN4 specifications cannot be a reference to differentiate SDL or SUL as FDD or </w:t>
      </w:r>
      <w:r w:rsidR="0003309C">
        <w:rPr>
          <w:rFonts w:cs="Arial"/>
          <w:b/>
          <w:bCs/>
          <w:iCs/>
          <w:lang w:val="en-US" w:eastAsia="ja-JP"/>
        </w:rPr>
        <w:t>T</w:t>
      </w:r>
      <w:r w:rsidR="009C5281" w:rsidRPr="009C5281">
        <w:rPr>
          <w:rFonts w:cs="Arial"/>
          <w:b/>
          <w:bCs/>
          <w:iCs/>
          <w:lang w:val="en-US" w:eastAsia="ja-JP"/>
        </w:rPr>
        <w:t>DD</w:t>
      </w:r>
      <w:r w:rsidR="00B708C7">
        <w:rPr>
          <w:rFonts w:cs="Arial"/>
          <w:b/>
          <w:bCs/>
          <w:iCs/>
          <w:lang w:val="en-US" w:eastAsia="ja-JP"/>
        </w:rPr>
        <w:t xml:space="preserve"> modes for the per-UE capabilities</w:t>
      </w:r>
      <w:r>
        <w:rPr>
          <w:b/>
          <w:bCs/>
        </w:rPr>
        <w:t>.</w:t>
      </w:r>
    </w:p>
    <w:p w14:paraId="38C301F2" w14:textId="53C5C964" w:rsidR="00126055" w:rsidRDefault="00AB2764" w:rsidP="00EE0298">
      <w:pPr>
        <w:pStyle w:val="Heading1"/>
      </w:pPr>
      <w:r>
        <w:t>4</w:t>
      </w:r>
      <w:r w:rsidR="00126055">
        <w:tab/>
      </w:r>
      <w:r>
        <w:t>Conclusion</w:t>
      </w:r>
    </w:p>
    <w:p w14:paraId="0FF02F93" w14:textId="77777777" w:rsidR="00A82CA2" w:rsidRDefault="00A82CA2" w:rsidP="00F62561">
      <w:r>
        <w:t>We discussed if RAN2 method works or not in terms of RAN4 specifications. We obtained the following observations and conclusion. We also provide a draft LS in the Annex.</w:t>
      </w:r>
    </w:p>
    <w:p w14:paraId="7599C461" w14:textId="2EE852CD" w:rsidR="00A82CA2" w:rsidRPr="001E5C23" w:rsidRDefault="00A82CA2" w:rsidP="001E5C23">
      <w:pPr>
        <w:rPr>
          <w:b/>
          <w:bCs/>
        </w:rPr>
      </w:pPr>
      <w:r w:rsidRPr="001E5C23">
        <w:rPr>
          <w:b/>
          <w:bCs/>
        </w:rPr>
        <w:t xml:space="preserve">Observation 1: There can be multiple corresponding bands </w:t>
      </w:r>
      <w:r w:rsidR="0065372E">
        <w:rPr>
          <w:b/>
          <w:bCs/>
        </w:rPr>
        <w:t>of</w:t>
      </w:r>
      <w:r w:rsidRPr="001E5C23">
        <w:rPr>
          <w:b/>
          <w:bCs/>
        </w:rPr>
        <w:t xml:space="preserve"> SUL or SDL bands and they do not always use the </w:t>
      </w:r>
      <w:r w:rsidR="009C5281">
        <w:rPr>
          <w:b/>
          <w:bCs/>
        </w:rPr>
        <w:t>common</w:t>
      </w:r>
      <w:r w:rsidRPr="001E5C23">
        <w:rPr>
          <w:b/>
          <w:bCs/>
        </w:rPr>
        <w:t xml:space="preserve"> duplex mode.</w:t>
      </w:r>
    </w:p>
    <w:p w14:paraId="40FC8945" w14:textId="3AC23C21" w:rsidR="00A82CA2" w:rsidRPr="001E5C23" w:rsidRDefault="00A82CA2" w:rsidP="001E5C23">
      <w:pPr>
        <w:rPr>
          <w:b/>
          <w:bCs/>
        </w:rPr>
      </w:pPr>
      <w:r w:rsidRPr="001E5C23">
        <w:rPr>
          <w:b/>
          <w:bCs/>
        </w:rPr>
        <w:t>Observation 2: Corresponding bands for SUL or SDL bands do not always exi</w:t>
      </w:r>
      <w:r w:rsidR="00CC44F1">
        <w:rPr>
          <w:b/>
          <w:bCs/>
        </w:rPr>
        <w:t>s</w:t>
      </w:r>
      <w:r w:rsidRPr="001E5C23">
        <w:rPr>
          <w:b/>
          <w:bCs/>
        </w:rPr>
        <w:t>t.</w:t>
      </w:r>
    </w:p>
    <w:p w14:paraId="6984E11D" w14:textId="77777777" w:rsidR="00C230ED" w:rsidRDefault="00122FCB" w:rsidP="001E5C23">
      <w:pPr>
        <w:rPr>
          <w:b/>
          <w:bCs/>
        </w:rPr>
      </w:pPr>
      <w:r w:rsidRPr="00184911">
        <w:rPr>
          <w:b/>
          <w:bCs/>
        </w:rPr>
        <w:t xml:space="preserve">Observation </w:t>
      </w:r>
      <w:r>
        <w:rPr>
          <w:b/>
          <w:bCs/>
        </w:rPr>
        <w:t>3</w:t>
      </w:r>
      <w:r w:rsidRPr="00184911">
        <w:rPr>
          <w:b/>
          <w:bCs/>
        </w:rPr>
        <w:t xml:space="preserve">: </w:t>
      </w:r>
      <w:r>
        <w:rPr>
          <w:b/>
          <w:bCs/>
        </w:rPr>
        <w:t xml:space="preserve">Given n75 and n29 discussion, </w:t>
      </w:r>
      <w:r w:rsidRPr="003D5738">
        <w:rPr>
          <w:b/>
          <w:bCs/>
        </w:rPr>
        <w:t>RAN2 understand</w:t>
      </w:r>
      <w:r>
        <w:rPr>
          <w:b/>
          <w:bCs/>
        </w:rPr>
        <w:t xml:space="preserve">ing does not always apply in all the cases </w:t>
      </w:r>
      <w:r w:rsidRPr="003D5738">
        <w:rPr>
          <w:b/>
          <w:bCs/>
        </w:rPr>
        <w:t>that a SUL/SDL band corresponds to TDD or FDD band</w:t>
      </w:r>
      <w:r>
        <w:rPr>
          <w:b/>
          <w:bCs/>
        </w:rPr>
        <w:t>. Hence applying</w:t>
      </w:r>
      <w:r w:rsidRPr="003D5738">
        <w:rPr>
          <w:b/>
          <w:bCs/>
        </w:rPr>
        <w:t xml:space="preserve"> </w:t>
      </w:r>
      <w:r>
        <w:rPr>
          <w:b/>
          <w:bCs/>
        </w:rPr>
        <w:t xml:space="preserve">corresponding </w:t>
      </w:r>
      <w:r w:rsidRPr="003D5738">
        <w:rPr>
          <w:b/>
          <w:bCs/>
        </w:rPr>
        <w:t>UE capability for TDD or FDD</w:t>
      </w:r>
      <w:r>
        <w:rPr>
          <w:b/>
          <w:bCs/>
        </w:rPr>
        <w:t xml:space="preserve"> cannot work reliably.</w:t>
      </w:r>
    </w:p>
    <w:p w14:paraId="0C5E642A" w14:textId="352BB9D5" w:rsidR="00122FCB" w:rsidRPr="001E5C23" w:rsidRDefault="00122FCB" w:rsidP="001E5C23">
      <w:pPr>
        <w:rPr>
          <w:b/>
          <w:bCs/>
        </w:rPr>
      </w:pPr>
      <w:r w:rsidRPr="00184911">
        <w:rPr>
          <w:b/>
          <w:bCs/>
        </w:rPr>
        <w:t xml:space="preserve">Observation </w:t>
      </w:r>
      <w:r>
        <w:rPr>
          <w:b/>
          <w:bCs/>
        </w:rPr>
        <w:t>4</w:t>
      </w:r>
      <w:r w:rsidRPr="00184911">
        <w:rPr>
          <w:b/>
          <w:bCs/>
        </w:rPr>
        <w:t xml:space="preserve">: </w:t>
      </w:r>
      <w:r>
        <w:rPr>
          <w:b/>
          <w:bCs/>
        </w:rPr>
        <w:t>RAN4 specifications remain consistent without requiring SUL or SDL bands to be classified as FDD or TDD bands.</w:t>
      </w:r>
    </w:p>
    <w:p w14:paraId="2B98F966" w14:textId="09BAA0C2" w:rsidR="00C4466C" w:rsidRDefault="00C4466C" w:rsidP="001E5C23">
      <w:pPr>
        <w:rPr>
          <w:b/>
          <w:bCs/>
        </w:rPr>
      </w:pPr>
      <w:r w:rsidRPr="001E5C23">
        <w:rPr>
          <w:b/>
          <w:bCs/>
        </w:rPr>
        <w:t xml:space="preserve">Conclusion: </w:t>
      </w:r>
      <w:r w:rsidR="009C5281" w:rsidRPr="009C5281">
        <w:rPr>
          <w:rFonts w:cs="Arial"/>
          <w:b/>
          <w:bCs/>
          <w:iCs/>
          <w:lang w:val="en-US" w:eastAsia="ja-JP"/>
        </w:rPr>
        <w:t xml:space="preserve">RAN4 specifications cannot be a reference to differentiate SDL or SUL as FDD or </w:t>
      </w:r>
      <w:r w:rsidR="0003309C">
        <w:rPr>
          <w:rFonts w:cs="Arial"/>
          <w:b/>
          <w:bCs/>
          <w:iCs/>
          <w:lang w:val="en-US" w:eastAsia="ja-JP"/>
        </w:rPr>
        <w:t>T</w:t>
      </w:r>
      <w:r w:rsidR="009C5281" w:rsidRPr="009C5281">
        <w:rPr>
          <w:rFonts w:cs="Arial"/>
          <w:b/>
          <w:bCs/>
          <w:iCs/>
          <w:lang w:val="en-US" w:eastAsia="ja-JP"/>
        </w:rPr>
        <w:t>DD</w:t>
      </w:r>
      <w:r w:rsidR="00B708C7">
        <w:rPr>
          <w:rFonts w:cs="Arial"/>
          <w:b/>
          <w:bCs/>
          <w:iCs/>
          <w:lang w:val="en-US" w:eastAsia="ja-JP"/>
        </w:rPr>
        <w:t xml:space="preserve"> modes for the per-UE capabilities</w:t>
      </w:r>
      <w:r w:rsidRPr="001E5C23">
        <w:rPr>
          <w:b/>
          <w:bCs/>
        </w:rPr>
        <w:t>.</w:t>
      </w:r>
    </w:p>
    <w:p w14:paraId="08E8FE59" w14:textId="3F01D42C" w:rsidR="00F62561" w:rsidRDefault="00276F69" w:rsidP="00F62561">
      <w:pPr>
        <w:pStyle w:val="Heading1"/>
      </w:pPr>
      <w:r>
        <w:lastRenderedPageBreak/>
        <w:t>5</w:t>
      </w:r>
      <w:r w:rsidR="00F62561">
        <w:tab/>
        <w:t>References</w:t>
      </w:r>
    </w:p>
    <w:p w14:paraId="7D632174" w14:textId="4B88A4AA" w:rsidR="00713482" w:rsidRDefault="00F62561" w:rsidP="00F62561">
      <w:r>
        <w:t xml:space="preserve">[1] </w:t>
      </w:r>
      <w:r w:rsidR="008235BA" w:rsidRPr="008235BA">
        <w:t>R2-2006322</w:t>
      </w:r>
      <w:r>
        <w:t xml:space="preserve">, </w:t>
      </w:r>
      <w:r w:rsidR="008235BA" w:rsidRPr="008235BA">
        <w:t>LS on UE capability xDD differentiation for SUL/SDL bands</w:t>
      </w:r>
      <w:r>
        <w:t xml:space="preserve">, </w:t>
      </w:r>
      <w:r w:rsidR="00BE77F5">
        <w:rPr>
          <w:sz w:val="22"/>
        </w:rPr>
        <w:t>Samsung</w:t>
      </w:r>
    </w:p>
    <w:p w14:paraId="5C23E270" w14:textId="16FCDC36" w:rsidR="003B7E17" w:rsidRDefault="003B7E17" w:rsidP="003B7E17">
      <w:pPr>
        <w:pStyle w:val="Heading1"/>
      </w:pPr>
      <w:r>
        <w:t>6</w:t>
      </w:r>
      <w:r>
        <w:tab/>
        <w:t>Annex</w:t>
      </w:r>
    </w:p>
    <w:p w14:paraId="20084D53" w14:textId="72CAE352" w:rsidR="00666E56" w:rsidRPr="0066707D" w:rsidRDefault="00666E56" w:rsidP="00666E56">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4</w:t>
      </w:r>
      <w:r w:rsidRPr="00DA53A0">
        <w:rPr>
          <w:rFonts w:cs="Arial"/>
          <w:bCs/>
          <w:sz w:val="22"/>
          <w:szCs w:val="22"/>
        </w:rPr>
        <w:t xml:space="preserve"> Meeting </w:t>
      </w:r>
      <w:r>
        <w:rPr>
          <w:rFonts w:cs="Arial"/>
          <w:noProof w:val="0"/>
          <w:sz w:val="22"/>
          <w:szCs w:val="22"/>
        </w:rPr>
        <w:t>#96-e</w:t>
      </w:r>
      <w:r w:rsidRPr="00DA53A0">
        <w:rPr>
          <w:rFonts w:cs="Arial"/>
          <w:bCs/>
          <w:sz w:val="22"/>
          <w:szCs w:val="22"/>
        </w:rPr>
        <w:tab/>
      </w:r>
      <w:r>
        <w:rPr>
          <w:rFonts w:cs="Arial"/>
          <w:bCs/>
          <w:sz w:val="22"/>
          <w:szCs w:val="22"/>
        </w:rPr>
        <w:tab/>
      </w:r>
      <w:r w:rsidRPr="0066707D">
        <w:rPr>
          <w:rFonts w:cs="Arial"/>
          <w:sz w:val="22"/>
          <w:szCs w:val="22"/>
        </w:rPr>
        <w:t>R</w:t>
      </w:r>
      <w:r>
        <w:rPr>
          <w:rFonts w:cs="Arial"/>
          <w:sz w:val="22"/>
          <w:szCs w:val="22"/>
        </w:rPr>
        <w:t>4</w:t>
      </w:r>
      <w:r w:rsidRPr="0066707D">
        <w:rPr>
          <w:rFonts w:cs="Arial"/>
          <w:sz w:val="22"/>
          <w:szCs w:val="22"/>
        </w:rPr>
        <w:t>-</w:t>
      </w:r>
      <w:r>
        <w:rPr>
          <w:rFonts w:cs="Arial"/>
          <w:sz w:val="22"/>
          <w:szCs w:val="22"/>
        </w:rPr>
        <w:t>10xxxxx</w:t>
      </w:r>
    </w:p>
    <w:p w14:paraId="798B399F" w14:textId="4F6F2D73" w:rsidR="00666E56" w:rsidRPr="00DA53A0" w:rsidRDefault="00666E56" w:rsidP="00666E56">
      <w:pPr>
        <w:pStyle w:val="Header"/>
        <w:rPr>
          <w:sz w:val="22"/>
          <w:szCs w:val="22"/>
        </w:rPr>
      </w:pPr>
      <w:r>
        <w:rPr>
          <w:sz w:val="22"/>
          <w:szCs w:val="22"/>
        </w:rPr>
        <w:t>Electronic Meeting</w:t>
      </w:r>
      <w:r w:rsidRPr="00DA53A0">
        <w:rPr>
          <w:sz w:val="22"/>
          <w:szCs w:val="22"/>
        </w:rPr>
        <w:t xml:space="preserve">, </w:t>
      </w:r>
      <w:r>
        <w:rPr>
          <w:sz w:val="22"/>
          <w:szCs w:val="22"/>
        </w:rPr>
        <w:t>18</w:t>
      </w:r>
      <w:r w:rsidRPr="00DA53A0">
        <w:rPr>
          <w:sz w:val="22"/>
          <w:szCs w:val="22"/>
        </w:rPr>
        <w:t xml:space="preserve"> - </w:t>
      </w:r>
      <w:r>
        <w:rPr>
          <w:sz w:val="22"/>
          <w:szCs w:val="22"/>
        </w:rPr>
        <w:t>28 August, 2020</w:t>
      </w:r>
    </w:p>
    <w:p w14:paraId="6D2E8C1C" w14:textId="77777777" w:rsidR="00666E56" w:rsidRDefault="00666E56" w:rsidP="00666E56">
      <w:pPr>
        <w:rPr>
          <w:rFonts w:ascii="Arial" w:hAnsi="Arial" w:cs="Arial"/>
        </w:rPr>
      </w:pPr>
    </w:p>
    <w:p w14:paraId="2DC1F80C" w14:textId="7FB9F4B4" w:rsidR="00666E56" w:rsidRPr="0066707D" w:rsidRDefault="00666E56" w:rsidP="00666E5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C44F1">
        <w:rPr>
          <w:rFonts w:ascii="Arial" w:hAnsi="Arial" w:cs="Arial"/>
          <w:b/>
          <w:sz w:val="22"/>
          <w:szCs w:val="22"/>
        </w:rPr>
        <w:t xml:space="preserve">[Draft] </w:t>
      </w:r>
      <w:r w:rsidRPr="00440883">
        <w:rPr>
          <w:rFonts w:ascii="Arial" w:hAnsi="Arial" w:cs="Arial"/>
          <w:b/>
          <w:bCs/>
          <w:sz w:val="22"/>
          <w:szCs w:val="22"/>
        </w:rPr>
        <w:t xml:space="preserve">Reply LS on </w:t>
      </w:r>
      <w:r w:rsidR="0065372E" w:rsidRPr="0065372E">
        <w:rPr>
          <w:rFonts w:ascii="Arial" w:hAnsi="Arial" w:cs="Arial"/>
          <w:b/>
          <w:bCs/>
          <w:sz w:val="22"/>
          <w:szCs w:val="22"/>
        </w:rPr>
        <w:t>UE capability xDD differentiation for SUL/SDL bands</w:t>
      </w:r>
    </w:p>
    <w:p w14:paraId="0555B12A" w14:textId="6A1432EB" w:rsidR="00666E56" w:rsidRPr="0066707D" w:rsidRDefault="00666E56" w:rsidP="00666E56">
      <w:pPr>
        <w:spacing w:after="60"/>
        <w:ind w:left="1985" w:hanging="1985"/>
        <w:rPr>
          <w:rFonts w:ascii="Arial" w:hAnsi="Arial" w:cs="Arial"/>
          <w:b/>
          <w:bCs/>
          <w:sz w:val="22"/>
          <w:szCs w:val="22"/>
        </w:rPr>
      </w:pPr>
      <w:bookmarkStart w:id="1" w:name="OLE_LINK57"/>
      <w:bookmarkStart w:id="2" w:name="OLE_LINK58"/>
      <w:r w:rsidRPr="0066707D">
        <w:rPr>
          <w:rFonts w:ascii="Arial" w:hAnsi="Arial" w:cs="Arial"/>
          <w:b/>
          <w:sz w:val="22"/>
          <w:szCs w:val="22"/>
        </w:rPr>
        <w:t>Response to:</w:t>
      </w:r>
      <w:r w:rsidRPr="0066707D">
        <w:rPr>
          <w:rFonts w:ascii="Arial" w:hAnsi="Arial" w:cs="Arial"/>
          <w:b/>
          <w:bCs/>
          <w:sz w:val="22"/>
          <w:szCs w:val="22"/>
        </w:rPr>
        <w:tab/>
      </w:r>
      <w:r w:rsidR="00CC44F1" w:rsidRPr="00CC44F1">
        <w:rPr>
          <w:rFonts w:ascii="Arial" w:hAnsi="Arial" w:cs="Arial"/>
          <w:b/>
          <w:bCs/>
          <w:sz w:val="22"/>
          <w:szCs w:val="22"/>
        </w:rPr>
        <w:t>R2-2006322</w:t>
      </w:r>
    </w:p>
    <w:p w14:paraId="437A52B4" w14:textId="2FBA5AA5" w:rsidR="00666E56" w:rsidRPr="0066707D" w:rsidRDefault="00666E56" w:rsidP="00666E5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66707D">
        <w:rPr>
          <w:rFonts w:ascii="Arial" w:hAnsi="Arial" w:cs="Arial"/>
          <w:b/>
          <w:sz w:val="22"/>
          <w:szCs w:val="22"/>
        </w:rPr>
        <w:t>Release:</w:t>
      </w:r>
      <w:r w:rsidRPr="0066707D">
        <w:rPr>
          <w:rFonts w:ascii="Arial" w:hAnsi="Arial" w:cs="Arial"/>
          <w:b/>
          <w:bCs/>
          <w:sz w:val="22"/>
          <w:szCs w:val="22"/>
        </w:rPr>
        <w:tab/>
      </w:r>
      <w:r w:rsidRPr="0066707D">
        <w:rPr>
          <w:rFonts w:ascii="Arial" w:hAnsi="Arial" w:cs="Arial"/>
          <w:b/>
          <w:bCs/>
          <w:sz w:val="22"/>
          <w:szCs w:val="22"/>
          <w:lang w:val="en-US"/>
        </w:rPr>
        <w:t>Rel-1</w:t>
      </w:r>
      <w:r w:rsidR="00CC44F1">
        <w:rPr>
          <w:rFonts w:ascii="Arial" w:hAnsi="Arial" w:cs="Arial"/>
          <w:b/>
          <w:bCs/>
          <w:sz w:val="22"/>
          <w:szCs w:val="22"/>
          <w:lang w:val="en-US"/>
        </w:rPr>
        <w:t>5</w:t>
      </w:r>
    </w:p>
    <w:bookmarkEnd w:id="3"/>
    <w:bookmarkEnd w:id="4"/>
    <w:bookmarkEnd w:id="5"/>
    <w:p w14:paraId="46C390F1" w14:textId="62C6E017" w:rsidR="00666E56" w:rsidRPr="0066707D" w:rsidRDefault="00666E56" w:rsidP="00666E56">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CC44F1" w:rsidRPr="00CC44F1">
        <w:rPr>
          <w:rFonts w:ascii="Arial" w:hAnsi="Arial" w:cs="Arial"/>
          <w:b/>
          <w:bCs/>
          <w:sz w:val="22"/>
          <w:szCs w:val="22"/>
        </w:rPr>
        <w:t>NR_newRAT</w:t>
      </w:r>
    </w:p>
    <w:p w14:paraId="579C4750" w14:textId="77777777" w:rsidR="00666E56" w:rsidRPr="0066707D" w:rsidRDefault="00666E56" w:rsidP="00666E56">
      <w:pPr>
        <w:spacing w:after="60"/>
        <w:ind w:left="1985" w:hanging="1985"/>
        <w:rPr>
          <w:rFonts w:ascii="Arial" w:hAnsi="Arial" w:cs="Arial"/>
          <w:b/>
          <w:sz w:val="22"/>
          <w:szCs w:val="22"/>
        </w:rPr>
      </w:pPr>
    </w:p>
    <w:p w14:paraId="2168B922" w14:textId="4439B7E2" w:rsidR="00666E56" w:rsidRPr="0066707D" w:rsidRDefault="00666E56" w:rsidP="00666E56">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Pr="0066707D">
        <w:rPr>
          <w:rFonts w:ascii="Arial" w:hAnsi="Arial" w:cs="Arial" w:hint="eastAsia"/>
          <w:b/>
          <w:bCs/>
          <w:sz w:val="22"/>
          <w:szCs w:val="22"/>
          <w:lang w:val="en-US"/>
        </w:rPr>
        <w:t>RAN</w:t>
      </w:r>
      <w:r w:rsidR="00CC44F1">
        <w:rPr>
          <w:rFonts w:ascii="Arial" w:hAnsi="Arial" w:cs="Arial"/>
          <w:b/>
          <w:bCs/>
          <w:sz w:val="22"/>
          <w:szCs w:val="22"/>
          <w:lang w:val="en-US"/>
        </w:rPr>
        <w:t>4</w:t>
      </w:r>
    </w:p>
    <w:p w14:paraId="49930480" w14:textId="1E85F2D5" w:rsidR="00666E56" w:rsidRPr="0066707D" w:rsidRDefault="00666E56" w:rsidP="00666E56">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6" w:name="OLE_LINK45"/>
      <w:bookmarkStart w:id="7" w:name="OLE_LINK46"/>
      <w:r w:rsidRPr="0066707D">
        <w:rPr>
          <w:rFonts w:ascii="Arial" w:hAnsi="Arial" w:cs="Arial" w:hint="eastAsia"/>
          <w:b/>
          <w:bCs/>
          <w:sz w:val="22"/>
          <w:szCs w:val="22"/>
          <w:lang w:val="en-US"/>
        </w:rPr>
        <w:t>RAN</w:t>
      </w:r>
      <w:r w:rsidR="00CC44F1">
        <w:rPr>
          <w:rFonts w:ascii="Arial" w:hAnsi="Arial" w:cs="Arial"/>
          <w:b/>
          <w:bCs/>
          <w:sz w:val="22"/>
          <w:szCs w:val="22"/>
          <w:lang w:val="en-US"/>
        </w:rPr>
        <w:t>2</w:t>
      </w:r>
    </w:p>
    <w:p w14:paraId="2820705A" w14:textId="04277A2A" w:rsidR="00666E56" w:rsidRPr="0066707D" w:rsidRDefault="00666E56" w:rsidP="00666E56">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r w:rsidRPr="0066707D">
        <w:rPr>
          <w:rFonts w:ascii="Arial" w:hAnsi="Arial" w:cs="Arial"/>
          <w:b/>
          <w:bCs/>
          <w:sz w:val="22"/>
          <w:szCs w:val="22"/>
          <w:lang w:val="en-US"/>
        </w:rPr>
        <w:t>RAN</w:t>
      </w:r>
      <w:r w:rsidR="00CC44F1">
        <w:rPr>
          <w:rFonts w:ascii="Arial" w:hAnsi="Arial" w:cs="Arial"/>
          <w:b/>
          <w:bCs/>
          <w:sz w:val="22"/>
          <w:szCs w:val="22"/>
          <w:lang w:val="en-US"/>
        </w:rPr>
        <w:t>1</w:t>
      </w:r>
    </w:p>
    <w:bookmarkEnd w:id="6"/>
    <w:bookmarkEnd w:id="7"/>
    <w:p w14:paraId="7F82FBF7" w14:textId="77777777" w:rsidR="00666E56" w:rsidRPr="0066707D" w:rsidRDefault="00666E56" w:rsidP="00666E56">
      <w:pPr>
        <w:spacing w:after="60"/>
        <w:ind w:left="1985" w:hanging="1985"/>
        <w:rPr>
          <w:rFonts w:ascii="Arial" w:hAnsi="Arial" w:cs="Arial"/>
          <w:bCs/>
        </w:rPr>
      </w:pPr>
    </w:p>
    <w:p w14:paraId="5F0939AD" w14:textId="73EA3ED5" w:rsidR="00666E56" w:rsidRPr="0066707D" w:rsidRDefault="00666E56" w:rsidP="00666E56">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65372E">
        <w:rPr>
          <w:rFonts w:ascii="Arial" w:hAnsi="Arial" w:cs="Arial"/>
          <w:b/>
          <w:bCs/>
          <w:sz w:val="22"/>
          <w:szCs w:val="22"/>
        </w:rPr>
        <w:t>Hiromasa Umeda</w:t>
      </w:r>
    </w:p>
    <w:p w14:paraId="7FF680EE" w14:textId="6A8467EC" w:rsidR="00666E56" w:rsidRDefault="00666E56" w:rsidP="00666E56">
      <w:pPr>
        <w:spacing w:after="60"/>
        <w:ind w:left="1985" w:hanging="1985"/>
        <w:rPr>
          <w:rFonts w:ascii="Arial" w:hAnsi="Arial" w:cs="Arial"/>
          <w:b/>
          <w:bCs/>
          <w:sz w:val="22"/>
          <w:szCs w:val="22"/>
          <w:lang w:val="en-US"/>
        </w:rPr>
      </w:pPr>
      <w:r w:rsidRPr="0066707D">
        <w:rPr>
          <w:rFonts w:ascii="Arial" w:hAnsi="Arial" w:cs="Arial"/>
          <w:b/>
          <w:bCs/>
          <w:sz w:val="22"/>
          <w:szCs w:val="22"/>
        </w:rPr>
        <w:tab/>
      </w:r>
      <w:hyperlink r:id="rId7" w:history="1">
        <w:r w:rsidR="0065372E" w:rsidRPr="00B26710">
          <w:rPr>
            <w:rStyle w:val="Hyperlink"/>
            <w:rFonts w:ascii="Arial" w:hAnsi="Arial" w:cs="Arial"/>
            <w:b/>
            <w:bCs/>
            <w:sz w:val="22"/>
            <w:szCs w:val="22"/>
            <w:lang w:val="en-US"/>
          </w:rPr>
          <w:t>hiromasa.umeda@nokia.com</w:t>
        </w:r>
      </w:hyperlink>
    </w:p>
    <w:p w14:paraId="2EBD178F" w14:textId="77777777" w:rsidR="00666E56" w:rsidRPr="0066707D" w:rsidRDefault="00666E56" w:rsidP="00666E56">
      <w:pPr>
        <w:spacing w:after="60"/>
        <w:ind w:left="1985" w:hanging="1985"/>
        <w:rPr>
          <w:rFonts w:ascii="Arial" w:hAnsi="Arial" w:cs="Arial"/>
          <w:b/>
          <w:bCs/>
          <w:sz w:val="22"/>
          <w:szCs w:val="22"/>
        </w:rPr>
      </w:pPr>
      <w:r w:rsidRPr="0066707D">
        <w:rPr>
          <w:rFonts w:ascii="Arial" w:hAnsi="Arial" w:cs="Arial"/>
          <w:b/>
          <w:bCs/>
          <w:sz w:val="22"/>
          <w:szCs w:val="22"/>
        </w:rPr>
        <w:tab/>
      </w:r>
    </w:p>
    <w:p w14:paraId="273D8E69" w14:textId="77777777" w:rsidR="00666E56" w:rsidRPr="0066707D" w:rsidRDefault="00666E56" w:rsidP="00666E56">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8" w:history="1">
        <w:r w:rsidRPr="0066707D">
          <w:rPr>
            <w:rStyle w:val="Hyperlink"/>
            <w:rFonts w:ascii="Arial" w:hAnsi="Arial" w:cs="Arial"/>
            <w:b/>
            <w:sz w:val="22"/>
            <w:szCs w:val="22"/>
          </w:rPr>
          <w:t>mailto:3GPPLiaison@etsi.org</w:t>
        </w:r>
      </w:hyperlink>
    </w:p>
    <w:p w14:paraId="7F8D143A" w14:textId="77777777" w:rsidR="00666E56" w:rsidRPr="0066707D" w:rsidRDefault="00666E56" w:rsidP="00666E56">
      <w:pPr>
        <w:spacing w:after="60"/>
        <w:ind w:left="1985" w:hanging="1985"/>
        <w:rPr>
          <w:rFonts w:ascii="Arial" w:hAnsi="Arial" w:cs="Arial"/>
          <w:b/>
        </w:rPr>
      </w:pPr>
    </w:p>
    <w:p w14:paraId="624DFD37" w14:textId="06734CBE" w:rsidR="00666E56" w:rsidRDefault="00666E56" w:rsidP="00666E56">
      <w:pPr>
        <w:spacing w:after="60"/>
        <w:ind w:left="1985" w:hanging="1985"/>
        <w:rPr>
          <w:rFonts w:ascii="Arial" w:hAnsi="Arial" w:cs="Arial"/>
          <w:bCs/>
        </w:rPr>
      </w:pPr>
      <w:r w:rsidRPr="0066707D">
        <w:rPr>
          <w:rFonts w:ascii="Arial" w:hAnsi="Arial" w:cs="Arial"/>
          <w:b/>
        </w:rPr>
        <w:t>Attachments:</w:t>
      </w:r>
      <w:r w:rsidR="009C5281">
        <w:rPr>
          <w:rFonts w:ascii="Arial" w:hAnsi="Arial" w:cs="Arial"/>
          <w:b/>
        </w:rPr>
        <w:t xml:space="preserve"> None</w:t>
      </w:r>
    </w:p>
    <w:p w14:paraId="64F80277" w14:textId="77777777" w:rsidR="00666E56" w:rsidRDefault="00666E56" w:rsidP="00666E56">
      <w:pPr>
        <w:rPr>
          <w:rFonts w:ascii="Arial" w:hAnsi="Arial" w:cs="Arial"/>
        </w:rPr>
      </w:pPr>
    </w:p>
    <w:p w14:paraId="1983871E" w14:textId="77777777" w:rsidR="00666E56" w:rsidRDefault="00666E56" w:rsidP="00666E56">
      <w:pPr>
        <w:pStyle w:val="Heading1"/>
      </w:pPr>
      <w:r>
        <w:t>1</w:t>
      </w:r>
      <w:r>
        <w:tab/>
        <w:t>Overall description</w:t>
      </w:r>
    </w:p>
    <w:p w14:paraId="5C618EDB" w14:textId="1BFD5021" w:rsidR="0065372E" w:rsidRDefault="00666E56" w:rsidP="00666E56">
      <w:pPr>
        <w:pStyle w:val="CommentText"/>
        <w:tabs>
          <w:tab w:val="left" w:pos="426"/>
        </w:tabs>
        <w:rPr>
          <w:rFonts w:cs="Arial"/>
          <w:iCs/>
          <w:lang w:eastAsia="ja-JP"/>
        </w:rPr>
      </w:pPr>
      <w:r w:rsidRPr="00440883">
        <w:rPr>
          <w:rFonts w:cs="Arial"/>
          <w:iCs/>
          <w:lang w:eastAsia="ja-JP"/>
        </w:rPr>
        <w:t>RAN</w:t>
      </w:r>
      <w:r w:rsidR="0065372E">
        <w:rPr>
          <w:rFonts w:cs="Arial"/>
          <w:iCs/>
          <w:lang w:eastAsia="ja-JP"/>
        </w:rPr>
        <w:t>4</w:t>
      </w:r>
      <w:r w:rsidRPr="00440883">
        <w:rPr>
          <w:rFonts w:cs="Arial"/>
          <w:iCs/>
          <w:lang w:eastAsia="ja-JP"/>
        </w:rPr>
        <w:t xml:space="preserve"> would like to thank RAN</w:t>
      </w:r>
      <w:r w:rsidR="0065372E">
        <w:rPr>
          <w:rFonts w:cs="Arial"/>
          <w:iCs/>
          <w:lang w:eastAsia="ja-JP"/>
        </w:rPr>
        <w:t>2</w:t>
      </w:r>
      <w:r w:rsidRPr="00440883">
        <w:rPr>
          <w:rFonts w:cs="Arial"/>
          <w:iCs/>
          <w:lang w:eastAsia="ja-JP"/>
        </w:rPr>
        <w:t xml:space="preserve"> for the LS in </w:t>
      </w:r>
      <w:bookmarkStart w:id="8" w:name="_Hlk47554366"/>
      <w:r w:rsidR="0065372E" w:rsidRPr="0065372E">
        <w:rPr>
          <w:rFonts w:cs="Arial"/>
          <w:iCs/>
          <w:lang w:eastAsia="ja-JP"/>
        </w:rPr>
        <w:t xml:space="preserve">R2-2006322 </w:t>
      </w:r>
      <w:bookmarkEnd w:id="8"/>
      <w:r w:rsidR="00CC44F1">
        <w:rPr>
          <w:rFonts w:cs="Arial"/>
          <w:iCs/>
          <w:lang w:eastAsia="ja-JP"/>
        </w:rPr>
        <w:t>on</w:t>
      </w:r>
      <w:r w:rsidRPr="00440883">
        <w:rPr>
          <w:rFonts w:cs="Arial"/>
          <w:iCs/>
          <w:lang w:eastAsia="ja-JP"/>
        </w:rPr>
        <w:t xml:space="preserve"> </w:t>
      </w:r>
      <w:r w:rsidR="0065372E" w:rsidRPr="0065372E">
        <w:rPr>
          <w:rFonts w:cs="Arial"/>
          <w:iCs/>
          <w:lang w:eastAsia="ja-JP"/>
        </w:rPr>
        <w:t>UE capability xDD differentiation for SUL/SDL bands</w:t>
      </w:r>
      <w:r w:rsidRPr="00440883">
        <w:rPr>
          <w:rFonts w:cs="Arial"/>
          <w:iCs/>
          <w:lang w:eastAsia="ja-JP"/>
        </w:rPr>
        <w:t>.</w:t>
      </w:r>
      <w:r w:rsidR="0065372E">
        <w:rPr>
          <w:rFonts w:cs="Arial"/>
          <w:iCs/>
          <w:lang w:eastAsia="ja-JP"/>
        </w:rPr>
        <w:t xml:space="preserve"> </w:t>
      </w:r>
      <w:r w:rsidRPr="00440883">
        <w:rPr>
          <w:rFonts w:cs="Arial"/>
          <w:iCs/>
          <w:lang w:eastAsia="ja-JP"/>
        </w:rPr>
        <w:t>RAN</w:t>
      </w:r>
      <w:r w:rsidR="0065372E">
        <w:rPr>
          <w:rFonts w:cs="Arial"/>
          <w:iCs/>
          <w:lang w:eastAsia="ja-JP"/>
        </w:rPr>
        <w:t>4</w:t>
      </w:r>
      <w:r w:rsidRPr="00440883">
        <w:rPr>
          <w:rFonts w:cs="Arial"/>
          <w:iCs/>
          <w:lang w:eastAsia="ja-JP"/>
        </w:rPr>
        <w:t xml:space="preserve"> discussed </w:t>
      </w:r>
      <w:r w:rsidR="0065372E">
        <w:rPr>
          <w:rFonts w:cs="Arial"/>
          <w:iCs/>
          <w:lang w:eastAsia="ja-JP"/>
        </w:rPr>
        <w:t xml:space="preserve">if </w:t>
      </w:r>
      <w:r w:rsidRPr="00440883">
        <w:rPr>
          <w:rFonts w:cs="Arial"/>
          <w:iCs/>
          <w:lang w:eastAsia="ja-JP"/>
        </w:rPr>
        <w:t xml:space="preserve">the issue </w:t>
      </w:r>
      <w:r w:rsidR="0065372E">
        <w:rPr>
          <w:rFonts w:cs="Arial"/>
          <w:iCs/>
          <w:lang w:eastAsia="ja-JP"/>
        </w:rPr>
        <w:t>can be solved by applying the same duplex mode of the corresponding bands of SUL or SDL bands to th</w:t>
      </w:r>
      <w:r w:rsidR="009C5281">
        <w:rPr>
          <w:rFonts w:cs="Arial"/>
          <w:iCs/>
          <w:lang w:eastAsia="ja-JP"/>
        </w:rPr>
        <w:t xml:space="preserve">e </w:t>
      </w:r>
      <w:r w:rsidR="0065372E">
        <w:rPr>
          <w:rFonts w:cs="Arial"/>
          <w:iCs/>
          <w:lang w:eastAsia="ja-JP"/>
        </w:rPr>
        <w:t xml:space="preserve">SUL or SDL bands, respectively. As a result, RAN4 confirmed that there are following cases that the method does not </w:t>
      </w:r>
      <w:r w:rsidR="009C5281">
        <w:rPr>
          <w:rFonts w:cs="Arial"/>
          <w:iCs/>
          <w:lang w:eastAsia="ja-JP"/>
        </w:rPr>
        <w:t>apply</w:t>
      </w:r>
      <w:r w:rsidR="0065372E">
        <w:rPr>
          <w:rFonts w:cs="Arial"/>
          <w:iCs/>
          <w:lang w:eastAsia="ja-JP"/>
        </w:rPr>
        <w:t>.</w:t>
      </w:r>
    </w:p>
    <w:p w14:paraId="3FB7EF36" w14:textId="4567C4F9" w:rsidR="0065372E" w:rsidRPr="0065372E" w:rsidRDefault="0065372E" w:rsidP="0065372E">
      <w:pPr>
        <w:pStyle w:val="ListParagraph"/>
        <w:numPr>
          <w:ilvl w:val="0"/>
          <w:numId w:val="22"/>
        </w:numPr>
      </w:pPr>
      <w:r w:rsidRPr="0065372E">
        <w:t xml:space="preserve">Multiple corresponding bands of SUL or SDL bands can exist, and they do not always use the </w:t>
      </w:r>
      <w:r w:rsidR="009C5281">
        <w:t>common</w:t>
      </w:r>
      <w:r w:rsidRPr="0065372E">
        <w:t xml:space="preserve"> duplex mode.</w:t>
      </w:r>
    </w:p>
    <w:p w14:paraId="0E60B1E1" w14:textId="6C7CE10D" w:rsidR="0065372E" w:rsidRPr="0065372E" w:rsidRDefault="0065372E" w:rsidP="0065372E">
      <w:pPr>
        <w:pStyle w:val="ListParagraph"/>
        <w:numPr>
          <w:ilvl w:val="0"/>
          <w:numId w:val="22"/>
        </w:numPr>
      </w:pPr>
      <w:r w:rsidRPr="0065372E">
        <w:t>Corresponding bands of SUL or SDL bands do not always exist.</w:t>
      </w:r>
    </w:p>
    <w:p w14:paraId="0EBF8C2D" w14:textId="0B1D99A8" w:rsidR="0065372E" w:rsidRDefault="0065372E" w:rsidP="00666E56">
      <w:pPr>
        <w:pStyle w:val="CommentText"/>
        <w:tabs>
          <w:tab w:val="left" w:pos="426"/>
        </w:tabs>
        <w:rPr>
          <w:rFonts w:cs="Arial"/>
          <w:iCs/>
          <w:lang w:eastAsia="ja-JP"/>
        </w:rPr>
      </w:pPr>
      <w:r>
        <w:rPr>
          <w:rFonts w:cs="Arial"/>
          <w:iCs/>
          <w:lang w:eastAsia="ja-JP"/>
        </w:rPr>
        <w:t xml:space="preserve"> In addition, RAN4 would like to provide </w:t>
      </w:r>
      <w:r w:rsidR="00CC44F1">
        <w:rPr>
          <w:rFonts w:cs="Arial"/>
          <w:iCs/>
          <w:lang w:eastAsia="ja-JP"/>
        </w:rPr>
        <w:t>the</w:t>
      </w:r>
      <w:r>
        <w:rPr>
          <w:rFonts w:cs="Arial"/>
          <w:iCs/>
          <w:lang w:eastAsia="ja-JP"/>
        </w:rPr>
        <w:t xml:space="preserve"> following answer to the below questions from RAN2. </w:t>
      </w:r>
    </w:p>
    <w:p w14:paraId="336056C2" w14:textId="20492698" w:rsidR="0065372E" w:rsidRPr="0065372E" w:rsidRDefault="0065372E" w:rsidP="0065372E">
      <w:pPr>
        <w:pStyle w:val="Header"/>
        <w:spacing w:after="120"/>
        <w:ind w:left="284"/>
        <w:rPr>
          <w:rFonts w:cs="Arial"/>
          <w:b w:val="0"/>
        </w:rPr>
      </w:pPr>
      <w:r w:rsidRPr="009C5281">
        <w:rPr>
          <w:rFonts w:cs="Arial"/>
          <w:bCs/>
        </w:rPr>
        <w:t>Question 1</w:t>
      </w:r>
      <w:r w:rsidRPr="0065372E">
        <w:rPr>
          <w:rFonts w:cs="Arial"/>
          <w:b w:val="0"/>
        </w:rPr>
        <w:t>: Could per-UE capabilities for SUL/SDL bands be differentiated on the duplex mode(s)</w:t>
      </w:r>
      <w:r w:rsidRPr="0065372E">
        <w:rPr>
          <w:b w:val="0"/>
        </w:rPr>
        <w:t xml:space="preserve"> </w:t>
      </w:r>
      <w:r w:rsidRPr="0065372E">
        <w:rPr>
          <w:rFonts w:cs="Arial"/>
          <w:b w:val="0"/>
        </w:rPr>
        <w:t xml:space="preserve">for Rel-15 and Rel-16? </w:t>
      </w:r>
    </w:p>
    <w:p w14:paraId="11ED3003" w14:textId="77777777" w:rsidR="0065372E" w:rsidRDefault="0065372E" w:rsidP="0065372E">
      <w:pPr>
        <w:pStyle w:val="Header"/>
        <w:spacing w:after="120"/>
        <w:ind w:left="284"/>
        <w:rPr>
          <w:rFonts w:cs="Arial"/>
        </w:rPr>
      </w:pPr>
      <w:r w:rsidRPr="009C5281">
        <w:rPr>
          <w:rFonts w:cs="Arial"/>
          <w:bCs/>
        </w:rPr>
        <w:t>Question 2</w:t>
      </w:r>
      <w:r w:rsidRPr="0065372E">
        <w:rPr>
          <w:rFonts w:cs="Arial"/>
          <w:b w:val="0"/>
        </w:rPr>
        <w:t xml:space="preserve">: </w:t>
      </w:r>
      <w:r w:rsidRPr="0065372E">
        <w:rPr>
          <w:rFonts w:cs="Arial" w:hint="eastAsia"/>
          <w:b w:val="0"/>
          <w:lang w:eastAsia="ko-KR"/>
        </w:rPr>
        <w:t>W</w:t>
      </w:r>
      <w:r w:rsidRPr="0065372E">
        <w:rPr>
          <w:rFonts w:cs="Arial"/>
          <w:b w:val="0"/>
        </w:rPr>
        <w:t xml:space="preserve">hich duplex mode(s) (i.e. FDD or TDD) for the per-UE capabilities which are differentiated by FDD and TDD are </w:t>
      </w:r>
      <w:r w:rsidRPr="0065372E">
        <w:rPr>
          <w:rFonts w:cs="Arial"/>
          <w:b w:val="0"/>
          <w:lang w:eastAsia="ko-KR"/>
        </w:rPr>
        <w:t>applied for SUL/SDL</w:t>
      </w:r>
      <w:r w:rsidRPr="0065372E">
        <w:rPr>
          <w:rFonts w:cs="Arial"/>
          <w:b w:val="0"/>
        </w:rPr>
        <w:t xml:space="preserve"> in both Rel-15 and Rel-16?</w:t>
      </w:r>
    </w:p>
    <w:p w14:paraId="1C33FA43" w14:textId="0F676D32" w:rsidR="00666E56" w:rsidRPr="00440883" w:rsidRDefault="00666E56" w:rsidP="00666E56">
      <w:pPr>
        <w:pStyle w:val="CommentText"/>
        <w:tabs>
          <w:tab w:val="left" w:pos="426"/>
        </w:tabs>
        <w:rPr>
          <w:rFonts w:cs="Arial"/>
          <w:iCs/>
          <w:lang w:eastAsia="ja-JP"/>
        </w:rPr>
      </w:pPr>
      <w:r w:rsidRPr="00440883">
        <w:rPr>
          <w:rFonts w:cs="Arial"/>
          <w:iCs/>
          <w:lang w:eastAsia="ja-JP"/>
        </w:rPr>
        <w:t>RAN</w:t>
      </w:r>
      <w:r w:rsidR="0065372E">
        <w:rPr>
          <w:rFonts w:cs="Arial"/>
          <w:iCs/>
          <w:lang w:eastAsia="ja-JP"/>
        </w:rPr>
        <w:t>4</w:t>
      </w:r>
      <w:r w:rsidRPr="00440883">
        <w:rPr>
          <w:rFonts w:cs="Arial"/>
          <w:iCs/>
          <w:lang w:eastAsia="ja-JP"/>
        </w:rPr>
        <w:t xml:space="preserve"> Answer: </w:t>
      </w:r>
    </w:p>
    <w:p w14:paraId="1114AF5D" w14:textId="5421F11D" w:rsidR="00666E56" w:rsidRPr="00440883" w:rsidRDefault="009C5281" w:rsidP="00666E56">
      <w:pPr>
        <w:pStyle w:val="CommentText"/>
        <w:tabs>
          <w:tab w:val="left" w:pos="426"/>
        </w:tabs>
        <w:rPr>
          <w:rFonts w:cs="Arial"/>
          <w:iCs/>
          <w:lang w:eastAsia="ja-JP"/>
        </w:rPr>
      </w:pPr>
      <w:r w:rsidRPr="009C5281">
        <w:rPr>
          <w:rFonts w:cs="Arial"/>
          <w:b/>
          <w:bCs/>
          <w:iCs/>
          <w:lang w:val="en-US" w:eastAsia="ja-JP"/>
        </w:rPr>
        <w:t xml:space="preserve">RAN4 specifications cannot be a reference to differentiate SDL or SUL as FDD or </w:t>
      </w:r>
      <w:r w:rsidR="006A7E22">
        <w:rPr>
          <w:rFonts w:cs="Arial"/>
          <w:b/>
          <w:bCs/>
          <w:iCs/>
          <w:lang w:val="en-US" w:eastAsia="ja-JP"/>
        </w:rPr>
        <w:t>T</w:t>
      </w:r>
      <w:r w:rsidRPr="009C5281">
        <w:rPr>
          <w:rFonts w:cs="Arial"/>
          <w:b/>
          <w:bCs/>
          <w:iCs/>
          <w:lang w:val="en-US" w:eastAsia="ja-JP"/>
        </w:rPr>
        <w:t>DD</w:t>
      </w:r>
      <w:r w:rsidR="006A7E22">
        <w:rPr>
          <w:rFonts w:cs="Arial"/>
          <w:b/>
          <w:bCs/>
          <w:iCs/>
          <w:lang w:val="en-US" w:eastAsia="ja-JP"/>
        </w:rPr>
        <w:t xml:space="preserve"> modes for the per-UE capabilities</w:t>
      </w:r>
      <w:r w:rsidR="0065372E">
        <w:rPr>
          <w:rFonts w:cs="Arial"/>
          <w:iCs/>
          <w:lang w:val="en-US" w:eastAsia="ja-JP"/>
        </w:rPr>
        <w:t>.</w:t>
      </w:r>
    </w:p>
    <w:p w14:paraId="61984026" w14:textId="77777777" w:rsidR="00666E56" w:rsidRPr="0066707D" w:rsidRDefault="00666E56" w:rsidP="00666E56">
      <w:pPr>
        <w:pStyle w:val="Heading1"/>
      </w:pPr>
      <w:r w:rsidRPr="0066707D">
        <w:t>2</w:t>
      </w:r>
      <w:r w:rsidRPr="0066707D">
        <w:tab/>
        <w:t>Actions</w:t>
      </w:r>
    </w:p>
    <w:p w14:paraId="28E1E8F1" w14:textId="03725498" w:rsidR="00666E56" w:rsidRPr="009C5281" w:rsidRDefault="00666E56" w:rsidP="00666E56">
      <w:pPr>
        <w:spacing w:after="120"/>
        <w:ind w:left="1985" w:hanging="1985"/>
        <w:rPr>
          <w:rFonts w:cs="Arial"/>
          <w:iCs/>
          <w:lang w:eastAsia="ja-JP"/>
        </w:rPr>
      </w:pPr>
      <w:r w:rsidRPr="009C5281">
        <w:rPr>
          <w:rFonts w:cs="Arial"/>
          <w:iCs/>
          <w:lang w:eastAsia="ja-JP"/>
        </w:rPr>
        <w:t xml:space="preserve">To </w:t>
      </w:r>
      <w:r w:rsidRPr="009C5281">
        <w:rPr>
          <w:rFonts w:cs="Arial" w:hint="eastAsia"/>
          <w:iCs/>
          <w:lang w:eastAsia="ja-JP"/>
        </w:rPr>
        <w:t>RAN</w:t>
      </w:r>
      <w:r w:rsidR="009C5281">
        <w:rPr>
          <w:rFonts w:cs="Arial"/>
          <w:iCs/>
          <w:lang w:eastAsia="ja-JP"/>
        </w:rPr>
        <w:t>2</w:t>
      </w:r>
      <w:r w:rsidRPr="009C5281">
        <w:rPr>
          <w:rFonts w:cs="Arial"/>
          <w:iCs/>
          <w:lang w:eastAsia="ja-JP"/>
        </w:rPr>
        <w:t xml:space="preserve"> </w:t>
      </w:r>
    </w:p>
    <w:p w14:paraId="7DB2380B" w14:textId="503DCCA7" w:rsidR="00666E56" w:rsidRPr="009C5281" w:rsidRDefault="00666E56" w:rsidP="00666E56">
      <w:pPr>
        <w:spacing w:after="120"/>
        <w:ind w:left="993" w:hanging="993"/>
        <w:rPr>
          <w:rFonts w:cs="Arial"/>
          <w:iCs/>
          <w:lang w:eastAsia="ja-JP"/>
        </w:rPr>
      </w:pPr>
      <w:r w:rsidRPr="009C5281">
        <w:rPr>
          <w:rFonts w:cs="Arial"/>
          <w:iCs/>
          <w:lang w:eastAsia="ja-JP"/>
        </w:rPr>
        <w:t xml:space="preserve">ACTION: </w:t>
      </w:r>
      <w:r w:rsidRPr="009C5281">
        <w:rPr>
          <w:rFonts w:cs="Arial"/>
          <w:iCs/>
          <w:lang w:eastAsia="ja-JP"/>
        </w:rPr>
        <w:tab/>
        <w:t>RAN</w:t>
      </w:r>
      <w:r w:rsidR="009C5281" w:rsidRPr="009C5281">
        <w:rPr>
          <w:rFonts w:cs="Arial"/>
          <w:iCs/>
          <w:lang w:eastAsia="ja-JP"/>
        </w:rPr>
        <w:t>4</w:t>
      </w:r>
      <w:r w:rsidRPr="009C5281">
        <w:rPr>
          <w:rFonts w:cs="Arial"/>
          <w:iCs/>
          <w:lang w:eastAsia="ja-JP"/>
        </w:rPr>
        <w:t xml:space="preserve"> respectfully asks RAN4 to take the above i</w:t>
      </w:r>
      <w:r w:rsidRPr="009C5281">
        <w:rPr>
          <w:rFonts w:cs="Arial" w:hint="eastAsia"/>
          <w:iCs/>
          <w:lang w:eastAsia="ja-JP"/>
        </w:rPr>
        <w:t>nformation</w:t>
      </w:r>
      <w:r w:rsidRPr="009C5281">
        <w:rPr>
          <w:rFonts w:cs="Arial"/>
          <w:iCs/>
          <w:lang w:eastAsia="ja-JP"/>
        </w:rPr>
        <w:t xml:space="preserve"> into account.</w:t>
      </w:r>
    </w:p>
    <w:p w14:paraId="391CFDAD" w14:textId="77777777" w:rsidR="00666E56" w:rsidRPr="0066707D" w:rsidRDefault="00666E56" w:rsidP="00666E56">
      <w:pPr>
        <w:spacing w:after="120"/>
        <w:ind w:left="993" w:hanging="993"/>
        <w:rPr>
          <w:rFonts w:ascii="Arial" w:hAnsi="Arial" w:cs="Arial"/>
        </w:rPr>
      </w:pPr>
    </w:p>
    <w:p w14:paraId="283C9D1B" w14:textId="1C6568E2" w:rsidR="00666E56" w:rsidRPr="0066707D" w:rsidRDefault="00666E56" w:rsidP="00666E56">
      <w:pPr>
        <w:pStyle w:val="Heading1"/>
        <w:rPr>
          <w:szCs w:val="36"/>
        </w:rPr>
      </w:pPr>
      <w:r w:rsidRPr="0066707D">
        <w:rPr>
          <w:szCs w:val="36"/>
        </w:rPr>
        <w:lastRenderedPageBreak/>
        <w:t>3</w:t>
      </w:r>
      <w:r w:rsidRPr="0066707D">
        <w:rPr>
          <w:szCs w:val="36"/>
        </w:rPr>
        <w:tab/>
        <w:t xml:space="preserve">Dates of next </w:t>
      </w:r>
      <w:r w:rsidRPr="0066707D">
        <w:rPr>
          <w:rFonts w:cs="Arial"/>
          <w:bCs/>
          <w:szCs w:val="36"/>
        </w:rPr>
        <w:t xml:space="preserve">TSG </w:t>
      </w:r>
      <w:r w:rsidRPr="0066707D">
        <w:rPr>
          <w:rFonts w:cs="Arial"/>
          <w:szCs w:val="36"/>
        </w:rPr>
        <w:t>RAN</w:t>
      </w:r>
      <w:r w:rsidRPr="0066707D">
        <w:rPr>
          <w:rFonts w:cs="Arial"/>
          <w:bCs/>
          <w:szCs w:val="36"/>
        </w:rPr>
        <w:t xml:space="preserve"> WG </w:t>
      </w:r>
      <w:r w:rsidR="009C5281">
        <w:rPr>
          <w:rFonts w:cs="Arial"/>
          <w:bCs/>
          <w:szCs w:val="36"/>
        </w:rPr>
        <w:t>4</w:t>
      </w:r>
      <w:r w:rsidRPr="0066707D">
        <w:rPr>
          <w:szCs w:val="36"/>
        </w:rPr>
        <w:t xml:space="preserve"> meeting</w:t>
      </w:r>
    </w:p>
    <w:p w14:paraId="3AD49871" w14:textId="79756DBB" w:rsidR="00F62561" w:rsidRDefault="00666E56" w:rsidP="009C5281">
      <w:r w:rsidRPr="00863A92">
        <w:rPr>
          <w:rFonts w:ascii="Arial" w:hAnsi="Arial" w:cs="Arial"/>
          <w:bCs/>
          <w:lang w:val="en-US"/>
        </w:rPr>
        <w:t>TSG-RAN WG</w:t>
      </w:r>
      <w:r w:rsidR="009C5281">
        <w:rPr>
          <w:rFonts w:ascii="Arial" w:hAnsi="Arial" w:cs="Arial"/>
          <w:bCs/>
          <w:lang w:val="en-US"/>
        </w:rPr>
        <w:t>4</w:t>
      </w:r>
      <w:r w:rsidRPr="00863A92">
        <w:rPr>
          <w:rFonts w:ascii="Arial" w:hAnsi="Arial" w:cs="Arial"/>
          <w:bCs/>
          <w:lang w:val="en-US"/>
        </w:rPr>
        <w:t xml:space="preserve"> Meeting #</w:t>
      </w:r>
      <w:r w:rsidR="009C5281">
        <w:rPr>
          <w:rFonts w:ascii="Arial" w:hAnsi="Arial" w:cs="Arial"/>
          <w:bCs/>
          <w:lang w:val="en-US"/>
        </w:rPr>
        <w:t>97-</w:t>
      </w:r>
      <w:r w:rsidRPr="00863A92">
        <w:rPr>
          <w:rFonts w:ascii="Arial" w:hAnsi="Arial" w:cs="Arial"/>
          <w:bCs/>
          <w:lang w:val="en-US"/>
        </w:rPr>
        <w:t>e</w:t>
      </w:r>
      <w:r w:rsidRPr="00863A92">
        <w:rPr>
          <w:rFonts w:ascii="Arial" w:hAnsi="Arial" w:cs="Arial"/>
          <w:bCs/>
          <w:lang w:val="en-US"/>
        </w:rPr>
        <w:tab/>
        <w:t>2</w:t>
      </w:r>
      <w:r w:rsidR="009C5281">
        <w:rPr>
          <w:rFonts w:ascii="Arial" w:hAnsi="Arial" w:cs="Arial"/>
          <w:bCs/>
          <w:lang w:val="en-US"/>
        </w:rPr>
        <w:t>6</w:t>
      </w:r>
      <w:r w:rsidRPr="00863A92">
        <w:rPr>
          <w:rFonts w:ascii="Arial" w:hAnsi="Arial" w:cs="Arial"/>
          <w:bCs/>
          <w:lang w:val="en-US"/>
        </w:rPr>
        <w:t xml:space="preserve"> </w:t>
      </w:r>
      <w:r w:rsidR="009C5281">
        <w:rPr>
          <w:rFonts w:ascii="Arial" w:hAnsi="Arial" w:cs="Arial"/>
          <w:bCs/>
          <w:lang w:val="en-US"/>
        </w:rPr>
        <w:t>Oct</w:t>
      </w:r>
      <w:r w:rsidRPr="00863A92">
        <w:rPr>
          <w:rFonts w:ascii="Arial" w:hAnsi="Arial" w:cs="Arial"/>
          <w:bCs/>
          <w:lang w:val="en-US"/>
        </w:rPr>
        <w:t xml:space="preserve"> – </w:t>
      </w:r>
      <w:r w:rsidR="009C5281">
        <w:rPr>
          <w:rFonts w:ascii="Arial" w:hAnsi="Arial" w:cs="Arial"/>
          <w:bCs/>
          <w:lang w:val="en-US"/>
        </w:rPr>
        <w:t>14</w:t>
      </w:r>
      <w:r w:rsidRPr="00863A92">
        <w:rPr>
          <w:rFonts w:ascii="Arial" w:hAnsi="Arial" w:cs="Arial"/>
          <w:bCs/>
          <w:lang w:val="en-US"/>
        </w:rPr>
        <w:t xml:space="preserve"> </w:t>
      </w:r>
      <w:r w:rsidR="009C5281">
        <w:rPr>
          <w:rFonts w:ascii="Arial" w:hAnsi="Arial" w:cs="Arial"/>
          <w:bCs/>
          <w:lang w:val="en-US"/>
        </w:rPr>
        <w:t>Nov</w:t>
      </w:r>
      <w:r w:rsidRPr="00863A92">
        <w:rPr>
          <w:rFonts w:ascii="Arial" w:hAnsi="Arial" w:cs="Arial"/>
          <w:bCs/>
          <w:lang w:val="en-US"/>
        </w:rPr>
        <w:t xml:space="preserve"> 2020, </w:t>
      </w:r>
      <w:r w:rsidRPr="00863A92">
        <w:rPr>
          <w:rFonts w:ascii="Arial" w:hAnsi="Arial" w:cs="Arial"/>
          <w:bCs/>
          <w:lang w:val="en-US"/>
        </w:rPr>
        <w:tab/>
      </w:r>
      <w:r w:rsidRPr="00863A92">
        <w:rPr>
          <w:rFonts w:ascii="Arial" w:hAnsi="Arial" w:cs="Arial"/>
          <w:bCs/>
          <w:lang w:val="en-US"/>
        </w:rPr>
        <w:tab/>
        <w:t>e-Meeting</w:t>
      </w:r>
    </w:p>
    <w:sectPr w:rsidR="00F62561"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0C702" w14:textId="77777777" w:rsidR="00B66969" w:rsidRDefault="00B66969" w:rsidP="002B3503">
      <w:pPr>
        <w:spacing w:after="0"/>
      </w:pPr>
      <w:r>
        <w:separator/>
      </w:r>
    </w:p>
  </w:endnote>
  <w:endnote w:type="continuationSeparator" w:id="0">
    <w:p w14:paraId="37EB36E4" w14:textId="77777777" w:rsidR="00B66969" w:rsidRDefault="00B6696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85879" w14:textId="77777777" w:rsidR="00B66969" w:rsidRDefault="00B66969" w:rsidP="002B3503">
      <w:pPr>
        <w:spacing w:after="0"/>
      </w:pPr>
      <w:r>
        <w:separator/>
      </w:r>
    </w:p>
  </w:footnote>
  <w:footnote w:type="continuationSeparator" w:id="0">
    <w:p w14:paraId="243CF86F" w14:textId="77777777" w:rsidR="00B66969" w:rsidRDefault="00B6696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75620F"/>
    <w:multiLevelType w:val="hybridMultilevel"/>
    <w:tmpl w:val="7FE4EB76"/>
    <w:lvl w:ilvl="0" w:tplc="C9A0920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0"/>
  </w:num>
  <w:num w:numId="3">
    <w:abstractNumId w:val="10"/>
  </w:num>
  <w:num w:numId="4">
    <w:abstractNumId w:val="16"/>
  </w:num>
  <w:num w:numId="5">
    <w:abstractNumId w:val="5"/>
  </w:num>
  <w:num w:numId="6">
    <w:abstractNumId w:val="15"/>
  </w:num>
  <w:num w:numId="7">
    <w:abstractNumId w:val="2"/>
  </w:num>
  <w:num w:numId="8">
    <w:abstractNumId w:val="17"/>
  </w:num>
  <w:num w:numId="9">
    <w:abstractNumId w:val="7"/>
  </w:num>
  <w:num w:numId="10">
    <w:abstractNumId w:val="3"/>
  </w:num>
  <w:num w:numId="11">
    <w:abstractNumId w:val="11"/>
  </w:num>
  <w:num w:numId="12">
    <w:abstractNumId w:val="19"/>
  </w:num>
  <w:num w:numId="13">
    <w:abstractNumId w:val="14"/>
  </w:num>
  <w:num w:numId="14">
    <w:abstractNumId w:val="4"/>
  </w:num>
  <w:num w:numId="15">
    <w:abstractNumId w:val="9"/>
  </w:num>
  <w:num w:numId="16">
    <w:abstractNumId w:val="12"/>
  </w:num>
  <w:num w:numId="17">
    <w:abstractNumId w:val="21"/>
  </w:num>
  <w:num w:numId="18">
    <w:abstractNumId w:val="0"/>
  </w:num>
  <w:num w:numId="19">
    <w:abstractNumId w:val="18"/>
  </w:num>
  <w:num w:numId="20">
    <w:abstractNumId w:val="6"/>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3309C"/>
    <w:rsid w:val="0007321B"/>
    <w:rsid w:val="00091F0B"/>
    <w:rsid w:val="000A6473"/>
    <w:rsid w:val="000B4E56"/>
    <w:rsid w:val="000B5E8E"/>
    <w:rsid w:val="000B61DC"/>
    <w:rsid w:val="000F2546"/>
    <w:rsid w:val="000F50EC"/>
    <w:rsid w:val="00101626"/>
    <w:rsid w:val="00122FCB"/>
    <w:rsid w:val="00126055"/>
    <w:rsid w:val="00136328"/>
    <w:rsid w:val="001364A1"/>
    <w:rsid w:val="0015000E"/>
    <w:rsid w:val="00154D1C"/>
    <w:rsid w:val="0016131F"/>
    <w:rsid w:val="00177EFF"/>
    <w:rsid w:val="00184911"/>
    <w:rsid w:val="001953B8"/>
    <w:rsid w:val="001A1A7B"/>
    <w:rsid w:val="001E5C23"/>
    <w:rsid w:val="002078E7"/>
    <w:rsid w:val="002127E2"/>
    <w:rsid w:val="00214C87"/>
    <w:rsid w:val="00215035"/>
    <w:rsid w:val="00215E52"/>
    <w:rsid w:val="00242B76"/>
    <w:rsid w:val="00253693"/>
    <w:rsid w:val="00272473"/>
    <w:rsid w:val="00276F69"/>
    <w:rsid w:val="00291DDD"/>
    <w:rsid w:val="002A066E"/>
    <w:rsid w:val="002A7181"/>
    <w:rsid w:val="002B3503"/>
    <w:rsid w:val="002D1B45"/>
    <w:rsid w:val="002D5978"/>
    <w:rsid w:val="002F6A38"/>
    <w:rsid w:val="00341491"/>
    <w:rsid w:val="00347DEA"/>
    <w:rsid w:val="003777FE"/>
    <w:rsid w:val="003809C6"/>
    <w:rsid w:val="00390A44"/>
    <w:rsid w:val="003B7E17"/>
    <w:rsid w:val="003C536B"/>
    <w:rsid w:val="003D5738"/>
    <w:rsid w:val="0042109F"/>
    <w:rsid w:val="00426A90"/>
    <w:rsid w:val="00430A73"/>
    <w:rsid w:val="0043450E"/>
    <w:rsid w:val="00453BA5"/>
    <w:rsid w:val="00454E53"/>
    <w:rsid w:val="00482477"/>
    <w:rsid w:val="00484078"/>
    <w:rsid w:val="00491386"/>
    <w:rsid w:val="00494F18"/>
    <w:rsid w:val="004974FD"/>
    <w:rsid w:val="004A41DA"/>
    <w:rsid w:val="004C0103"/>
    <w:rsid w:val="004C58F9"/>
    <w:rsid w:val="004D0C67"/>
    <w:rsid w:val="004D3D81"/>
    <w:rsid w:val="005155DE"/>
    <w:rsid w:val="00560A63"/>
    <w:rsid w:val="005647F5"/>
    <w:rsid w:val="00564B2E"/>
    <w:rsid w:val="00570B14"/>
    <w:rsid w:val="005735CF"/>
    <w:rsid w:val="00595369"/>
    <w:rsid w:val="005B2640"/>
    <w:rsid w:val="005C4AF3"/>
    <w:rsid w:val="005D18A4"/>
    <w:rsid w:val="005D784D"/>
    <w:rsid w:val="005F31A5"/>
    <w:rsid w:val="005F4052"/>
    <w:rsid w:val="005F6CE3"/>
    <w:rsid w:val="006026F2"/>
    <w:rsid w:val="00602EB6"/>
    <w:rsid w:val="00613AB3"/>
    <w:rsid w:val="00641C2E"/>
    <w:rsid w:val="00641E1F"/>
    <w:rsid w:val="0065372E"/>
    <w:rsid w:val="00664AE9"/>
    <w:rsid w:val="00664DF6"/>
    <w:rsid w:val="00666E56"/>
    <w:rsid w:val="006919C7"/>
    <w:rsid w:val="006A7E22"/>
    <w:rsid w:val="006B0708"/>
    <w:rsid w:val="006B6CB6"/>
    <w:rsid w:val="006C44A0"/>
    <w:rsid w:val="006C6840"/>
    <w:rsid w:val="006D43D1"/>
    <w:rsid w:val="006D63C8"/>
    <w:rsid w:val="00702ED2"/>
    <w:rsid w:val="00703602"/>
    <w:rsid w:val="00713482"/>
    <w:rsid w:val="00726265"/>
    <w:rsid w:val="00734EBD"/>
    <w:rsid w:val="00747F44"/>
    <w:rsid w:val="00757284"/>
    <w:rsid w:val="007B21A7"/>
    <w:rsid w:val="007C3D2F"/>
    <w:rsid w:val="007D1C54"/>
    <w:rsid w:val="007D20DF"/>
    <w:rsid w:val="007E0C29"/>
    <w:rsid w:val="007E6AC4"/>
    <w:rsid w:val="007E752F"/>
    <w:rsid w:val="00803510"/>
    <w:rsid w:val="00805FD3"/>
    <w:rsid w:val="00813258"/>
    <w:rsid w:val="008235BA"/>
    <w:rsid w:val="008236E4"/>
    <w:rsid w:val="00846F0E"/>
    <w:rsid w:val="00850296"/>
    <w:rsid w:val="00871B4D"/>
    <w:rsid w:val="00891F14"/>
    <w:rsid w:val="008926AE"/>
    <w:rsid w:val="00895E24"/>
    <w:rsid w:val="008A4493"/>
    <w:rsid w:val="008A635A"/>
    <w:rsid w:val="008B72EE"/>
    <w:rsid w:val="008D12E4"/>
    <w:rsid w:val="00911B20"/>
    <w:rsid w:val="0091383D"/>
    <w:rsid w:val="00924A8B"/>
    <w:rsid w:val="00940559"/>
    <w:rsid w:val="00966126"/>
    <w:rsid w:val="00996062"/>
    <w:rsid w:val="009A1B59"/>
    <w:rsid w:val="009B1E68"/>
    <w:rsid w:val="009B6543"/>
    <w:rsid w:val="009B6CF0"/>
    <w:rsid w:val="009B7F2A"/>
    <w:rsid w:val="009C5281"/>
    <w:rsid w:val="00A16F72"/>
    <w:rsid w:val="00A41A2E"/>
    <w:rsid w:val="00A451E8"/>
    <w:rsid w:val="00A6018C"/>
    <w:rsid w:val="00A82CA2"/>
    <w:rsid w:val="00A83B5D"/>
    <w:rsid w:val="00AB2764"/>
    <w:rsid w:val="00AB3FAE"/>
    <w:rsid w:val="00AD0CC8"/>
    <w:rsid w:val="00AD0F48"/>
    <w:rsid w:val="00AE1D3D"/>
    <w:rsid w:val="00AE6327"/>
    <w:rsid w:val="00AF7CB0"/>
    <w:rsid w:val="00B4385F"/>
    <w:rsid w:val="00B65B59"/>
    <w:rsid w:val="00B66969"/>
    <w:rsid w:val="00B708C7"/>
    <w:rsid w:val="00B72408"/>
    <w:rsid w:val="00B77164"/>
    <w:rsid w:val="00BC2924"/>
    <w:rsid w:val="00BC764C"/>
    <w:rsid w:val="00BD5506"/>
    <w:rsid w:val="00BE77F5"/>
    <w:rsid w:val="00BF4B17"/>
    <w:rsid w:val="00C17B19"/>
    <w:rsid w:val="00C21554"/>
    <w:rsid w:val="00C230ED"/>
    <w:rsid w:val="00C3087E"/>
    <w:rsid w:val="00C4466C"/>
    <w:rsid w:val="00C81190"/>
    <w:rsid w:val="00C83E86"/>
    <w:rsid w:val="00C91EE2"/>
    <w:rsid w:val="00CA5572"/>
    <w:rsid w:val="00CB607B"/>
    <w:rsid w:val="00CC2754"/>
    <w:rsid w:val="00CC44F1"/>
    <w:rsid w:val="00D07626"/>
    <w:rsid w:val="00D275CC"/>
    <w:rsid w:val="00D348C6"/>
    <w:rsid w:val="00D44EB4"/>
    <w:rsid w:val="00D546CC"/>
    <w:rsid w:val="00D57C62"/>
    <w:rsid w:val="00D767C4"/>
    <w:rsid w:val="00D77CF5"/>
    <w:rsid w:val="00DA34DC"/>
    <w:rsid w:val="00DB5146"/>
    <w:rsid w:val="00DF4E2D"/>
    <w:rsid w:val="00E014E2"/>
    <w:rsid w:val="00E20AD7"/>
    <w:rsid w:val="00E21E9A"/>
    <w:rsid w:val="00E332C0"/>
    <w:rsid w:val="00E33B68"/>
    <w:rsid w:val="00E36095"/>
    <w:rsid w:val="00E962C5"/>
    <w:rsid w:val="00EA3488"/>
    <w:rsid w:val="00EB5F7D"/>
    <w:rsid w:val="00EC589F"/>
    <w:rsid w:val="00EC66EE"/>
    <w:rsid w:val="00ED54F1"/>
    <w:rsid w:val="00EE0298"/>
    <w:rsid w:val="00EE5885"/>
    <w:rsid w:val="00EE6657"/>
    <w:rsid w:val="00F562CA"/>
    <w:rsid w:val="00F62561"/>
    <w:rsid w:val="00F648B5"/>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nhideWhenUsed/>
    <w:qFormat/>
    <w:rsid w:val="004C0103"/>
  </w:style>
  <w:style w:type="character" w:customStyle="1" w:styleId="CommentTextChar">
    <w:name w:val="Comment Text Char"/>
    <w:basedOn w:val="DefaultParagraphFont"/>
    <w:link w:val="CommentText"/>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basedOn w:val="DefaultParagraphFont"/>
    <w:uiPriority w:val="99"/>
    <w:unhideWhenUsed/>
    <w:rsid w:val="00666E56"/>
    <w:rPr>
      <w:color w:val="0000FF"/>
      <w:u w:val="single"/>
    </w:rPr>
  </w:style>
  <w:style w:type="character" w:styleId="UnresolvedMention">
    <w:name w:val="Unresolved Mention"/>
    <w:basedOn w:val="DefaultParagraphFont"/>
    <w:uiPriority w:val="99"/>
    <w:semiHidden/>
    <w:unhideWhenUsed/>
    <w:rsid w:val="0065372E"/>
    <w:rPr>
      <w:color w:val="605E5C"/>
      <w:shd w:val="clear" w:color="auto" w:fill="E1DFDD"/>
    </w:rPr>
  </w:style>
  <w:style w:type="paragraph" w:styleId="Revision">
    <w:name w:val="Revision"/>
    <w:hidden/>
    <w:uiPriority w:val="99"/>
    <w:semiHidden/>
    <w:rsid w:val="006A7E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4717">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3037554">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47473133">
      <w:bodyDiv w:val="1"/>
      <w:marLeft w:val="0"/>
      <w:marRight w:val="0"/>
      <w:marTop w:val="0"/>
      <w:marBottom w:val="0"/>
      <w:divBdr>
        <w:top w:val="none" w:sz="0" w:space="0" w:color="auto"/>
        <w:left w:val="none" w:sz="0" w:space="0" w:color="auto"/>
        <w:bottom w:val="none" w:sz="0" w:space="0" w:color="auto"/>
        <w:right w:val="none" w:sz="0" w:space="0" w:color="auto"/>
      </w:divBdr>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69393876">
      <w:bodyDiv w:val="1"/>
      <w:marLeft w:val="0"/>
      <w:marRight w:val="0"/>
      <w:marTop w:val="0"/>
      <w:marBottom w:val="0"/>
      <w:divBdr>
        <w:top w:val="none" w:sz="0" w:space="0" w:color="auto"/>
        <w:left w:val="none" w:sz="0" w:space="0" w:color="auto"/>
        <w:bottom w:val="none" w:sz="0" w:space="0" w:color="auto"/>
        <w:right w:val="none" w:sz="0" w:space="0" w:color="auto"/>
      </w:divBdr>
    </w:div>
    <w:div w:id="1330912262">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iromasa.umed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2020-08-07T06:12:00Z</dcterms:created>
  <dcterms:modified xsi:type="dcterms:W3CDTF">2020-08-07T11:50:00Z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2020-08-07T11:50:12.5274192Z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