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B2FEF" w14:textId="06FA40BE" w:rsidR="00F21F81" w:rsidRPr="005E7A3C" w:rsidRDefault="00F21F81" w:rsidP="00F21F81">
      <w:pPr>
        <w:pStyle w:val="CRCoverPage"/>
        <w:tabs>
          <w:tab w:val="right" w:pos="9639"/>
        </w:tabs>
        <w:spacing w:after="0"/>
        <w:rPr>
          <w:rFonts w:eastAsia="Times New Roman"/>
          <w:b/>
          <w:noProof/>
          <w:sz w:val="24"/>
        </w:rPr>
      </w:pPr>
      <w:bookmarkStart w:id="0" w:name="_Toc5938268"/>
      <w:bookmarkStart w:id="1" w:name="_Toc9865820"/>
      <w:r w:rsidRPr="005E7A3C">
        <w:rPr>
          <w:rFonts w:eastAsia="Times New Roman"/>
          <w:b/>
          <w:noProof/>
          <w:sz w:val="24"/>
        </w:rPr>
        <w:t>3GPP TSG-RAN WG4 Meeting #</w:t>
      </w:r>
      <w:r w:rsidR="00573894">
        <w:rPr>
          <w:rFonts w:eastAsia="Times New Roman"/>
          <w:b/>
          <w:noProof/>
          <w:sz w:val="24"/>
        </w:rPr>
        <w:t>95</w:t>
      </w:r>
      <w:r w:rsidR="00E3585D">
        <w:rPr>
          <w:rFonts w:eastAsia="Times New Roman"/>
          <w:b/>
          <w:noProof/>
          <w:sz w:val="24"/>
        </w:rPr>
        <w:t>-</w:t>
      </w:r>
      <w:r>
        <w:rPr>
          <w:rFonts w:eastAsia="Times New Roman"/>
          <w:b/>
          <w:noProof/>
          <w:sz w:val="24"/>
        </w:rPr>
        <w:t>e</w:t>
      </w:r>
      <w:r w:rsidRPr="005E7A3C">
        <w:rPr>
          <w:rFonts w:eastAsia="Times New Roman"/>
          <w:b/>
          <w:noProof/>
          <w:sz w:val="24"/>
        </w:rPr>
        <w:t xml:space="preserve"> </w:t>
      </w:r>
      <w:r w:rsidRPr="005E7A3C">
        <w:rPr>
          <w:rFonts w:eastAsia="Times New Roman"/>
          <w:b/>
          <w:noProof/>
          <w:sz w:val="24"/>
        </w:rPr>
        <w:tab/>
      </w:r>
      <w:r w:rsidR="000C435D">
        <w:rPr>
          <w:rFonts w:eastAsia="Times New Roman"/>
          <w:b/>
          <w:noProof/>
          <w:sz w:val="24"/>
        </w:rPr>
        <w:t xml:space="preserve">DRAFT    </w:t>
      </w:r>
      <w:r w:rsidRPr="005E7A3C">
        <w:rPr>
          <w:rFonts w:eastAsia="Times New Roman"/>
          <w:b/>
          <w:noProof/>
          <w:sz w:val="24"/>
        </w:rPr>
        <w:t>R4-</w:t>
      </w:r>
      <w:r>
        <w:rPr>
          <w:rFonts w:eastAsia="Times New Roman"/>
          <w:b/>
          <w:noProof/>
          <w:sz w:val="24"/>
        </w:rPr>
        <w:t>200</w:t>
      </w:r>
      <w:r w:rsidR="00D850F1">
        <w:rPr>
          <w:rFonts w:eastAsia="Times New Roman"/>
          <w:b/>
          <w:noProof/>
          <w:sz w:val="24"/>
        </w:rPr>
        <w:t>xxxx</w:t>
      </w:r>
      <w:bookmarkStart w:id="2" w:name="_GoBack"/>
      <w:bookmarkEnd w:id="2"/>
    </w:p>
    <w:p w14:paraId="015AD352" w14:textId="5DF8F53D" w:rsidR="00F21F81" w:rsidRDefault="00E3585D" w:rsidP="00F21F81">
      <w:pPr>
        <w:pStyle w:val="a"/>
        <w:rPr>
          <w:rFonts w:eastAsia="SimSun"/>
          <w:bCs w:val="0"/>
          <w:sz w:val="24"/>
          <w:lang w:eastAsia="zh-CN"/>
        </w:rPr>
      </w:pPr>
      <w:bookmarkStart w:id="3" w:name="OLE_LINK1"/>
      <w:bookmarkStart w:id="4" w:name="OLE_LINK2"/>
      <w:r>
        <w:rPr>
          <w:rFonts w:eastAsia="SimSun"/>
          <w:bCs w:val="0"/>
          <w:sz w:val="24"/>
          <w:lang w:eastAsia="zh-CN"/>
        </w:rPr>
        <w:t>Online, 25</w:t>
      </w:r>
      <w:r w:rsidR="00F21F81">
        <w:rPr>
          <w:rFonts w:eastAsia="SimSun"/>
          <w:bCs w:val="0"/>
          <w:sz w:val="24"/>
          <w:lang w:eastAsia="zh-CN"/>
        </w:rPr>
        <w:t xml:space="preserve"> </w:t>
      </w:r>
      <w:r>
        <w:rPr>
          <w:rFonts w:eastAsia="SimSun"/>
          <w:bCs w:val="0"/>
          <w:sz w:val="24"/>
          <w:lang w:eastAsia="zh-CN"/>
        </w:rPr>
        <w:t>May - 5</w:t>
      </w:r>
      <w:r w:rsidR="0029016E">
        <w:rPr>
          <w:rFonts w:eastAsia="SimSun"/>
          <w:bCs w:val="0"/>
          <w:sz w:val="24"/>
          <w:lang w:eastAsia="zh-CN"/>
        </w:rPr>
        <w:t xml:space="preserve"> </w:t>
      </w:r>
      <w:r>
        <w:rPr>
          <w:rFonts w:eastAsia="SimSun"/>
          <w:bCs w:val="0"/>
          <w:sz w:val="24"/>
          <w:lang w:eastAsia="zh-CN"/>
        </w:rPr>
        <w:t>Jun</w:t>
      </w:r>
      <w:r w:rsidR="00F21F81" w:rsidRPr="009F4EEE">
        <w:rPr>
          <w:rFonts w:eastAsia="SimSun"/>
          <w:bCs w:val="0"/>
          <w:sz w:val="24"/>
          <w:lang w:eastAsia="zh-CN"/>
        </w:rPr>
        <w:t xml:space="preserve"> 20</w:t>
      </w:r>
      <w:bookmarkEnd w:id="3"/>
      <w:bookmarkEnd w:id="4"/>
      <w:r w:rsidR="00F21F81">
        <w:rPr>
          <w:rFonts w:eastAsia="SimSun"/>
          <w:bCs w:val="0"/>
          <w:sz w:val="24"/>
          <w:lang w:eastAsia="zh-CN"/>
        </w:rPr>
        <w:t>20</w:t>
      </w:r>
    </w:p>
    <w:p w14:paraId="1B109EA5" w14:textId="77777777" w:rsidR="00A5625D" w:rsidRPr="005A5820" w:rsidRDefault="00A5625D" w:rsidP="00A5625D">
      <w:pPr>
        <w:pStyle w:val="a"/>
        <w:rPr>
          <w:rFonts w:eastAsia="SimSun"/>
          <w:sz w:val="24"/>
          <w:lang w:eastAsia="zh-CN"/>
        </w:rPr>
      </w:pPr>
    </w:p>
    <w:p w14:paraId="0AAA533D" w14:textId="77777777" w:rsidR="00D64225" w:rsidRPr="00EC2290" w:rsidRDefault="00D64225" w:rsidP="00D64225">
      <w:pPr>
        <w:tabs>
          <w:tab w:val="left" w:pos="1985"/>
        </w:tabs>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Pr="00CC1041">
        <w:rPr>
          <w:rFonts w:ascii="Arial" w:hAnsi="Arial" w:cs="Arial"/>
          <w:sz w:val="22"/>
        </w:rPr>
        <w:t>Huawei</w:t>
      </w:r>
    </w:p>
    <w:p w14:paraId="6FA007BD" w14:textId="361EC1D6" w:rsidR="00902558" w:rsidRDefault="00D64225" w:rsidP="00902558">
      <w:pPr>
        <w:ind w:left="1985" w:hanging="1985"/>
        <w:rPr>
          <w:rFonts w:ascii="Arial" w:hAnsi="Arial" w:cs="Arial"/>
          <w:sz w:val="22"/>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8F2CEB" w:rsidRPr="008F2CEB">
        <w:rPr>
          <w:rFonts w:ascii="Arial" w:hAnsi="Arial" w:cs="Arial"/>
          <w:sz w:val="22"/>
        </w:rPr>
        <w:t>WF on out of band CLTA maximum height</w:t>
      </w:r>
    </w:p>
    <w:p w14:paraId="3ACA12DB" w14:textId="4BB472B8" w:rsidR="00D64225" w:rsidRPr="007377A4" w:rsidRDefault="00D64225" w:rsidP="00902558">
      <w:pPr>
        <w:ind w:left="1985" w:hanging="1985"/>
        <w:rPr>
          <w:rFonts w:ascii="Arial" w:eastAsia="SimSun" w:hAnsi="Arial" w:cs="Arial"/>
          <w:sz w:val="22"/>
          <w:lang w:eastAsia="zh-CN"/>
        </w:rPr>
      </w:pPr>
      <w:r w:rsidRPr="007C2D23">
        <w:rPr>
          <w:rFonts w:ascii="Arial" w:hAnsi="Arial" w:cs="Arial"/>
          <w:b/>
          <w:sz w:val="22"/>
        </w:rPr>
        <w:t>Agen</w:t>
      </w:r>
      <w:r>
        <w:rPr>
          <w:rFonts w:ascii="Arial" w:eastAsia="SimSun" w:hAnsi="Arial" w:cs="Arial" w:hint="eastAsia"/>
          <w:b/>
          <w:sz w:val="22"/>
          <w:lang w:eastAsia="zh-CN"/>
        </w:rPr>
        <w:t>d</w:t>
      </w:r>
      <w:r w:rsidRPr="007C2D23">
        <w:rPr>
          <w:rFonts w:ascii="Arial" w:hAnsi="Arial" w:cs="Arial"/>
          <w:b/>
          <w:sz w:val="22"/>
        </w:rPr>
        <w:t>a Item:</w:t>
      </w:r>
      <w:r w:rsidRPr="007C2D23">
        <w:rPr>
          <w:rFonts w:ascii="Arial" w:hAnsi="Arial" w:cs="Arial"/>
          <w:sz w:val="22"/>
        </w:rPr>
        <w:tab/>
      </w:r>
      <w:r w:rsidR="00FE0FC5">
        <w:rPr>
          <w:rFonts w:ascii="Arial" w:hAnsi="Arial" w:cs="Arial"/>
          <w:sz w:val="22"/>
        </w:rPr>
        <w:t>4.7.3.</w:t>
      </w:r>
      <w:r w:rsidR="008F2CEB">
        <w:rPr>
          <w:rFonts w:ascii="Arial" w:hAnsi="Arial" w:cs="Arial"/>
          <w:sz w:val="22"/>
        </w:rPr>
        <w:t>1</w:t>
      </w:r>
    </w:p>
    <w:p w14:paraId="754225A9" w14:textId="2E34DD92" w:rsidR="00D64225" w:rsidRPr="00EC2290" w:rsidRDefault="00D64225" w:rsidP="00D64225">
      <w:pPr>
        <w:tabs>
          <w:tab w:val="left" w:pos="1985"/>
        </w:tabs>
        <w:jc w:val="both"/>
        <w:rPr>
          <w:rFonts w:ascii="Arial" w:eastAsia="SimSun" w:hAnsi="Arial" w:cs="Arial"/>
          <w:sz w:val="22"/>
          <w:lang w:eastAsia="zh-CN"/>
        </w:rPr>
      </w:pPr>
      <w:r w:rsidRPr="007C2D23">
        <w:rPr>
          <w:rFonts w:ascii="Arial" w:hAnsi="Arial" w:cs="Arial"/>
          <w:b/>
          <w:sz w:val="22"/>
        </w:rPr>
        <w:t>Document for:</w:t>
      </w:r>
      <w:r w:rsidRPr="007C2D23">
        <w:rPr>
          <w:rFonts w:ascii="Arial" w:hAnsi="Arial" w:cs="Arial"/>
          <w:sz w:val="22"/>
        </w:rPr>
        <w:tab/>
      </w:r>
      <w:r w:rsidR="008F2CEB">
        <w:rPr>
          <w:rFonts w:ascii="Arial" w:eastAsia="SimSun" w:hAnsi="Arial" w:cs="Arial"/>
          <w:sz w:val="22"/>
          <w:lang w:eastAsia="zh-CN"/>
        </w:rPr>
        <w:t>Approval</w:t>
      </w:r>
    </w:p>
    <w:bookmarkEnd w:id="0"/>
    <w:bookmarkEnd w:id="1"/>
    <w:p w14:paraId="7B117B1D" w14:textId="4D1FEA13" w:rsidR="000A7DD0" w:rsidRDefault="008F2CEB" w:rsidP="004D4F95">
      <w:pPr>
        <w:pStyle w:val="Heading1"/>
        <w:numPr>
          <w:ilvl w:val="0"/>
          <w:numId w:val="1"/>
        </w:numPr>
        <w:rPr>
          <w:rFonts w:eastAsia="SimSun"/>
        </w:rPr>
      </w:pPr>
      <w:r>
        <w:rPr>
          <w:rFonts w:eastAsia="SimSun"/>
        </w:rPr>
        <w:t>Background</w:t>
      </w:r>
    </w:p>
    <w:p w14:paraId="6DF81F27" w14:textId="086C325B" w:rsidR="00B21114" w:rsidRDefault="00B21114" w:rsidP="00A31E0C">
      <w:r>
        <w:t>The CLTA is defined as follows:</w:t>
      </w:r>
    </w:p>
    <w:p w14:paraId="43EBFA67" w14:textId="77777777" w:rsidR="00B21114" w:rsidRPr="004565D4" w:rsidRDefault="00B21114" w:rsidP="00B21114">
      <w:pPr>
        <w:pStyle w:val="TH"/>
      </w:pPr>
      <w:r w:rsidRPr="004565D4">
        <w:t>Table 4.12.2.2-1: CLTA characteristics</w:t>
      </w:r>
    </w:p>
    <w:tbl>
      <w:tblPr>
        <w:tblStyle w:val="Tabellengitternetz1"/>
        <w:tblW w:w="8930" w:type="dxa"/>
        <w:jc w:val="center"/>
        <w:tblLook w:val="04A0" w:firstRow="1" w:lastRow="0" w:firstColumn="1" w:lastColumn="0" w:noHBand="0" w:noVBand="1"/>
      </w:tblPr>
      <w:tblGrid>
        <w:gridCol w:w="3686"/>
        <w:gridCol w:w="2383"/>
        <w:gridCol w:w="2861"/>
      </w:tblGrid>
      <w:tr w:rsidR="00B21114" w:rsidRPr="004565D4" w14:paraId="679829B6" w14:textId="77777777" w:rsidTr="00A922D4">
        <w:trPr>
          <w:trHeight w:val="300"/>
          <w:jc w:val="center"/>
        </w:trPr>
        <w:tc>
          <w:tcPr>
            <w:tcW w:w="3686" w:type="dxa"/>
            <w:noWrap/>
            <w:hideMark/>
          </w:tcPr>
          <w:p w14:paraId="4EF20BAC" w14:textId="77777777" w:rsidR="00B21114" w:rsidRPr="004565D4" w:rsidRDefault="00B21114" w:rsidP="00A922D4">
            <w:pPr>
              <w:pStyle w:val="TAH"/>
              <w:rPr>
                <w:lang w:eastAsia="en-GB"/>
              </w:rPr>
            </w:pPr>
            <w:r w:rsidRPr="004565D4">
              <w:rPr>
                <w:lang w:eastAsia="en-GB"/>
              </w:rPr>
              <w:t>Parameter</w:t>
            </w:r>
          </w:p>
        </w:tc>
        <w:tc>
          <w:tcPr>
            <w:tcW w:w="2383" w:type="dxa"/>
            <w:noWrap/>
            <w:hideMark/>
          </w:tcPr>
          <w:p w14:paraId="36B69F8D" w14:textId="77777777" w:rsidR="00B21114" w:rsidRPr="004565D4" w:rsidRDefault="00B21114" w:rsidP="00A922D4">
            <w:pPr>
              <w:pStyle w:val="TAH"/>
              <w:rPr>
                <w:lang w:eastAsia="en-GB"/>
              </w:rPr>
            </w:pPr>
            <w:r w:rsidRPr="004565D4">
              <w:rPr>
                <w:lang w:eastAsia="en-GB"/>
              </w:rPr>
              <w:t>In-band CLTA</w:t>
            </w:r>
          </w:p>
        </w:tc>
        <w:tc>
          <w:tcPr>
            <w:tcW w:w="2861" w:type="dxa"/>
            <w:noWrap/>
            <w:hideMark/>
          </w:tcPr>
          <w:p w14:paraId="1713A470" w14:textId="77777777" w:rsidR="00B21114" w:rsidRPr="004565D4" w:rsidRDefault="00B21114" w:rsidP="00A922D4">
            <w:pPr>
              <w:pStyle w:val="TAH"/>
              <w:rPr>
                <w:lang w:eastAsia="en-GB"/>
              </w:rPr>
            </w:pPr>
            <w:r w:rsidRPr="004565D4">
              <w:rPr>
                <w:lang w:eastAsia="en-GB"/>
              </w:rPr>
              <w:t>Out-of-band CLTAs</w:t>
            </w:r>
          </w:p>
        </w:tc>
      </w:tr>
      <w:tr w:rsidR="00B21114" w:rsidRPr="004565D4" w14:paraId="407947D1" w14:textId="77777777" w:rsidTr="00A922D4">
        <w:trPr>
          <w:trHeight w:val="300"/>
          <w:jc w:val="center"/>
        </w:trPr>
        <w:tc>
          <w:tcPr>
            <w:tcW w:w="3686" w:type="dxa"/>
            <w:noWrap/>
            <w:hideMark/>
          </w:tcPr>
          <w:p w14:paraId="538520D4" w14:textId="77777777" w:rsidR="00B21114" w:rsidRPr="004565D4" w:rsidRDefault="00B21114" w:rsidP="00A922D4">
            <w:pPr>
              <w:pStyle w:val="TAL"/>
              <w:rPr>
                <w:lang w:eastAsia="en-GB"/>
              </w:rPr>
            </w:pPr>
            <w:r w:rsidRPr="004565D4">
              <w:rPr>
                <w:lang w:eastAsia="en-GB"/>
              </w:rPr>
              <w:t>Vertical radiating dimension</w:t>
            </w:r>
            <w:r w:rsidRPr="004565D4" w:rsidDel="00BE1878">
              <w:rPr>
                <w:lang w:eastAsia="en-GB"/>
              </w:rPr>
              <w:t xml:space="preserve"> </w:t>
            </w:r>
            <w:r w:rsidRPr="004565D4">
              <w:rPr>
                <w:lang w:eastAsia="en-GB"/>
              </w:rPr>
              <w:t>(h)</w:t>
            </w:r>
          </w:p>
        </w:tc>
        <w:tc>
          <w:tcPr>
            <w:tcW w:w="2383" w:type="dxa"/>
            <w:noWrap/>
            <w:hideMark/>
          </w:tcPr>
          <w:p w14:paraId="35494C91" w14:textId="77777777" w:rsidR="00B21114" w:rsidRPr="004565D4" w:rsidRDefault="00B21114" w:rsidP="00A922D4">
            <w:pPr>
              <w:pStyle w:val="TAC"/>
              <w:rPr>
                <w:lang w:eastAsia="en-GB"/>
              </w:rPr>
            </w:pPr>
            <w:r w:rsidRPr="004565D4">
              <w:rPr>
                <w:lang w:eastAsia="en-GB"/>
              </w:rPr>
              <w:t>Test object vertical radiating length ±30%</w:t>
            </w:r>
          </w:p>
        </w:tc>
        <w:tc>
          <w:tcPr>
            <w:tcW w:w="2861" w:type="dxa"/>
            <w:noWrap/>
            <w:hideMark/>
          </w:tcPr>
          <w:p w14:paraId="580B3190" w14:textId="77777777" w:rsidR="00B21114" w:rsidRPr="004565D4" w:rsidRDefault="00B21114" w:rsidP="00A922D4">
            <w:pPr>
              <w:pStyle w:val="TAC"/>
              <w:rPr>
                <w:lang w:eastAsia="en-GB"/>
              </w:rPr>
            </w:pPr>
            <w:r w:rsidRPr="004565D4">
              <w:rPr>
                <w:lang w:eastAsia="en-GB"/>
              </w:rPr>
              <w:t>N/A</w:t>
            </w:r>
          </w:p>
        </w:tc>
      </w:tr>
      <w:tr w:rsidR="00B21114" w:rsidRPr="004565D4" w14:paraId="0AA877E7" w14:textId="77777777" w:rsidTr="00A922D4">
        <w:trPr>
          <w:trHeight w:val="300"/>
          <w:jc w:val="center"/>
        </w:trPr>
        <w:tc>
          <w:tcPr>
            <w:tcW w:w="3686" w:type="dxa"/>
            <w:noWrap/>
            <w:hideMark/>
          </w:tcPr>
          <w:p w14:paraId="07C4E2FD" w14:textId="77777777" w:rsidR="00B21114" w:rsidRPr="004565D4" w:rsidRDefault="00B21114" w:rsidP="00A922D4">
            <w:pPr>
              <w:pStyle w:val="TAL"/>
              <w:rPr>
                <w:lang w:eastAsia="en-GB"/>
              </w:rPr>
            </w:pPr>
            <w:r w:rsidRPr="004565D4">
              <w:rPr>
                <w:lang w:eastAsia="en-GB"/>
              </w:rPr>
              <w:t>Horizontal beam width</w:t>
            </w:r>
          </w:p>
        </w:tc>
        <w:tc>
          <w:tcPr>
            <w:tcW w:w="2383" w:type="dxa"/>
            <w:noWrap/>
            <w:hideMark/>
          </w:tcPr>
          <w:p w14:paraId="2744B105" w14:textId="77777777" w:rsidR="00B21114" w:rsidRPr="004565D4" w:rsidRDefault="00B21114" w:rsidP="00A922D4">
            <w:pPr>
              <w:pStyle w:val="TAC"/>
              <w:rPr>
                <w:lang w:eastAsia="en-GB"/>
              </w:rPr>
            </w:pPr>
            <w:r w:rsidRPr="004565D4">
              <w:rPr>
                <w:lang w:eastAsia="en-GB"/>
              </w:rPr>
              <w:t>65° ± 10°</w:t>
            </w:r>
          </w:p>
        </w:tc>
        <w:tc>
          <w:tcPr>
            <w:tcW w:w="2861" w:type="dxa"/>
            <w:noWrap/>
            <w:hideMark/>
          </w:tcPr>
          <w:p w14:paraId="1147CDA2" w14:textId="77777777" w:rsidR="00B21114" w:rsidRPr="004565D4" w:rsidRDefault="00B21114" w:rsidP="00A922D4">
            <w:pPr>
              <w:pStyle w:val="TAC"/>
              <w:rPr>
                <w:lang w:eastAsia="en-GB"/>
              </w:rPr>
            </w:pPr>
            <w:r w:rsidRPr="004565D4">
              <w:rPr>
                <w:lang w:eastAsia="en-GB"/>
              </w:rPr>
              <w:t>65° ± 10°</w:t>
            </w:r>
          </w:p>
        </w:tc>
      </w:tr>
      <w:tr w:rsidR="00B21114" w:rsidRPr="004565D4" w14:paraId="231A5387" w14:textId="77777777" w:rsidTr="00A922D4">
        <w:trPr>
          <w:trHeight w:val="300"/>
          <w:jc w:val="center"/>
        </w:trPr>
        <w:tc>
          <w:tcPr>
            <w:tcW w:w="3686" w:type="dxa"/>
            <w:noWrap/>
            <w:hideMark/>
          </w:tcPr>
          <w:p w14:paraId="7C0C874C" w14:textId="77777777" w:rsidR="00B21114" w:rsidRPr="004565D4" w:rsidRDefault="00B21114" w:rsidP="00A922D4">
            <w:pPr>
              <w:pStyle w:val="TAL"/>
              <w:rPr>
                <w:lang w:eastAsia="en-GB"/>
              </w:rPr>
            </w:pPr>
            <w:r w:rsidRPr="004565D4">
              <w:rPr>
                <w:lang w:eastAsia="en-GB"/>
              </w:rPr>
              <w:t>Vertical beam width</w:t>
            </w:r>
          </w:p>
        </w:tc>
        <w:tc>
          <w:tcPr>
            <w:tcW w:w="2383" w:type="dxa"/>
            <w:noWrap/>
            <w:hideMark/>
          </w:tcPr>
          <w:p w14:paraId="07AF5929" w14:textId="77777777" w:rsidR="00B21114" w:rsidRPr="004565D4" w:rsidRDefault="00B21114" w:rsidP="00A922D4">
            <w:pPr>
              <w:pStyle w:val="TAC"/>
              <w:rPr>
                <w:lang w:eastAsia="en-GB"/>
              </w:rPr>
            </w:pPr>
            <w:r w:rsidRPr="004565D4">
              <w:rPr>
                <w:lang w:eastAsia="en-GB"/>
              </w:rPr>
              <w:t>N/A</w:t>
            </w:r>
          </w:p>
        </w:tc>
        <w:tc>
          <w:tcPr>
            <w:tcW w:w="2861" w:type="dxa"/>
            <w:noWrap/>
            <w:hideMark/>
          </w:tcPr>
          <w:p w14:paraId="6CFC38C2" w14:textId="77777777" w:rsidR="00B21114" w:rsidRPr="004565D4" w:rsidRDefault="00B21114" w:rsidP="00A922D4">
            <w:pPr>
              <w:pStyle w:val="TAC"/>
              <w:rPr>
                <w:lang w:eastAsia="en-GB"/>
              </w:rPr>
            </w:pPr>
            <w:r w:rsidRPr="004565D4">
              <w:rPr>
                <w:lang w:eastAsia="en-GB"/>
              </w:rPr>
              <w:t>The half-power vertical beam width of the CLTA equals the narrowest declared (D.3) vertical beamwidth ±3°</w:t>
            </w:r>
          </w:p>
        </w:tc>
      </w:tr>
      <w:tr w:rsidR="00B21114" w:rsidRPr="004565D4" w14:paraId="6D061423" w14:textId="77777777" w:rsidTr="00A922D4">
        <w:trPr>
          <w:trHeight w:val="300"/>
          <w:jc w:val="center"/>
        </w:trPr>
        <w:tc>
          <w:tcPr>
            <w:tcW w:w="3686" w:type="dxa"/>
            <w:noWrap/>
            <w:hideMark/>
          </w:tcPr>
          <w:p w14:paraId="44032EFF" w14:textId="77777777" w:rsidR="00B21114" w:rsidRPr="004565D4" w:rsidRDefault="00B21114" w:rsidP="00A922D4">
            <w:pPr>
              <w:pStyle w:val="TAL"/>
              <w:rPr>
                <w:lang w:eastAsia="en-GB"/>
              </w:rPr>
            </w:pPr>
            <w:r w:rsidRPr="004565D4">
              <w:rPr>
                <w:lang w:eastAsia="en-GB"/>
              </w:rPr>
              <w:t>Polarization</w:t>
            </w:r>
          </w:p>
        </w:tc>
        <w:tc>
          <w:tcPr>
            <w:tcW w:w="2383" w:type="dxa"/>
            <w:noWrap/>
            <w:hideMark/>
          </w:tcPr>
          <w:p w14:paraId="492EB504" w14:textId="77777777" w:rsidR="00B21114" w:rsidRPr="004565D4" w:rsidRDefault="00B21114" w:rsidP="00A922D4">
            <w:pPr>
              <w:pStyle w:val="TAC"/>
              <w:rPr>
                <w:lang w:eastAsia="en-GB"/>
              </w:rPr>
            </w:pPr>
            <w:r w:rsidRPr="004565D4">
              <w:rPr>
                <w:lang w:eastAsia="en-GB"/>
              </w:rPr>
              <w:t>Match</w:t>
            </w:r>
          </w:p>
        </w:tc>
        <w:tc>
          <w:tcPr>
            <w:tcW w:w="2861" w:type="dxa"/>
            <w:noWrap/>
            <w:hideMark/>
          </w:tcPr>
          <w:p w14:paraId="1FE34621" w14:textId="77777777" w:rsidR="00B21114" w:rsidRPr="004565D4" w:rsidRDefault="00B21114" w:rsidP="00A922D4">
            <w:pPr>
              <w:pStyle w:val="TAC"/>
              <w:rPr>
                <w:lang w:eastAsia="en-GB"/>
              </w:rPr>
            </w:pPr>
            <w:r w:rsidRPr="004565D4">
              <w:rPr>
                <w:lang w:eastAsia="en-GB"/>
              </w:rPr>
              <w:t>Match to in-band</w:t>
            </w:r>
          </w:p>
        </w:tc>
      </w:tr>
      <w:tr w:rsidR="00B21114" w:rsidRPr="004565D4" w14:paraId="106D1011" w14:textId="77777777" w:rsidTr="00A922D4">
        <w:trPr>
          <w:trHeight w:val="300"/>
          <w:jc w:val="center"/>
        </w:trPr>
        <w:tc>
          <w:tcPr>
            <w:tcW w:w="3686" w:type="dxa"/>
            <w:noWrap/>
            <w:hideMark/>
          </w:tcPr>
          <w:p w14:paraId="1D3F6CBE" w14:textId="77777777" w:rsidR="00B21114" w:rsidRPr="004565D4" w:rsidRDefault="00B21114" w:rsidP="00A922D4">
            <w:pPr>
              <w:pStyle w:val="TAL"/>
              <w:rPr>
                <w:lang w:eastAsia="en-GB"/>
              </w:rPr>
            </w:pPr>
            <w:r w:rsidRPr="004565D4">
              <w:rPr>
                <w:lang w:eastAsia="en-GB"/>
              </w:rPr>
              <w:t>Conducted interface return loss</w:t>
            </w:r>
          </w:p>
        </w:tc>
        <w:tc>
          <w:tcPr>
            <w:tcW w:w="2383" w:type="dxa"/>
            <w:noWrap/>
            <w:hideMark/>
          </w:tcPr>
          <w:p w14:paraId="253B6966" w14:textId="77777777" w:rsidR="00B21114" w:rsidRPr="004565D4" w:rsidRDefault="00B21114" w:rsidP="00A922D4">
            <w:pPr>
              <w:pStyle w:val="TAC"/>
              <w:rPr>
                <w:lang w:eastAsia="en-GB"/>
              </w:rPr>
            </w:pPr>
            <w:r w:rsidRPr="004565D4">
              <w:rPr>
                <w:lang w:eastAsia="en-GB"/>
              </w:rPr>
              <w:t>&gt; 10 dB</w:t>
            </w:r>
          </w:p>
        </w:tc>
        <w:tc>
          <w:tcPr>
            <w:tcW w:w="2861" w:type="dxa"/>
            <w:noWrap/>
            <w:hideMark/>
          </w:tcPr>
          <w:p w14:paraId="7347469E" w14:textId="77777777" w:rsidR="00B21114" w:rsidRPr="004565D4" w:rsidRDefault="00B21114" w:rsidP="00A922D4">
            <w:pPr>
              <w:pStyle w:val="TAC"/>
              <w:rPr>
                <w:lang w:eastAsia="en-GB"/>
              </w:rPr>
            </w:pPr>
            <w:r w:rsidRPr="004565D4">
              <w:rPr>
                <w:lang w:eastAsia="en-GB"/>
              </w:rPr>
              <w:t>&gt; 10 dB</w:t>
            </w:r>
          </w:p>
        </w:tc>
      </w:tr>
      <w:tr w:rsidR="00B21114" w:rsidRPr="004565D4" w14:paraId="0C6D1780" w14:textId="77777777" w:rsidTr="00A922D4">
        <w:trPr>
          <w:trHeight w:val="300"/>
          <w:jc w:val="center"/>
        </w:trPr>
        <w:tc>
          <w:tcPr>
            <w:tcW w:w="8930" w:type="dxa"/>
            <w:gridSpan w:val="3"/>
            <w:noWrap/>
            <w:hideMark/>
          </w:tcPr>
          <w:p w14:paraId="430E089C" w14:textId="77777777" w:rsidR="00B21114" w:rsidRPr="004565D4" w:rsidRDefault="00B21114" w:rsidP="00A922D4">
            <w:pPr>
              <w:pStyle w:val="TAN"/>
              <w:rPr>
                <w:rFonts w:ascii="Calibri" w:hAnsi="Calibri"/>
                <w:sz w:val="22"/>
                <w:szCs w:val="22"/>
                <w:lang w:eastAsia="en-GB"/>
              </w:rPr>
            </w:pPr>
            <w:r w:rsidRPr="004565D4">
              <w:t>NOTE: If a multi-column or multi-band antenna is used the column closest to the NR BS shall be selected while other columns are terminated during testing.</w:t>
            </w:r>
          </w:p>
        </w:tc>
      </w:tr>
    </w:tbl>
    <w:p w14:paraId="53348B7D" w14:textId="62D01287" w:rsidR="00165F90" w:rsidRDefault="00885CD1" w:rsidP="00A31E0C">
      <w:r>
        <w:t>.</w:t>
      </w:r>
    </w:p>
    <w:p w14:paraId="5C63C06E" w14:textId="0CA76DB2" w:rsidR="008F2CEB" w:rsidRDefault="008F2CEB" w:rsidP="00A31E0C">
      <w:r>
        <w:rPr>
          <w:rFonts w:hint="eastAsia"/>
        </w:rPr>
        <w:t>I</w:t>
      </w:r>
      <w:r>
        <w:t>n [1] the issue was raised that for low frequency out of band operating bands using the vertical bema width to defined the antenna vertical dimensions can result in unfeasible test antenna characteristics</w:t>
      </w:r>
    </w:p>
    <w:p w14:paraId="3384844E" w14:textId="51189FD9" w:rsidR="00616806" w:rsidRDefault="00616806" w:rsidP="00A31E0C">
      <w:pPr>
        <w:rPr>
          <w:lang w:val="en-US"/>
        </w:rPr>
      </w:pPr>
      <w:r>
        <w:rPr>
          <w:lang w:val="en-US"/>
        </w:rPr>
        <w:t>for example:</w:t>
      </w:r>
    </w:p>
    <w:p w14:paraId="1E9C38D1" w14:textId="77777777" w:rsidR="00616806" w:rsidRDefault="00616806" w:rsidP="00616806">
      <w:pPr>
        <w:ind w:firstLine="284"/>
        <w:rPr>
          <w:lang w:val="en-US"/>
        </w:rPr>
      </w:pPr>
      <w:r>
        <w:rPr>
          <w:lang w:val="en-US"/>
        </w:rPr>
        <w:t xml:space="preserve">at 1GHz this doubles to 2.16m </w:t>
      </w:r>
    </w:p>
    <w:p w14:paraId="32FF0C88" w14:textId="6A3C6724" w:rsidR="00B21114" w:rsidRDefault="00616806" w:rsidP="00616806">
      <w:pPr>
        <w:ind w:firstLine="284"/>
        <w:rPr>
          <w:lang w:val="en-US"/>
        </w:rPr>
      </w:pPr>
      <w:r>
        <w:rPr>
          <w:lang w:val="en-US"/>
        </w:rPr>
        <w:t>at 450MHz this is almost 5m.</w:t>
      </w:r>
    </w:p>
    <w:p w14:paraId="232CC163" w14:textId="75160AA4" w:rsidR="00B21114" w:rsidRDefault="00616806" w:rsidP="00A31E0C">
      <w:pPr>
        <w:rPr>
          <w:lang w:val="en-US"/>
        </w:rPr>
      </w:pPr>
      <w:r>
        <w:rPr>
          <w:lang w:val="en-US"/>
        </w:rPr>
        <w:t>The intention of the co-location requirements (and the subsequent CLTA definition) was to protect against worst case interference scenarios in the field. It is assumed that if 2 systems are co-located then they will be used in a similar scenario and hence have similar output power and similar antennas. Co-location requirements are written under this assumption.</w:t>
      </w:r>
    </w:p>
    <w:p w14:paraId="0E27F745" w14:textId="3A86C38D" w:rsidR="008F2CEB" w:rsidRDefault="008F2CEB" w:rsidP="008F2CEB">
      <w:pPr>
        <w:pStyle w:val="Heading1"/>
        <w:numPr>
          <w:ilvl w:val="0"/>
          <w:numId w:val="1"/>
        </w:numPr>
        <w:rPr>
          <w:lang w:val="en-US"/>
        </w:rPr>
      </w:pPr>
      <w:r>
        <w:rPr>
          <w:lang w:val="en-US"/>
        </w:rPr>
        <w:t>Way Forward</w:t>
      </w:r>
    </w:p>
    <w:p w14:paraId="2652334C" w14:textId="3C85E26C" w:rsidR="008F2CEB" w:rsidRPr="008F2CEB" w:rsidRDefault="008F2CEB" w:rsidP="008F2CEB">
      <w:pPr>
        <w:rPr>
          <w:lang w:val="en-US"/>
        </w:rPr>
      </w:pPr>
      <w:r>
        <w:rPr>
          <w:rFonts w:hint="eastAsia"/>
        </w:rPr>
        <w:t>F</w:t>
      </w:r>
      <w:r>
        <w:t>or this meeting it is premature to agree the correct modifications to the CLTA definition to solve this issue however it can be agreed that action is needed.</w:t>
      </w:r>
    </w:p>
    <w:p w14:paraId="27D6631F" w14:textId="0951E887" w:rsidR="008F2CEB" w:rsidRDefault="008F2CEB" w:rsidP="008F2CEB">
      <w:pPr>
        <w:ind w:leftChars="100" w:left="200"/>
        <w:rPr>
          <w:lang w:val="en-US"/>
        </w:rPr>
      </w:pPr>
      <w:r w:rsidRPr="008F2CEB">
        <w:rPr>
          <w:b/>
          <w:lang w:val="en-US"/>
        </w:rPr>
        <w:t>Proposal 1:</w:t>
      </w:r>
      <w:r>
        <w:rPr>
          <w:lang w:val="en-US"/>
        </w:rPr>
        <w:t xml:space="preserve"> The CLTA description is modified to allow a practical implementation when different operating bands require vastly different height antennas.</w:t>
      </w:r>
    </w:p>
    <w:p w14:paraId="774C2A57" w14:textId="5088E094" w:rsidR="008F2CEB" w:rsidRDefault="00686B18" w:rsidP="00A31E0C">
      <w:pPr>
        <w:rPr>
          <w:lang w:val="en-US"/>
        </w:rPr>
      </w:pPr>
      <w:r>
        <w:rPr>
          <w:rFonts w:hint="eastAsia"/>
          <w:lang w:val="en-US"/>
        </w:rPr>
        <w:t>T</w:t>
      </w:r>
      <w:r>
        <w:rPr>
          <w:lang w:val="en-US"/>
        </w:rPr>
        <w:t>here are 2 issues which need to be clarified with the current definition for out of band CLTA</w:t>
      </w:r>
    </w:p>
    <w:p w14:paraId="40E2FA6A" w14:textId="77777777" w:rsidR="00686B18" w:rsidRPr="00686B18" w:rsidRDefault="00686B18" w:rsidP="00686B18">
      <w:pPr>
        <w:pStyle w:val="ListParagraph"/>
        <w:numPr>
          <w:ilvl w:val="0"/>
          <w:numId w:val="4"/>
        </w:numPr>
        <w:rPr>
          <w:rFonts w:ascii="Times New Roman" w:hAnsi="Times New Roman" w:cs="Times New Roman"/>
          <w:sz w:val="18"/>
          <w:szCs w:val="18"/>
        </w:rPr>
      </w:pPr>
      <w:r w:rsidRPr="00686B18">
        <w:rPr>
          <w:rFonts w:ascii="Times New Roman" w:hAnsi="Times New Roman" w:cs="Times New Roman"/>
          <w:sz w:val="18"/>
          <w:szCs w:val="18"/>
        </w:rPr>
        <w:t>The practical size of a CLTA</w:t>
      </w:r>
    </w:p>
    <w:p w14:paraId="778469BB" w14:textId="4127F57E" w:rsidR="00686B18" w:rsidRPr="000C435D" w:rsidRDefault="00686B18" w:rsidP="000C435D">
      <w:pPr>
        <w:pStyle w:val="ListParagraph"/>
        <w:numPr>
          <w:ilvl w:val="1"/>
          <w:numId w:val="4"/>
        </w:numPr>
        <w:rPr>
          <w:rFonts w:ascii="Times New Roman" w:hAnsi="Times New Roman" w:cs="Times New Roman"/>
          <w:sz w:val="18"/>
          <w:szCs w:val="18"/>
        </w:rPr>
      </w:pPr>
      <w:r w:rsidRPr="00686B18">
        <w:rPr>
          <w:rFonts w:ascii="Times New Roman" w:hAnsi="Times New Roman" w:cs="Times New Roman"/>
          <w:sz w:val="18"/>
          <w:szCs w:val="18"/>
        </w:rPr>
        <w:t>Can</w:t>
      </w:r>
      <w:r>
        <w:rPr>
          <w:rFonts w:ascii="Times New Roman" w:hAnsi="Times New Roman" w:cs="Times New Roman"/>
          <w:sz w:val="18"/>
          <w:szCs w:val="18"/>
        </w:rPr>
        <w:t xml:space="preserve"> </w:t>
      </w:r>
      <w:r w:rsidR="000C435D" w:rsidRPr="000C435D">
        <w:rPr>
          <w:rFonts w:ascii="Times New Roman" w:hAnsi="Times New Roman" w:cs="Times New Roman"/>
          <w:sz w:val="18"/>
          <w:szCs w:val="18"/>
        </w:rPr>
        <w:t>it</w:t>
      </w:r>
      <w:r w:rsidRPr="000C435D">
        <w:rPr>
          <w:rFonts w:ascii="Times New Roman" w:hAnsi="Times New Roman" w:cs="Times New Roman"/>
          <w:sz w:val="18"/>
          <w:szCs w:val="18"/>
        </w:rPr>
        <w:t xml:space="preserve"> fit into a chamber etc..</w:t>
      </w:r>
    </w:p>
    <w:p w14:paraId="2C3BA3BC" w14:textId="1D402290" w:rsidR="00686B18" w:rsidRPr="00686B18" w:rsidRDefault="00686B18" w:rsidP="00686B18">
      <w:pPr>
        <w:pStyle w:val="ListParagraph"/>
        <w:numPr>
          <w:ilvl w:val="0"/>
          <w:numId w:val="4"/>
        </w:numPr>
        <w:rPr>
          <w:rFonts w:ascii="Times New Roman" w:hAnsi="Times New Roman" w:cs="Times New Roman"/>
          <w:sz w:val="18"/>
          <w:szCs w:val="18"/>
        </w:rPr>
      </w:pPr>
      <w:r w:rsidRPr="00686B18">
        <w:rPr>
          <w:rFonts w:ascii="Times New Roman" w:hAnsi="Times New Roman" w:cs="Times New Roman"/>
          <w:sz w:val="18"/>
          <w:szCs w:val="18"/>
        </w:rPr>
        <w:t>The availability and practicality of the CLTA</w:t>
      </w:r>
    </w:p>
    <w:p w14:paraId="407AB3B2" w14:textId="44299019" w:rsidR="00686B18" w:rsidRPr="00686B18" w:rsidRDefault="00686B18" w:rsidP="00686B18">
      <w:pPr>
        <w:pStyle w:val="ListParagraph"/>
        <w:numPr>
          <w:ilvl w:val="1"/>
          <w:numId w:val="4"/>
        </w:numPr>
        <w:rPr>
          <w:rFonts w:ascii="Times New Roman" w:hAnsi="Times New Roman" w:cs="Times New Roman"/>
          <w:sz w:val="18"/>
          <w:szCs w:val="18"/>
        </w:rPr>
      </w:pPr>
      <w:r w:rsidRPr="00686B18">
        <w:rPr>
          <w:rFonts w:ascii="Times New Roman" w:hAnsi="Times New Roman" w:cs="Times New Roman"/>
          <w:sz w:val="18"/>
          <w:szCs w:val="18"/>
        </w:rPr>
        <w:t>Are passive antennas available that match the definition</w:t>
      </w:r>
    </w:p>
    <w:p w14:paraId="538627D9" w14:textId="77777777" w:rsidR="00686B18" w:rsidRDefault="00686B18" w:rsidP="00A31E0C">
      <w:pPr>
        <w:rPr>
          <w:lang w:val="en-US"/>
        </w:rPr>
      </w:pPr>
      <w:r>
        <w:rPr>
          <w:lang w:val="en-US"/>
        </w:rPr>
        <w:lastRenderedPageBreak/>
        <w:t>The issue must be considered for both lower frequency out of band CLTA but also higher frequency CLTA.</w:t>
      </w:r>
    </w:p>
    <w:p w14:paraId="4FE15A09" w14:textId="0121951D" w:rsidR="00686B18" w:rsidRDefault="00686B18" w:rsidP="00A31E0C">
      <w:pPr>
        <w:rPr>
          <w:lang w:val="en-US"/>
        </w:rPr>
      </w:pPr>
      <w:r>
        <w:rPr>
          <w:lang w:val="en-US"/>
        </w:rPr>
        <w:t>Possible options for modification include:</w:t>
      </w:r>
    </w:p>
    <w:p w14:paraId="121B6557" w14:textId="5673D4F0" w:rsidR="00686B18" w:rsidRPr="00686B18" w:rsidRDefault="00686B18" w:rsidP="00686B18">
      <w:pPr>
        <w:pStyle w:val="ListParagraph"/>
        <w:numPr>
          <w:ilvl w:val="0"/>
          <w:numId w:val="5"/>
        </w:numPr>
        <w:rPr>
          <w:rFonts w:ascii="Times New Roman" w:hAnsi="Times New Roman" w:cs="Times New Roman"/>
          <w:sz w:val="20"/>
          <w:szCs w:val="20"/>
        </w:rPr>
      </w:pPr>
      <w:r w:rsidRPr="00686B18">
        <w:rPr>
          <w:rFonts w:ascii="Times New Roman" w:hAnsi="Times New Roman" w:cs="Times New Roman"/>
          <w:sz w:val="20"/>
          <w:szCs w:val="20"/>
        </w:rPr>
        <w:t>Use a height based limit (similar to the in band definition)</w:t>
      </w:r>
    </w:p>
    <w:p w14:paraId="2B3BB029" w14:textId="3DA6F363" w:rsidR="00686B18" w:rsidRPr="00686B18" w:rsidRDefault="00686B18" w:rsidP="00686B18">
      <w:pPr>
        <w:pStyle w:val="ListParagraph"/>
        <w:numPr>
          <w:ilvl w:val="0"/>
          <w:numId w:val="5"/>
        </w:numPr>
        <w:rPr>
          <w:rFonts w:ascii="Times New Roman" w:hAnsi="Times New Roman" w:cs="Times New Roman"/>
          <w:sz w:val="20"/>
          <w:szCs w:val="20"/>
        </w:rPr>
      </w:pPr>
      <w:r w:rsidRPr="00686B18">
        <w:rPr>
          <w:rFonts w:ascii="Times New Roman" w:hAnsi="Times New Roman" w:cs="Times New Roman"/>
          <w:sz w:val="20"/>
          <w:szCs w:val="20"/>
        </w:rPr>
        <w:t xml:space="preserve">Use both the beam width and the height based definitions </w:t>
      </w:r>
    </w:p>
    <w:p w14:paraId="4565D582" w14:textId="5EEBBD4E" w:rsidR="00686B18" w:rsidRPr="00686B18" w:rsidRDefault="00686B18" w:rsidP="00686B18">
      <w:pPr>
        <w:pStyle w:val="ListParagraph"/>
        <w:numPr>
          <w:ilvl w:val="1"/>
          <w:numId w:val="5"/>
        </w:numPr>
        <w:rPr>
          <w:rFonts w:ascii="Times New Roman" w:hAnsi="Times New Roman" w:cs="Times New Roman"/>
          <w:sz w:val="20"/>
          <w:szCs w:val="20"/>
        </w:rPr>
      </w:pPr>
      <w:r w:rsidRPr="00686B18">
        <w:rPr>
          <w:rFonts w:ascii="Times New Roman" w:hAnsi="Times New Roman" w:cs="Times New Roman"/>
          <w:sz w:val="20"/>
          <w:szCs w:val="20"/>
        </w:rPr>
        <w:t>allow tester to select the CLTA based on test antenna availability</w:t>
      </w:r>
    </w:p>
    <w:p w14:paraId="0354952E" w14:textId="7132F2EA" w:rsidR="00686B18" w:rsidRDefault="00686B18" w:rsidP="00686B18">
      <w:pPr>
        <w:pStyle w:val="ListParagraph"/>
        <w:numPr>
          <w:ilvl w:val="0"/>
          <w:numId w:val="5"/>
        </w:numPr>
        <w:rPr>
          <w:rFonts w:ascii="Times New Roman" w:hAnsi="Times New Roman" w:cs="Times New Roman"/>
          <w:sz w:val="20"/>
          <w:szCs w:val="20"/>
        </w:rPr>
      </w:pPr>
      <w:r w:rsidRPr="00686B18">
        <w:rPr>
          <w:rFonts w:ascii="Times New Roman" w:hAnsi="Times New Roman" w:cs="Times New Roman"/>
          <w:sz w:val="20"/>
          <w:szCs w:val="20"/>
        </w:rPr>
        <w:t>Use height based for lower frequencies and beam-width based for higher frequencies</w:t>
      </w:r>
    </w:p>
    <w:p w14:paraId="3F864659" w14:textId="6CD33129" w:rsidR="00686B18" w:rsidRDefault="00686B18" w:rsidP="00686B18">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Include a frequency based parameter to the beam width definition</w:t>
      </w:r>
    </w:p>
    <w:p w14:paraId="0E6B5558" w14:textId="56BA6052" w:rsidR="000C435D" w:rsidRPr="00686B18" w:rsidRDefault="000C435D" w:rsidP="000C435D">
      <w:pPr>
        <w:pStyle w:val="ListParagraph"/>
        <w:numPr>
          <w:ilvl w:val="1"/>
          <w:numId w:val="5"/>
        </w:numPr>
        <w:rPr>
          <w:rFonts w:ascii="Times New Roman" w:hAnsi="Times New Roman" w:cs="Times New Roman"/>
          <w:sz w:val="20"/>
          <w:szCs w:val="20"/>
        </w:rPr>
      </w:pPr>
      <w:r>
        <w:rPr>
          <w:rFonts w:ascii="Times New Roman" w:hAnsi="Times New Roman" w:cs="Times New Roman"/>
          <w:sz w:val="20"/>
          <w:szCs w:val="20"/>
        </w:rPr>
        <w:t>E.g.</w:t>
      </w:r>
      <w:r w:rsidRPr="000C435D">
        <w:rPr>
          <w:rFonts w:ascii="Times New Roman" w:hAnsi="Times New Roman" w:cs="Times New Roman"/>
          <w:sz w:val="20"/>
          <w:szCs w:val="20"/>
        </w:rPr>
        <w:t xml:space="preserve"> </w:t>
      </w:r>
      <w:r w:rsidRPr="000C435D">
        <w:rPr>
          <w:rFonts w:ascii="Times New Roman" w:hAnsi="Times New Roman" w:cs="Times New Roman"/>
          <w:sz w:val="20"/>
          <w:szCs w:val="20"/>
          <w:lang w:eastAsia="en-GB"/>
        </w:rPr>
        <w:t>±3°*f</w:t>
      </w:r>
      <w:r w:rsidRPr="000C435D">
        <w:rPr>
          <w:rFonts w:ascii="Times New Roman" w:hAnsi="Times New Roman" w:cs="Times New Roman"/>
          <w:sz w:val="20"/>
          <w:szCs w:val="20"/>
          <w:vertAlign w:val="subscript"/>
          <w:lang w:eastAsia="en-GB"/>
        </w:rPr>
        <w:t>inband</w:t>
      </w:r>
      <w:r w:rsidRPr="000C435D">
        <w:rPr>
          <w:rFonts w:ascii="Times New Roman" w:hAnsi="Times New Roman" w:cs="Times New Roman"/>
          <w:sz w:val="20"/>
          <w:szCs w:val="20"/>
          <w:lang w:eastAsia="en-GB"/>
        </w:rPr>
        <w:t>/f</w:t>
      </w:r>
      <w:r w:rsidRPr="000C435D">
        <w:rPr>
          <w:rFonts w:ascii="Times New Roman" w:hAnsi="Times New Roman" w:cs="Times New Roman"/>
          <w:sz w:val="20"/>
          <w:szCs w:val="20"/>
          <w:vertAlign w:val="subscript"/>
          <w:lang w:eastAsia="en-GB"/>
        </w:rPr>
        <w:t>CLTA</w:t>
      </w:r>
    </w:p>
    <w:p w14:paraId="30923A8D" w14:textId="0AB2FB49" w:rsidR="00686B18" w:rsidRPr="00686B18" w:rsidRDefault="00686B18" w:rsidP="00686B18">
      <w:pPr>
        <w:pStyle w:val="ListParagraph"/>
        <w:numPr>
          <w:ilvl w:val="0"/>
          <w:numId w:val="5"/>
        </w:numPr>
        <w:rPr>
          <w:rFonts w:ascii="Times New Roman" w:hAnsi="Times New Roman" w:cs="Times New Roman"/>
          <w:sz w:val="20"/>
          <w:szCs w:val="20"/>
        </w:rPr>
      </w:pPr>
      <w:r w:rsidRPr="00686B18">
        <w:rPr>
          <w:rFonts w:ascii="Times New Roman" w:hAnsi="Times New Roman" w:cs="Times New Roman"/>
          <w:sz w:val="20"/>
          <w:szCs w:val="20"/>
        </w:rPr>
        <w:t>Other..</w:t>
      </w:r>
    </w:p>
    <w:p w14:paraId="41543D4F" w14:textId="77777777" w:rsidR="000C435D" w:rsidRDefault="000C435D" w:rsidP="00A31E0C">
      <w:pPr>
        <w:rPr>
          <w:lang w:val="en-US"/>
        </w:rPr>
      </w:pPr>
    </w:p>
    <w:p w14:paraId="75EEAACE" w14:textId="1D2C2355" w:rsidR="000C435D" w:rsidRDefault="000C435D" w:rsidP="00A31E0C">
      <w:pPr>
        <w:rPr>
          <w:lang w:val="en-US"/>
        </w:rPr>
      </w:pPr>
      <w:r>
        <w:rPr>
          <w:rFonts w:hint="eastAsia"/>
          <w:lang w:val="en-US"/>
        </w:rPr>
        <w:t>T</w:t>
      </w:r>
      <w:r>
        <w:rPr>
          <w:lang w:val="en-US"/>
        </w:rPr>
        <w:t>he list is intended at this stage as ideas only and alternative ideas are encouraged</w:t>
      </w:r>
    </w:p>
    <w:p w14:paraId="4A9DFAE9" w14:textId="28CF9B51" w:rsidR="00686B18" w:rsidRDefault="00686B18" w:rsidP="00A31E0C">
      <w:pPr>
        <w:rPr>
          <w:lang w:val="en-US"/>
        </w:rPr>
      </w:pPr>
      <w:r>
        <w:rPr>
          <w:rFonts w:hint="eastAsia"/>
          <w:lang w:val="en-US"/>
        </w:rPr>
        <w:t>C</w:t>
      </w:r>
      <w:r>
        <w:rPr>
          <w:lang w:val="en-US"/>
        </w:rPr>
        <w:t>ompanies are encouraged to submit proposals for how this issue may be solved for the next meeting</w:t>
      </w:r>
    </w:p>
    <w:p w14:paraId="1974B869" w14:textId="6DC0E6D2" w:rsidR="003C32D4" w:rsidRDefault="003C32D4" w:rsidP="004D4F95">
      <w:pPr>
        <w:pStyle w:val="Heading1"/>
        <w:numPr>
          <w:ilvl w:val="0"/>
          <w:numId w:val="1"/>
        </w:numPr>
      </w:pPr>
      <w:r>
        <w:rPr>
          <w:rFonts w:hint="eastAsia"/>
        </w:rPr>
        <w:t>R</w:t>
      </w:r>
      <w:r>
        <w:t>eferences</w:t>
      </w:r>
    </w:p>
    <w:p w14:paraId="6254BDD9" w14:textId="6B759A2F" w:rsidR="008F2CEB" w:rsidRPr="008F2CEB" w:rsidRDefault="008F2CEB" w:rsidP="008F2CEB">
      <w:r>
        <w:rPr>
          <w:rFonts w:hint="eastAsia"/>
        </w:rPr>
        <w:t>[1]</w:t>
      </w:r>
      <w:r>
        <w:tab/>
      </w:r>
      <w:r w:rsidRPr="008F2CEB">
        <w:t>R4-2007916</w:t>
      </w:r>
      <w:r>
        <w:tab/>
      </w:r>
      <w:r w:rsidRPr="008F2CEB">
        <w:t>Discussion on out of band CLTA maximum height</w:t>
      </w:r>
      <w:r>
        <w:tab/>
        <w:t>Huawei</w:t>
      </w:r>
    </w:p>
    <w:sectPr w:rsidR="008F2CEB" w:rsidRPr="008F2CEB">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7BBC8F" w16cid:durableId="20235230"/>
  <w16cid:commentId w16cid:paraId="44FD8986" w16cid:durableId="20235231"/>
  <w16cid:commentId w16cid:paraId="1664F22C" w16cid:durableId="202356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5A7B8" w14:textId="77777777" w:rsidR="007D6E3D" w:rsidRDefault="007D6E3D">
      <w:r>
        <w:separator/>
      </w:r>
    </w:p>
  </w:endnote>
  <w:endnote w:type="continuationSeparator" w:id="0">
    <w:p w14:paraId="3712A97F" w14:textId="77777777" w:rsidR="007D6E3D" w:rsidRDefault="007D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1F355" w14:textId="77777777" w:rsidR="007D6E3D" w:rsidRDefault="007D6E3D">
      <w:r>
        <w:separator/>
      </w:r>
    </w:p>
  </w:footnote>
  <w:footnote w:type="continuationSeparator" w:id="0">
    <w:p w14:paraId="4B441E83" w14:textId="77777777" w:rsidR="007D6E3D" w:rsidRDefault="007D6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 w15:restartNumberingAfterBreak="0">
    <w:nsid w:val="3DC204CF"/>
    <w:multiLevelType w:val="hybridMultilevel"/>
    <w:tmpl w:val="DC02E5E4"/>
    <w:lvl w:ilvl="0" w:tplc="C3147B34">
      <w:start w:val="33"/>
      <w:numFmt w:val="bullet"/>
      <w:lvlText w:val="-"/>
      <w:lvlJc w:val="left"/>
      <w:pPr>
        <w:ind w:left="645" w:hanging="360"/>
      </w:pPr>
      <w:rPr>
        <w:rFonts w:ascii="Times New Roman" w:eastAsiaTheme="minorEastAsia"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 w15:restartNumberingAfterBreak="0">
    <w:nsid w:val="494E0B18"/>
    <w:multiLevelType w:val="hybridMultilevel"/>
    <w:tmpl w:val="A9827452"/>
    <w:lvl w:ilvl="0" w:tplc="04090001">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15:restartNumberingAfterBreak="0">
    <w:nsid w:val="4A210DD8"/>
    <w:multiLevelType w:val="hybridMultilevel"/>
    <w:tmpl w:val="EE5A825C"/>
    <w:lvl w:ilvl="0" w:tplc="7B62FE1A">
      <w:start w:val="1"/>
      <w:numFmt w:val="decimal"/>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 w15:restartNumberingAfterBreak="0">
    <w:nsid w:val="55D04E5F"/>
    <w:multiLevelType w:val="hybridMultilevel"/>
    <w:tmpl w:val="5C22047A"/>
    <w:lvl w:ilvl="0" w:tplc="B888AD50">
      <w:start w:val="1"/>
      <w:numFmt w:val="decimal"/>
      <w:lvlText w:val="%1."/>
      <w:lvlJc w:val="left"/>
      <w:pPr>
        <w:ind w:left="645" w:hanging="360"/>
      </w:pPr>
      <w:rPr>
        <w:rFonts w:hint="default"/>
      </w:rPr>
    </w:lvl>
    <w:lvl w:ilvl="1" w:tplc="04090019">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0"/>
  </w:num>
  <w:num w:numId="2">
    <w:abstractNumId w:val="1"/>
  </w:num>
  <w:num w:numId="3">
    <w:abstractNumId w:val="3"/>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6518"/>
    <w:rsid w:val="00012527"/>
    <w:rsid w:val="00015FBE"/>
    <w:rsid w:val="0002191D"/>
    <w:rsid w:val="000266A0"/>
    <w:rsid w:val="00031C1D"/>
    <w:rsid w:val="000322CD"/>
    <w:rsid w:val="00034CE8"/>
    <w:rsid w:val="00036F4C"/>
    <w:rsid w:val="00056887"/>
    <w:rsid w:val="000671EE"/>
    <w:rsid w:val="0007612B"/>
    <w:rsid w:val="00085221"/>
    <w:rsid w:val="00087F56"/>
    <w:rsid w:val="00093E7E"/>
    <w:rsid w:val="000A7DD0"/>
    <w:rsid w:val="000B5956"/>
    <w:rsid w:val="000C435D"/>
    <w:rsid w:val="000C6E1F"/>
    <w:rsid w:val="000D435B"/>
    <w:rsid w:val="000D5B15"/>
    <w:rsid w:val="000D6CFC"/>
    <w:rsid w:val="000D7CB9"/>
    <w:rsid w:val="000E2B01"/>
    <w:rsid w:val="000E3591"/>
    <w:rsid w:val="000E51ED"/>
    <w:rsid w:val="00101B3D"/>
    <w:rsid w:val="00103185"/>
    <w:rsid w:val="001047B7"/>
    <w:rsid w:val="0010732A"/>
    <w:rsid w:val="001208C3"/>
    <w:rsid w:val="001269BC"/>
    <w:rsid w:val="00144609"/>
    <w:rsid w:val="00153528"/>
    <w:rsid w:val="001568A9"/>
    <w:rsid w:val="001604CD"/>
    <w:rsid w:val="00165F90"/>
    <w:rsid w:val="00171DF3"/>
    <w:rsid w:val="001761B2"/>
    <w:rsid w:val="00191FD0"/>
    <w:rsid w:val="001A08AA"/>
    <w:rsid w:val="001A3120"/>
    <w:rsid w:val="001A51E3"/>
    <w:rsid w:val="001A7E04"/>
    <w:rsid w:val="001B256C"/>
    <w:rsid w:val="001B2F0C"/>
    <w:rsid w:val="001B306F"/>
    <w:rsid w:val="001B627A"/>
    <w:rsid w:val="001C3A35"/>
    <w:rsid w:val="001C53E5"/>
    <w:rsid w:val="001C5C71"/>
    <w:rsid w:val="001D5E31"/>
    <w:rsid w:val="001D635C"/>
    <w:rsid w:val="001E135B"/>
    <w:rsid w:val="00212373"/>
    <w:rsid w:val="002138EA"/>
    <w:rsid w:val="00214FBD"/>
    <w:rsid w:val="00222897"/>
    <w:rsid w:val="00233269"/>
    <w:rsid w:val="00235394"/>
    <w:rsid w:val="0023738A"/>
    <w:rsid w:val="00253510"/>
    <w:rsid w:val="0025557B"/>
    <w:rsid w:val="00257D7D"/>
    <w:rsid w:val="002613BF"/>
    <w:rsid w:val="0026179F"/>
    <w:rsid w:val="00274E1A"/>
    <w:rsid w:val="00275C58"/>
    <w:rsid w:val="0027731D"/>
    <w:rsid w:val="002806BB"/>
    <w:rsid w:val="00282213"/>
    <w:rsid w:val="00285262"/>
    <w:rsid w:val="00287385"/>
    <w:rsid w:val="0028752F"/>
    <w:rsid w:val="0029016E"/>
    <w:rsid w:val="002C1ACE"/>
    <w:rsid w:val="002C6647"/>
    <w:rsid w:val="002D64B4"/>
    <w:rsid w:val="002E7C37"/>
    <w:rsid w:val="002F4093"/>
    <w:rsid w:val="003076EE"/>
    <w:rsid w:val="00307EEA"/>
    <w:rsid w:val="00307FE3"/>
    <w:rsid w:val="00312074"/>
    <w:rsid w:val="00324C71"/>
    <w:rsid w:val="003252D8"/>
    <w:rsid w:val="00327A96"/>
    <w:rsid w:val="0033563F"/>
    <w:rsid w:val="00342E32"/>
    <w:rsid w:val="003450C4"/>
    <w:rsid w:val="003473D0"/>
    <w:rsid w:val="00352B40"/>
    <w:rsid w:val="003547E6"/>
    <w:rsid w:val="003602AF"/>
    <w:rsid w:val="00360D36"/>
    <w:rsid w:val="00362AE4"/>
    <w:rsid w:val="00367724"/>
    <w:rsid w:val="00373BEF"/>
    <w:rsid w:val="0037650E"/>
    <w:rsid w:val="00377081"/>
    <w:rsid w:val="003855D7"/>
    <w:rsid w:val="00393DA8"/>
    <w:rsid w:val="003943E2"/>
    <w:rsid w:val="00396594"/>
    <w:rsid w:val="003A54B2"/>
    <w:rsid w:val="003B2363"/>
    <w:rsid w:val="003B3240"/>
    <w:rsid w:val="003B405C"/>
    <w:rsid w:val="003C127C"/>
    <w:rsid w:val="003C1CF6"/>
    <w:rsid w:val="003C32D4"/>
    <w:rsid w:val="003D7224"/>
    <w:rsid w:val="003E0755"/>
    <w:rsid w:val="003E4B1C"/>
    <w:rsid w:val="003F0FF2"/>
    <w:rsid w:val="004104BD"/>
    <w:rsid w:val="00416DA7"/>
    <w:rsid w:val="004219AB"/>
    <w:rsid w:val="00425DC9"/>
    <w:rsid w:val="00430980"/>
    <w:rsid w:val="00440BB1"/>
    <w:rsid w:val="00444225"/>
    <w:rsid w:val="00450ADA"/>
    <w:rsid w:val="004836DA"/>
    <w:rsid w:val="00486547"/>
    <w:rsid w:val="00494025"/>
    <w:rsid w:val="004A17C7"/>
    <w:rsid w:val="004B3A0A"/>
    <w:rsid w:val="004B5C8E"/>
    <w:rsid w:val="004B73DB"/>
    <w:rsid w:val="004C3CE5"/>
    <w:rsid w:val="004C4342"/>
    <w:rsid w:val="004D4F95"/>
    <w:rsid w:val="004D71B0"/>
    <w:rsid w:val="004D7A3C"/>
    <w:rsid w:val="004F7A3D"/>
    <w:rsid w:val="00500ADB"/>
    <w:rsid w:val="00505BFA"/>
    <w:rsid w:val="00505F46"/>
    <w:rsid w:val="00513582"/>
    <w:rsid w:val="00517471"/>
    <w:rsid w:val="00522E0F"/>
    <w:rsid w:val="00542158"/>
    <w:rsid w:val="005421E4"/>
    <w:rsid w:val="005425EF"/>
    <w:rsid w:val="005530AA"/>
    <w:rsid w:val="00573894"/>
    <w:rsid w:val="00574154"/>
    <w:rsid w:val="00583B03"/>
    <w:rsid w:val="005858AA"/>
    <w:rsid w:val="00595980"/>
    <w:rsid w:val="005B0171"/>
    <w:rsid w:val="005C33E9"/>
    <w:rsid w:val="005D1D8B"/>
    <w:rsid w:val="005E3BCA"/>
    <w:rsid w:val="005F4883"/>
    <w:rsid w:val="006073B3"/>
    <w:rsid w:val="00613DE1"/>
    <w:rsid w:val="00614C3C"/>
    <w:rsid w:val="00616806"/>
    <w:rsid w:val="00620DBC"/>
    <w:rsid w:val="0062377C"/>
    <w:rsid w:val="00632875"/>
    <w:rsid w:val="00633224"/>
    <w:rsid w:val="00634D04"/>
    <w:rsid w:val="00641F74"/>
    <w:rsid w:val="00642BEA"/>
    <w:rsid w:val="00645857"/>
    <w:rsid w:val="00650D90"/>
    <w:rsid w:val="006657D5"/>
    <w:rsid w:val="0068057B"/>
    <w:rsid w:val="006856E5"/>
    <w:rsid w:val="00686B18"/>
    <w:rsid w:val="00696140"/>
    <w:rsid w:val="006B0D02"/>
    <w:rsid w:val="006B3304"/>
    <w:rsid w:val="006B4324"/>
    <w:rsid w:val="006B7184"/>
    <w:rsid w:val="006C1D31"/>
    <w:rsid w:val="006D2CB3"/>
    <w:rsid w:val="006D3D53"/>
    <w:rsid w:val="00703205"/>
    <w:rsid w:val="0070646B"/>
    <w:rsid w:val="007066FA"/>
    <w:rsid w:val="0070677D"/>
    <w:rsid w:val="00707941"/>
    <w:rsid w:val="00711F5E"/>
    <w:rsid w:val="0071287E"/>
    <w:rsid w:val="00722929"/>
    <w:rsid w:val="007247D5"/>
    <w:rsid w:val="00726ABE"/>
    <w:rsid w:val="0073182D"/>
    <w:rsid w:val="00731930"/>
    <w:rsid w:val="00733573"/>
    <w:rsid w:val="007350F6"/>
    <w:rsid w:val="00742737"/>
    <w:rsid w:val="00751982"/>
    <w:rsid w:val="007552FB"/>
    <w:rsid w:val="007651E3"/>
    <w:rsid w:val="00766A77"/>
    <w:rsid w:val="0078144D"/>
    <w:rsid w:val="00793BA1"/>
    <w:rsid w:val="007A72E9"/>
    <w:rsid w:val="007A794E"/>
    <w:rsid w:val="007B6162"/>
    <w:rsid w:val="007B6D18"/>
    <w:rsid w:val="007B6D70"/>
    <w:rsid w:val="007C1BCF"/>
    <w:rsid w:val="007C2BC8"/>
    <w:rsid w:val="007D6048"/>
    <w:rsid w:val="007D6E3D"/>
    <w:rsid w:val="007E376C"/>
    <w:rsid w:val="007E54CD"/>
    <w:rsid w:val="007E59AE"/>
    <w:rsid w:val="007E6A3B"/>
    <w:rsid w:val="007F055F"/>
    <w:rsid w:val="007F0E1E"/>
    <w:rsid w:val="007F4253"/>
    <w:rsid w:val="007F6103"/>
    <w:rsid w:val="007F62EA"/>
    <w:rsid w:val="00803F95"/>
    <w:rsid w:val="00812D42"/>
    <w:rsid w:val="008165EB"/>
    <w:rsid w:val="008239B4"/>
    <w:rsid w:val="00823E1D"/>
    <w:rsid w:val="00832EC2"/>
    <w:rsid w:val="00836C44"/>
    <w:rsid w:val="00844063"/>
    <w:rsid w:val="00853E16"/>
    <w:rsid w:val="00867FC7"/>
    <w:rsid w:val="008717AB"/>
    <w:rsid w:val="00873725"/>
    <w:rsid w:val="00885CD1"/>
    <w:rsid w:val="008873FB"/>
    <w:rsid w:val="0089240B"/>
    <w:rsid w:val="00893454"/>
    <w:rsid w:val="00893DD9"/>
    <w:rsid w:val="00895EC8"/>
    <w:rsid w:val="008B6EE0"/>
    <w:rsid w:val="008B77DD"/>
    <w:rsid w:val="008C59C4"/>
    <w:rsid w:val="008C60E9"/>
    <w:rsid w:val="008C6746"/>
    <w:rsid w:val="008C7A0B"/>
    <w:rsid w:val="008D3724"/>
    <w:rsid w:val="008D4165"/>
    <w:rsid w:val="008D6505"/>
    <w:rsid w:val="008F2CEB"/>
    <w:rsid w:val="008F7D93"/>
    <w:rsid w:val="00900976"/>
    <w:rsid w:val="0090245D"/>
    <w:rsid w:val="00902558"/>
    <w:rsid w:val="00904A82"/>
    <w:rsid w:val="00911FD0"/>
    <w:rsid w:val="0092124A"/>
    <w:rsid w:val="009246C1"/>
    <w:rsid w:val="009250A3"/>
    <w:rsid w:val="00927470"/>
    <w:rsid w:val="00931702"/>
    <w:rsid w:val="00931F09"/>
    <w:rsid w:val="0093235B"/>
    <w:rsid w:val="00940B14"/>
    <w:rsid w:val="00946169"/>
    <w:rsid w:val="00951AE4"/>
    <w:rsid w:val="00952FA0"/>
    <w:rsid w:val="0095460F"/>
    <w:rsid w:val="00961F97"/>
    <w:rsid w:val="00970A09"/>
    <w:rsid w:val="00976C55"/>
    <w:rsid w:val="00980247"/>
    <w:rsid w:val="00983910"/>
    <w:rsid w:val="0098598B"/>
    <w:rsid w:val="009868CB"/>
    <w:rsid w:val="00986C06"/>
    <w:rsid w:val="0099497B"/>
    <w:rsid w:val="00996D3C"/>
    <w:rsid w:val="00997615"/>
    <w:rsid w:val="009A37B6"/>
    <w:rsid w:val="009A56E4"/>
    <w:rsid w:val="009B2AFC"/>
    <w:rsid w:val="009B2E99"/>
    <w:rsid w:val="009B3F92"/>
    <w:rsid w:val="009B3F98"/>
    <w:rsid w:val="009C0727"/>
    <w:rsid w:val="009C330C"/>
    <w:rsid w:val="009C3926"/>
    <w:rsid w:val="009D0AB1"/>
    <w:rsid w:val="009D1CC7"/>
    <w:rsid w:val="009D39C5"/>
    <w:rsid w:val="009D3C34"/>
    <w:rsid w:val="009D564B"/>
    <w:rsid w:val="009F180A"/>
    <w:rsid w:val="009F5663"/>
    <w:rsid w:val="009F5923"/>
    <w:rsid w:val="009F65F1"/>
    <w:rsid w:val="009F6754"/>
    <w:rsid w:val="00A01CA7"/>
    <w:rsid w:val="00A033F1"/>
    <w:rsid w:val="00A04968"/>
    <w:rsid w:val="00A1648E"/>
    <w:rsid w:val="00A17573"/>
    <w:rsid w:val="00A205A9"/>
    <w:rsid w:val="00A31E0C"/>
    <w:rsid w:val="00A54223"/>
    <w:rsid w:val="00A5625D"/>
    <w:rsid w:val="00A623E9"/>
    <w:rsid w:val="00A63A9C"/>
    <w:rsid w:val="00A65439"/>
    <w:rsid w:val="00A7278E"/>
    <w:rsid w:val="00A72864"/>
    <w:rsid w:val="00A81B15"/>
    <w:rsid w:val="00A835D7"/>
    <w:rsid w:val="00A85DBC"/>
    <w:rsid w:val="00A9364F"/>
    <w:rsid w:val="00A96C36"/>
    <w:rsid w:val="00AA1ACA"/>
    <w:rsid w:val="00AA5DED"/>
    <w:rsid w:val="00AB3F85"/>
    <w:rsid w:val="00AC694F"/>
    <w:rsid w:val="00AD091A"/>
    <w:rsid w:val="00AD6C47"/>
    <w:rsid w:val="00AD6E1C"/>
    <w:rsid w:val="00AD7B11"/>
    <w:rsid w:val="00AE5E8E"/>
    <w:rsid w:val="00AE64B3"/>
    <w:rsid w:val="00AE6BBA"/>
    <w:rsid w:val="00AE778F"/>
    <w:rsid w:val="00AF3220"/>
    <w:rsid w:val="00B12D97"/>
    <w:rsid w:val="00B159D5"/>
    <w:rsid w:val="00B21114"/>
    <w:rsid w:val="00B21530"/>
    <w:rsid w:val="00B250A2"/>
    <w:rsid w:val="00B25DE0"/>
    <w:rsid w:val="00B26517"/>
    <w:rsid w:val="00B306F1"/>
    <w:rsid w:val="00B373D3"/>
    <w:rsid w:val="00B43095"/>
    <w:rsid w:val="00B53FE2"/>
    <w:rsid w:val="00B579B9"/>
    <w:rsid w:val="00B65641"/>
    <w:rsid w:val="00B663E1"/>
    <w:rsid w:val="00B72448"/>
    <w:rsid w:val="00B72691"/>
    <w:rsid w:val="00B746E7"/>
    <w:rsid w:val="00B75969"/>
    <w:rsid w:val="00B8446C"/>
    <w:rsid w:val="00B8514D"/>
    <w:rsid w:val="00B85CA4"/>
    <w:rsid w:val="00B96A86"/>
    <w:rsid w:val="00BA3EC1"/>
    <w:rsid w:val="00BA723E"/>
    <w:rsid w:val="00BA7A28"/>
    <w:rsid w:val="00BB1E7F"/>
    <w:rsid w:val="00BB63C0"/>
    <w:rsid w:val="00BC47D8"/>
    <w:rsid w:val="00BD6420"/>
    <w:rsid w:val="00BF52AB"/>
    <w:rsid w:val="00C03D6B"/>
    <w:rsid w:val="00C16C39"/>
    <w:rsid w:val="00C24B2F"/>
    <w:rsid w:val="00C27797"/>
    <w:rsid w:val="00C3068F"/>
    <w:rsid w:val="00C33600"/>
    <w:rsid w:val="00C34B0C"/>
    <w:rsid w:val="00C37EA9"/>
    <w:rsid w:val="00C43C6E"/>
    <w:rsid w:val="00C51828"/>
    <w:rsid w:val="00C54F16"/>
    <w:rsid w:val="00C55C02"/>
    <w:rsid w:val="00C602F1"/>
    <w:rsid w:val="00C72303"/>
    <w:rsid w:val="00C732D5"/>
    <w:rsid w:val="00C80450"/>
    <w:rsid w:val="00C841E3"/>
    <w:rsid w:val="00C8473B"/>
    <w:rsid w:val="00CB2802"/>
    <w:rsid w:val="00CB58F9"/>
    <w:rsid w:val="00CB76A8"/>
    <w:rsid w:val="00CC00F0"/>
    <w:rsid w:val="00CC0A92"/>
    <w:rsid w:val="00CC2547"/>
    <w:rsid w:val="00CC4027"/>
    <w:rsid w:val="00CC410F"/>
    <w:rsid w:val="00CD0627"/>
    <w:rsid w:val="00CD325E"/>
    <w:rsid w:val="00CE1BE6"/>
    <w:rsid w:val="00CE5967"/>
    <w:rsid w:val="00CE627D"/>
    <w:rsid w:val="00CE6E30"/>
    <w:rsid w:val="00CF61C0"/>
    <w:rsid w:val="00CF7BED"/>
    <w:rsid w:val="00D005DC"/>
    <w:rsid w:val="00D04E92"/>
    <w:rsid w:val="00D115EA"/>
    <w:rsid w:val="00D122C0"/>
    <w:rsid w:val="00D20744"/>
    <w:rsid w:val="00D2097A"/>
    <w:rsid w:val="00D233BA"/>
    <w:rsid w:val="00D2486E"/>
    <w:rsid w:val="00D32B25"/>
    <w:rsid w:val="00D34E20"/>
    <w:rsid w:val="00D3707F"/>
    <w:rsid w:val="00D41BEE"/>
    <w:rsid w:val="00D50AE9"/>
    <w:rsid w:val="00D510B7"/>
    <w:rsid w:val="00D520E4"/>
    <w:rsid w:val="00D57DFA"/>
    <w:rsid w:val="00D625B3"/>
    <w:rsid w:val="00D64225"/>
    <w:rsid w:val="00D72BC9"/>
    <w:rsid w:val="00D73C0E"/>
    <w:rsid w:val="00D756B6"/>
    <w:rsid w:val="00D850F1"/>
    <w:rsid w:val="00D8669A"/>
    <w:rsid w:val="00D873AC"/>
    <w:rsid w:val="00D91919"/>
    <w:rsid w:val="00D92FE0"/>
    <w:rsid w:val="00DA0F3D"/>
    <w:rsid w:val="00DC0640"/>
    <w:rsid w:val="00DD0C2C"/>
    <w:rsid w:val="00DF7083"/>
    <w:rsid w:val="00E12EB7"/>
    <w:rsid w:val="00E13055"/>
    <w:rsid w:val="00E13A4A"/>
    <w:rsid w:val="00E24717"/>
    <w:rsid w:val="00E24FE0"/>
    <w:rsid w:val="00E25C05"/>
    <w:rsid w:val="00E31856"/>
    <w:rsid w:val="00E3585D"/>
    <w:rsid w:val="00E417C4"/>
    <w:rsid w:val="00E510D4"/>
    <w:rsid w:val="00E52F3B"/>
    <w:rsid w:val="00E55ABC"/>
    <w:rsid w:val="00E57B74"/>
    <w:rsid w:val="00E677DC"/>
    <w:rsid w:val="00E72D9D"/>
    <w:rsid w:val="00E73A60"/>
    <w:rsid w:val="00E7697D"/>
    <w:rsid w:val="00E77A9C"/>
    <w:rsid w:val="00E8629F"/>
    <w:rsid w:val="00E8690F"/>
    <w:rsid w:val="00E90178"/>
    <w:rsid w:val="00E96009"/>
    <w:rsid w:val="00E96535"/>
    <w:rsid w:val="00EA3C24"/>
    <w:rsid w:val="00EB37D2"/>
    <w:rsid w:val="00EB3BDE"/>
    <w:rsid w:val="00EB5789"/>
    <w:rsid w:val="00EC0173"/>
    <w:rsid w:val="00EC49B6"/>
    <w:rsid w:val="00ED04DF"/>
    <w:rsid w:val="00EE370E"/>
    <w:rsid w:val="00EE41ED"/>
    <w:rsid w:val="00EE587A"/>
    <w:rsid w:val="00EE65ED"/>
    <w:rsid w:val="00EF2512"/>
    <w:rsid w:val="00EF7683"/>
    <w:rsid w:val="00F00DE1"/>
    <w:rsid w:val="00F019DA"/>
    <w:rsid w:val="00F072D8"/>
    <w:rsid w:val="00F14AF8"/>
    <w:rsid w:val="00F21F81"/>
    <w:rsid w:val="00F22A25"/>
    <w:rsid w:val="00F25D2D"/>
    <w:rsid w:val="00F30686"/>
    <w:rsid w:val="00F331D1"/>
    <w:rsid w:val="00F4067C"/>
    <w:rsid w:val="00F414FE"/>
    <w:rsid w:val="00F452AE"/>
    <w:rsid w:val="00F62826"/>
    <w:rsid w:val="00F63459"/>
    <w:rsid w:val="00F636DB"/>
    <w:rsid w:val="00F6636D"/>
    <w:rsid w:val="00F6718A"/>
    <w:rsid w:val="00F75719"/>
    <w:rsid w:val="00F821F0"/>
    <w:rsid w:val="00F85286"/>
    <w:rsid w:val="00F859B5"/>
    <w:rsid w:val="00F91D25"/>
    <w:rsid w:val="00FB7064"/>
    <w:rsid w:val="00FC051F"/>
    <w:rsid w:val="00FC2177"/>
    <w:rsid w:val="00FC5E1A"/>
    <w:rsid w:val="00FD5616"/>
    <w:rsid w:val="00FE0E93"/>
    <w:rsid w:val="00FE0FC5"/>
    <w:rsid w:val="00FE4CA6"/>
    <w:rsid w:val="00FF4F73"/>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A11EC"/>
  <w15:chartTrackingRefBased/>
  <w15:docId w15:val="{6E132DFD-7D1A-4AC7-831E-2C1B21DD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Heading 14,Heading 141,Heading 142,subsub"/>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alloonText">
    <w:name w:val="Balloon Text"/>
    <w:basedOn w:val="Normal"/>
    <w:link w:val="BalloonTextChar"/>
    <w:rsid w:val="00AE5E8E"/>
    <w:pPr>
      <w:spacing w:after="0"/>
    </w:pPr>
    <w:rPr>
      <w:rFonts w:ascii="Segoe UI" w:hAnsi="Segoe UI" w:cs="Segoe UI"/>
      <w:sz w:val="18"/>
      <w:szCs w:val="18"/>
    </w:rPr>
  </w:style>
  <w:style w:type="character" w:customStyle="1" w:styleId="BalloonTextChar">
    <w:name w:val="Balloon Text Char"/>
    <w:basedOn w:val="DefaultParagraphFont"/>
    <w:link w:val="BalloonText"/>
    <w:rsid w:val="00AE5E8E"/>
    <w:rPr>
      <w:rFonts w:ascii="Segoe UI" w:hAnsi="Segoe UI" w:cs="Segoe UI"/>
      <w:sz w:val="18"/>
      <w:szCs w:val="18"/>
      <w:lang w:val="en-GB" w:eastAsia="en-US"/>
    </w:rPr>
  </w:style>
  <w:style w:type="character" w:customStyle="1" w:styleId="B1Char">
    <w:name w:val="B1 Char"/>
    <w:link w:val="B1"/>
    <w:qFormat/>
    <w:rsid w:val="003F0FF2"/>
    <w:rPr>
      <w:lang w:val="en-GB" w:eastAsia="en-US"/>
    </w:rPr>
  </w:style>
  <w:style w:type="character" w:customStyle="1" w:styleId="THChar">
    <w:name w:val="TH Char"/>
    <w:link w:val="TH"/>
    <w:qFormat/>
    <w:rsid w:val="003F0FF2"/>
    <w:rPr>
      <w:rFonts w:ascii="Arial" w:hAnsi="Arial"/>
      <w:b/>
      <w:lang w:val="en-GB" w:eastAsia="en-US"/>
    </w:rPr>
  </w:style>
  <w:style w:type="character" w:customStyle="1" w:styleId="TANChar">
    <w:name w:val="TAN Char"/>
    <w:link w:val="TAN"/>
    <w:qFormat/>
    <w:rsid w:val="003F0FF2"/>
    <w:rPr>
      <w:rFonts w:ascii="Arial" w:hAnsi="Arial"/>
      <w:sz w:val="18"/>
      <w:lang w:val="en-GB" w:eastAsia="en-US"/>
    </w:rPr>
  </w:style>
  <w:style w:type="character" w:customStyle="1" w:styleId="Artref">
    <w:name w:val="Art_ref"/>
    <w:rsid w:val="003F0FF2"/>
  </w:style>
  <w:style w:type="character" w:customStyle="1" w:styleId="Tablefreq">
    <w:name w:val="Table_freq"/>
    <w:rsid w:val="003F0FF2"/>
    <w:rPr>
      <w:b/>
      <w:color w:val="auto"/>
      <w:sz w:val="20"/>
    </w:rPr>
  </w:style>
  <w:style w:type="paragraph" w:customStyle="1" w:styleId="TableTextS5">
    <w:name w:val="Table_TextS5"/>
    <w:basedOn w:val="Normal"/>
    <w:rsid w:val="003F0FF2"/>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AD7B11"/>
    <w:pPr>
      <w:spacing w:after="0"/>
      <w:ind w:left="720"/>
    </w:pPr>
    <w:rPr>
      <w:rFonts w:ascii="Calibri" w:hAnsi="Calibri" w:cs="Calibri"/>
      <w:sz w:val="24"/>
      <w:szCs w:val="24"/>
      <w:lang w:val="en-US" w:eastAsia="zh-CN"/>
    </w:rPr>
  </w:style>
  <w:style w:type="table" w:styleId="TableGrid">
    <w:name w:val="Table Grid"/>
    <w:basedOn w:val="TableNormal"/>
    <w:rsid w:val="00AD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2EC2"/>
    <w:rPr>
      <w:b/>
      <w:bCs/>
    </w:rPr>
  </w:style>
  <w:style w:type="character" w:customStyle="1" w:styleId="CommentTextChar">
    <w:name w:val="Comment Text Char"/>
    <w:basedOn w:val="DefaultParagraphFont"/>
    <w:link w:val="CommentText"/>
    <w:semiHidden/>
    <w:rsid w:val="00832EC2"/>
    <w:rPr>
      <w:lang w:val="en-GB" w:eastAsia="en-US"/>
    </w:rPr>
  </w:style>
  <w:style w:type="character" w:customStyle="1" w:styleId="CommentSubjectChar">
    <w:name w:val="Comment Subject Char"/>
    <w:basedOn w:val="CommentTextChar"/>
    <w:link w:val="CommentSubject"/>
    <w:rsid w:val="00832EC2"/>
    <w:rPr>
      <w:b/>
      <w:bCs/>
      <w:lang w:val="en-GB" w:eastAsia="en-US"/>
    </w:rPr>
  </w:style>
  <w:style w:type="paragraph" w:styleId="Revision">
    <w:name w:val="Revision"/>
    <w:hidden/>
    <w:uiPriority w:val="99"/>
    <w:semiHidden/>
    <w:rsid w:val="00AA5DED"/>
    <w:rPr>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72BC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0245D"/>
    <w:rPr>
      <w:rFonts w:ascii="Arial" w:hAnsi="Arial"/>
      <w:sz w:val="24"/>
      <w:lang w:val="en-GB" w:eastAsia="en-US"/>
    </w:rPr>
  </w:style>
  <w:style w:type="character" w:customStyle="1" w:styleId="EXChar">
    <w:name w:val="EX Char"/>
    <w:link w:val="EX"/>
    <w:rsid w:val="00E510D4"/>
    <w:rPr>
      <w:lang w:val="en-GB" w:eastAsia="en-US"/>
    </w:rPr>
  </w:style>
  <w:style w:type="character" w:customStyle="1" w:styleId="NOChar">
    <w:name w:val="NO Char"/>
    <w:basedOn w:val="DefaultParagraphFont"/>
    <w:link w:val="NO"/>
    <w:qFormat/>
    <w:rsid w:val="00E510D4"/>
    <w:rPr>
      <w:lang w:val="en-GB" w:eastAsia="en-US"/>
    </w:rPr>
  </w:style>
  <w:style w:type="character" w:customStyle="1" w:styleId="TACChar">
    <w:name w:val="TAC Char"/>
    <w:link w:val="TAC"/>
    <w:qFormat/>
    <w:rsid w:val="00E510D4"/>
    <w:rPr>
      <w:rFonts w:ascii="Arial" w:hAnsi="Arial"/>
      <w:sz w:val="18"/>
      <w:lang w:val="en-GB" w:eastAsia="en-US"/>
    </w:rPr>
  </w:style>
  <w:style w:type="character" w:customStyle="1" w:styleId="TAHCar">
    <w:name w:val="TAH Car"/>
    <w:link w:val="TAH"/>
    <w:qFormat/>
    <w:rsid w:val="00E510D4"/>
    <w:rPr>
      <w:rFonts w:ascii="Arial" w:hAnsi="Arial"/>
      <w:b/>
      <w:sz w:val="18"/>
      <w:lang w:val="en-GB" w:eastAsia="en-US"/>
    </w:rPr>
  </w:style>
  <w:style w:type="character" w:customStyle="1" w:styleId="TFChar">
    <w:name w:val="TF Char"/>
    <w:link w:val="TF"/>
    <w:qFormat/>
    <w:rsid w:val="00E510D4"/>
    <w:rPr>
      <w:rFonts w:ascii="Arial" w:hAnsi="Arial"/>
      <w:b/>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D64225"/>
    <w:rPr>
      <w:rFonts w:ascii="Arial" w:hAnsi="Arial"/>
      <w:b/>
      <w:noProof/>
      <w:sz w:val="18"/>
      <w:lang w:val="en-GB" w:eastAsia="en-US"/>
    </w:rPr>
  </w:style>
  <w:style w:type="paragraph" w:customStyle="1" w:styleId="a">
    <w:name w:val="样式 页眉"/>
    <w:basedOn w:val="Header"/>
    <w:link w:val="Char"/>
    <w:rsid w:val="00D64225"/>
    <w:pPr>
      <w:overflowPunct w:val="0"/>
      <w:autoSpaceDE w:val="0"/>
      <w:autoSpaceDN w:val="0"/>
      <w:adjustRightInd w:val="0"/>
      <w:textAlignment w:val="baseline"/>
    </w:pPr>
    <w:rPr>
      <w:rFonts w:eastAsia="Arial"/>
      <w:bCs/>
      <w:sz w:val="22"/>
    </w:rPr>
  </w:style>
  <w:style w:type="character" w:customStyle="1" w:styleId="Char">
    <w:name w:val="样式 页眉 Char"/>
    <w:link w:val="a"/>
    <w:rsid w:val="00D64225"/>
    <w:rPr>
      <w:rFonts w:ascii="Arial" w:eastAsia="Arial" w:hAnsi="Arial"/>
      <w:b/>
      <w:bCs/>
      <w:noProof/>
      <w:sz w:val="22"/>
      <w:lang w:val="en-GB" w:eastAsia="en-US"/>
    </w:rPr>
  </w:style>
  <w:style w:type="paragraph" w:customStyle="1" w:styleId="CRCoverPage">
    <w:name w:val="CR Cover Page"/>
    <w:link w:val="CRCoverPageChar"/>
    <w:qFormat/>
    <w:rsid w:val="00D64225"/>
    <w:pPr>
      <w:spacing w:after="120"/>
    </w:pPr>
    <w:rPr>
      <w:rFonts w:ascii="Arial" w:eastAsia="SimSun" w:hAnsi="Arial"/>
      <w:lang w:val="en-GB" w:eastAsia="en-US"/>
    </w:rPr>
  </w:style>
  <w:style w:type="character" w:customStyle="1" w:styleId="CRCoverPageChar">
    <w:name w:val="CR Cover Page Char"/>
    <w:link w:val="CRCoverPage"/>
    <w:qFormat/>
    <w:rsid w:val="00D64225"/>
    <w:rPr>
      <w:rFonts w:ascii="Arial" w:eastAsia="SimSun" w:hAnsi="Arial"/>
      <w:lang w:val="en-GB" w:eastAsia="en-US"/>
    </w:rPr>
  </w:style>
  <w:style w:type="character" w:styleId="PlaceholderText">
    <w:name w:val="Placeholder Text"/>
    <w:basedOn w:val="DefaultParagraphFont"/>
    <w:uiPriority w:val="99"/>
    <w:semiHidden/>
    <w:rsid w:val="009C330C"/>
    <w:rPr>
      <w:color w:val="808080"/>
    </w:rPr>
  </w:style>
  <w:style w:type="character" w:customStyle="1" w:styleId="TALCar">
    <w:name w:val="TAL Car"/>
    <w:link w:val="TAL"/>
    <w:rsid w:val="00B579B9"/>
    <w:rPr>
      <w:rFonts w:ascii="Arial" w:hAnsi="Arial"/>
      <w:sz w:val="18"/>
      <w:lang w:val="en-GB" w:eastAsia="en-US"/>
    </w:rPr>
  </w:style>
  <w:style w:type="character" w:customStyle="1" w:styleId="TALChar">
    <w:name w:val="TAL Char"/>
    <w:qFormat/>
    <w:locked/>
    <w:rsid w:val="00952FA0"/>
    <w:rPr>
      <w:rFonts w:ascii="Arial" w:hAnsi="Arial"/>
      <w:sz w:val="18"/>
      <w:lang w:val="en-GB" w:eastAsia="en-US"/>
    </w:rPr>
  </w:style>
  <w:style w:type="character" w:customStyle="1" w:styleId="EQChar">
    <w:name w:val="EQ Char"/>
    <w:link w:val="EQ"/>
    <w:qFormat/>
    <w:rsid w:val="000A7DD0"/>
    <w:rPr>
      <w:noProof/>
      <w:lang w:val="en-GB" w:eastAsia="en-US"/>
    </w:rPr>
  </w:style>
  <w:style w:type="character" w:customStyle="1" w:styleId="Heading5Char">
    <w:name w:val="Heading 5 Char"/>
    <w:basedOn w:val="DefaultParagraphFont"/>
    <w:link w:val="Heading5"/>
    <w:rsid w:val="000A7DD0"/>
    <w:rPr>
      <w:rFonts w:ascii="Arial" w:hAnsi="Arial"/>
      <w:sz w:val="22"/>
      <w:lang w:val="en-GB" w:eastAsia="en-US"/>
    </w:rPr>
  </w:style>
  <w:style w:type="paragraph" w:styleId="NormalWeb">
    <w:name w:val="Normal (Web)"/>
    <w:basedOn w:val="Normal"/>
    <w:uiPriority w:val="99"/>
    <w:unhideWhenUsed/>
    <w:rsid w:val="00F14AF8"/>
    <w:pPr>
      <w:spacing w:before="100" w:beforeAutospacing="1" w:after="100" w:afterAutospacing="1"/>
    </w:pPr>
    <w:rPr>
      <w:rFonts w:ascii="SimSun" w:eastAsia="SimSun" w:hAnsi="SimSun" w:cs="SimSun"/>
      <w:sz w:val="24"/>
      <w:szCs w:val="24"/>
      <w:lang w:val="en-US" w:eastAsia="zh-CN"/>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873725"/>
    <w:rPr>
      <w:rFonts w:ascii="Calibri" w:hAnsi="Calibri" w:cs="Calibri"/>
      <w:sz w:val="24"/>
      <w:szCs w:val="24"/>
    </w:rPr>
  </w:style>
  <w:style w:type="table" w:customStyle="1" w:styleId="Tabellengitternetz1">
    <w:name w:val="Tabellengitternetz1"/>
    <w:basedOn w:val="TableNormal"/>
    <w:next w:val="TableGrid"/>
    <w:rsid w:val="00B21114"/>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95">
      <w:bodyDiv w:val="1"/>
      <w:marLeft w:val="0"/>
      <w:marRight w:val="0"/>
      <w:marTop w:val="0"/>
      <w:marBottom w:val="0"/>
      <w:divBdr>
        <w:top w:val="none" w:sz="0" w:space="0" w:color="auto"/>
        <w:left w:val="none" w:sz="0" w:space="0" w:color="auto"/>
        <w:bottom w:val="none" w:sz="0" w:space="0" w:color="auto"/>
        <w:right w:val="none" w:sz="0" w:space="0" w:color="auto"/>
      </w:divBdr>
    </w:div>
    <w:div w:id="62528671">
      <w:bodyDiv w:val="1"/>
      <w:marLeft w:val="0"/>
      <w:marRight w:val="0"/>
      <w:marTop w:val="0"/>
      <w:marBottom w:val="0"/>
      <w:divBdr>
        <w:top w:val="none" w:sz="0" w:space="0" w:color="auto"/>
        <w:left w:val="none" w:sz="0" w:space="0" w:color="auto"/>
        <w:bottom w:val="none" w:sz="0" w:space="0" w:color="auto"/>
        <w:right w:val="none" w:sz="0" w:space="0" w:color="auto"/>
      </w:divBdr>
      <w:divsChild>
        <w:div w:id="1105152769">
          <w:marLeft w:val="1166"/>
          <w:marRight w:val="0"/>
          <w:marTop w:val="96"/>
          <w:marBottom w:val="0"/>
          <w:divBdr>
            <w:top w:val="none" w:sz="0" w:space="0" w:color="auto"/>
            <w:left w:val="none" w:sz="0" w:space="0" w:color="auto"/>
            <w:bottom w:val="none" w:sz="0" w:space="0" w:color="auto"/>
            <w:right w:val="none" w:sz="0" w:space="0" w:color="auto"/>
          </w:divBdr>
        </w:div>
      </w:divsChild>
    </w:div>
    <w:div w:id="70005418">
      <w:bodyDiv w:val="1"/>
      <w:marLeft w:val="0"/>
      <w:marRight w:val="0"/>
      <w:marTop w:val="0"/>
      <w:marBottom w:val="0"/>
      <w:divBdr>
        <w:top w:val="none" w:sz="0" w:space="0" w:color="auto"/>
        <w:left w:val="none" w:sz="0" w:space="0" w:color="auto"/>
        <w:bottom w:val="none" w:sz="0" w:space="0" w:color="auto"/>
        <w:right w:val="none" w:sz="0" w:space="0" w:color="auto"/>
      </w:divBdr>
    </w:div>
    <w:div w:id="123617988">
      <w:bodyDiv w:val="1"/>
      <w:marLeft w:val="0"/>
      <w:marRight w:val="0"/>
      <w:marTop w:val="0"/>
      <w:marBottom w:val="0"/>
      <w:divBdr>
        <w:top w:val="none" w:sz="0" w:space="0" w:color="auto"/>
        <w:left w:val="none" w:sz="0" w:space="0" w:color="auto"/>
        <w:bottom w:val="none" w:sz="0" w:space="0" w:color="auto"/>
        <w:right w:val="none" w:sz="0" w:space="0" w:color="auto"/>
      </w:divBdr>
    </w:div>
    <w:div w:id="138763576">
      <w:bodyDiv w:val="1"/>
      <w:marLeft w:val="0"/>
      <w:marRight w:val="0"/>
      <w:marTop w:val="0"/>
      <w:marBottom w:val="0"/>
      <w:divBdr>
        <w:top w:val="none" w:sz="0" w:space="0" w:color="auto"/>
        <w:left w:val="none" w:sz="0" w:space="0" w:color="auto"/>
        <w:bottom w:val="none" w:sz="0" w:space="0" w:color="auto"/>
        <w:right w:val="none" w:sz="0" w:space="0" w:color="auto"/>
      </w:divBdr>
    </w:div>
    <w:div w:id="240723380">
      <w:bodyDiv w:val="1"/>
      <w:marLeft w:val="0"/>
      <w:marRight w:val="0"/>
      <w:marTop w:val="0"/>
      <w:marBottom w:val="0"/>
      <w:divBdr>
        <w:top w:val="none" w:sz="0" w:space="0" w:color="auto"/>
        <w:left w:val="none" w:sz="0" w:space="0" w:color="auto"/>
        <w:bottom w:val="none" w:sz="0" w:space="0" w:color="auto"/>
        <w:right w:val="none" w:sz="0" w:space="0" w:color="auto"/>
      </w:divBdr>
    </w:div>
    <w:div w:id="335960238">
      <w:bodyDiv w:val="1"/>
      <w:marLeft w:val="0"/>
      <w:marRight w:val="0"/>
      <w:marTop w:val="0"/>
      <w:marBottom w:val="0"/>
      <w:divBdr>
        <w:top w:val="none" w:sz="0" w:space="0" w:color="auto"/>
        <w:left w:val="none" w:sz="0" w:space="0" w:color="auto"/>
        <w:bottom w:val="none" w:sz="0" w:space="0" w:color="auto"/>
        <w:right w:val="none" w:sz="0" w:space="0" w:color="auto"/>
      </w:divBdr>
    </w:div>
    <w:div w:id="449781169">
      <w:bodyDiv w:val="1"/>
      <w:marLeft w:val="0"/>
      <w:marRight w:val="0"/>
      <w:marTop w:val="0"/>
      <w:marBottom w:val="0"/>
      <w:divBdr>
        <w:top w:val="none" w:sz="0" w:space="0" w:color="auto"/>
        <w:left w:val="none" w:sz="0" w:space="0" w:color="auto"/>
        <w:bottom w:val="none" w:sz="0" w:space="0" w:color="auto"/>
        <w:right w:val="none" w:sz="0" w:space="0" w:color="auto"/>
      </w:divBdr>
    </w:div>
    <w:div w:id="464154700">
      <w:bodyDiv w:val="1"/>
      <w:marLeft w:val="0"/>
      <w:marRight w:val="0"/>
      <w:marTop w:val="0"/>
      <w:marBottom w:val="0"/>
      <w:divBdr>
        <w:top w:val="none" w:sz="0" w:space="0" w:color="auto"/>
        <w:left w:val="none" w:sz="0" w:space="0" w:color="auto"/>
        <w:bottom w:val="none" w:sz="0" w:space="0" w:color="auto"/>
        <w:right w:val="none" w:sz="0" w:space="0" w:color="auto"/>
      </w:divBdr>
    </w:div>
    <w:div w:id="495654663">
      <w:bodyDiv w:val="1"/>
      <w:marLeft w:val="0"/>
      <w:marRight w:val="0"/>
      <w:marTop w:val="0"/>
      <w:marBottom w:val="0"/>
      <w:divBdr>
        <w:top w:val="none" w:sz="0" w:space="0" w:color="auto"/>
        <w:left w:val="none" w:sz="0" w:space="0" w:color="auto"/>
        <w:bottom w:val="none" w:sz="0" w:space="0" w:color="auto"/>
        <w:right w:val="none" w:sz="0" w:space="0" w:color="auto"/>
      </w:divBdr>
    </w:div>
    <w:div w:id="533882626">
      <w:bodyDiv w:val="1"/>
      <w:marLeft w:val="0"/>
      <w:marRight w:val="0"/>
      <w:marTop w:val="0"/>
      <w:marBottom w:val="0"/>
      <w:divBdr>
        <w:top w:val="none" w:sz="0" w:space="0" w:color="auto"/>
        <w:left w:val="none" w:sz="0" w:space="0" w:color="auto"/>
        <w:bottom w:val="none" w:sz="0" w:space="0" w:color="auto"/>
        <w:right w:val="none" w:sz="0" w:space="0" w:color="auto"/>
      </w:divBdr>
    </w:div>
    <w:div w:id="548342922">
      <w:bodyDiv w:val="1"/>
      <w:marLeft w:val="0"/>
      <w:marRight w:val="0"/>
      <w:marTop w:val="0"/>
      <w:marBottom w:val="0"/>
      <w:divBdr>
        <w:top w:val="none" w:sz="0" w:space="0" w:color="auto"/>
        <w:left w:val="none" w:sz="0" w:space="0" w:color="auto"/>
        <w:bottom w:val="none" w:sz="0" w:space="0" w:color="auto"/>
        <w:right w:val="none" w:sz="0" w:space="0" w:color="auto"/>
      </w:divBdr>
    </w:div>
    <w:div w:id="596449340">
      <w:bodyDiv w:val="1"/>
      <w:marLeft w:val="0"/>
      <w:marRight w:val="0"/>
      <w:marTop w:val="0"/>
      <w:marBottom w:val="0"/>
      <w:divBdr>
        <w:top w:val="none" w:sz="0" w:space="0" w:color="auto"/>
        <w:left w:val="none" w:sz="0" w:space="0" w:color="auto"/>
        <w:bottom w:val="none" w:sz="0" w:space="0" w:color="auto"/>
        <w:right w:val="none" w:sz="0" w:space="0" w:color="auto"/>
      </w:divBdr>
    </w:div>
    <w:div w:id="610480495">
      <w:bodyDiv w:val="1"/>
      <w:marLeft w:val="0"/>
      <w:marRight w:val="0"/>
      <w:marTop w:val="0"/>
      <w:marBottom w:val="0"/>
      <w:divBdr>
        <w:top w:val="none" w:sz="0" w:space="0" w:color="auto"/>
        <w:left w:val="none" w:sz="0" w:space="0" w:color="auto"/>
        <w:bottom w:val="none" w:sz="0" w:space="0" w:color="auto"/>
        <w:right w:val="none" w:sz="0" w:space="0" w:color="auto"/>
      </w:divBdr>
    </w:div>
    <w:div w:id="640378616">
      <w:bodyDiv w:val="1"/>
      <w:marLeft w:val="0"/>
      <w:marRight w:val="0"/>
      <w:marTop w:val="0"/>
      <w:marBottom w:val="0"/>
      <w:divBdr>
        <w:top w:val="none" w:sz="0" w:space="0" w:color="auto"/>
        <w:left w:val="none" w:sz="0" w:space="0" w:color="auto"/>
        <w:bottom w:val="none" w:sz="0" w:space="0" w:color="auto"/>
        <w:right w:val="none" w:sz="0" w:space="0" w:color="auto"/>
      </w:divBdr>
    </w:div>
    <w:div w:id="724181972">
      <w:bodyDiv w:val="1"/>
      <w:marLeft w:val="0"/>
      <w:marRight w:val="0"/>
      <w:marTop w:val="0"/>
      <w:marBottom w:val="0"/>
      <w:divBdr>
        <w:top w:val="none" w:sz="0" w:space="0" w:color="auto"/>
        <w:left w:val="none" w:sz="0" w:space="0" w:color="auto"/>
        <w:bottom w:val="none" w:sz="0" w:space="0" w:color="auto"/>
        <w:right w:val="none" w:sz="0" w:space="0" w:color="auto"/>
      </w:divBdr>
    </w:div>
    <w:div w:id="729887862">
      <w:bodyDiv w:val="1"/>
      <w:marLeft w:val="0"/>
      <w:marRight w:val="0"/>
      <w:marTop w:val="0"/>
      <w:marBottom w:val="0"/>
      <w:divBdr>
        <w:top w:val="none" w:sz="0" w:space="0" w:color="auto"/>
        <w:left w:val="none" w:sz="0" w:space="0" w:color="auto"/>
        <w:bottom w:val="none" w:sz="0" w:space="0" w:color="auto"/>
        <w:right w:val="none" w:sz="0" w:space="0" w:color="auto"/>
      </w:divBdr>
    </w:div>
    <w:div w:id="735855114">
      <w:bodyDiv w:val="1"/>
      <w:marLeft w:val="0"/>
      <w:marRight w:val="0"/>
      <w:marTop w:val="0"/>
      <w:marBottom w:val="0"/>
      <w:divBdr>
        <w:top w:val="none" w:sz="0" w:space="0" w:color="auto"/>
        <w:left w:val="none" w:sz="0" w:space="0" w:color="auto"/>
        <w:bottom w:val="none" w:sz="0" w:space="0" w:color="auto"/>
        <w:right w:val="none" w:sz="0" w:space="0" w:color="auto"/>
      </w:divBdr>
    </w:div>
    <w:div w:id="743642275">
      <w:bodyDiv w:val="1"/>
      <w:marLeft w:val="0"/>
      <w:marRight w:val="0"/>
      <w:marTop w:val="0"/>
      <w:marBottom w:val="0"/>
      <w:divBdr>
        <w:top w:val="none" w:sz="0" w:space="0" w:color="auto"/>
        <w:left w:val="none" w:sz="0" w:space="0" w:color="auto"/>
        <w:bottom w:val="none" w:sz="0" w:space="0" w:color="auto"/>
        <w:right w:val="none" w:sz="0" w:space="0" w:color="auto"/>
      </w:divBdr>
    </w:div>
    <w:div w:id="891308085">
      <w:bodyDiv w:val="1"/>
      <w:marLeft w:val="0"/>
      <w:marRight w:val="0"/>
      <w:marTop w:val="0"/>
      <w:marBottom w:val="0"/>
      <w:divBdr>
        <w:top w:val="none" w:sz="0" w:space="0" w:color="auto"/>
        <w:left w:val="none" w:sz="0" w:space="0" w:color="auto"/>
        <w:bottom w:val="none" w:sz="0" w:space="0" w:color="auto"/>
        <w:right w:val="none" w:sz="0" w:space="0" w:color="auto"/>
      </w:divBdr>
    </w:div>
    <w:div w:id="931858095">
      <w:bodyDiv w:val="1"/>
      <w:marLeft w:val="0"/>
      <w:marRight w:val="0"/>
      <w:marTop w:val="0"/>
      <w:marBottom w:val="0"/>
      <w:divBdr>
        <w:top w:val="none" w:sz="0" w:space="0" w:color="auto"/>
        <w:left w:val="none" w:sz="0" w:space="0" w:color="auto"/>
        <w:bottom w:val="none" w:sz="0" w:space="0" w:color="auto"/>
        <w:right w:val="none" w:sz="0" w:space="0" w:color="auto"/>
      </w:divBdr>
    </w:div>
    <w:div w:id="961107212">
      <w:bodyDiv w:val="1"/>
      <w:marLeft w:val="0"/>
      <w:marRight w:val="0"/>
      <w:marTop w:val="0"/>
      <w:marBottom w:val="0"/>
      <w:divBdr>
        <w:top w:val="none" w:sz="0" w:space="0" w:color="auto"/>
        <w:left w:val="none" w:sz="0" w:space="0" w:color="auto"/>
        <w:bottom w:val="none" w:sz="0" w:space="0" w:color="auto"/>
        <w:right w:val="none" w:sz="0" w:space="0" w:color="auto"/>
      </w:divBdr>
      <w:divsChild>
        <w:div w:id="1582979997">
          <w:marLeft w:val="1166"/>
          <w:marRight w:val="0"/>
          <w:marTop w:val="96"/>
          <w:marBottom w:val="0"/>
          <w:divBdr>
            <w:top w:val="none" w:sz="0" w:space="0" w:color="auto"/>
            <w:left w:val="none" w:sz="0" w:space="0" w:color="auto"/>
            <w:bottom w:val="none" w:sz="0" w:space="0" w:color="auto"/>
            <w:right w:val="none" w:sz="0" w:space="0" w:color="auto"/>
          </w:divBdr>
        </w:div>
      </w:divsChild>
    </w:div>
    <w:div w:id="967778250">
      <w:bodyDiv w:val="1"/>
      <w:marLeft w:val="0"/>
      <w:marRight w:val="0"/>
      <w:marTop w:val="0"/>
      <w:marBottom w:val="0"/>
      <w:divBdr>
        <w:top w:val="none" w:sz="0" w:space="0" w:color="auto"/>
        <w:left w:val="none" w:sz="0" w:space="0" w:color="auto"/>
        <w:bottom w:val="none" w:sz="0" w:space="0" w:color="auto"/>
        <w:right w:val="none" w:sz="0" w:space="0" w:color="auto"/>
      </w:divBdr>
    </w:div>
    <w:div w:id="1032463328">
      <w:bodyDiv w:val="1"/>
      <w:marLeft w:val="0"/>
      <w:marRight w:val="0"/>
      <w:marTop w:val="0"/>
      <w:marBottom w:val="0"/>
      <w:divBdr>
        <w:top w:val="none" w:sz="0" w:space="0" w:color="auto"/>
        <w:left w:val="none" w:sz="0" w:space="0" w:color="auto"/>
        <w:bottom w:val="none" w:sz="0" w:space="0" w:color="auto"/>
        <w:right w:val="none" w:sz="0" w:space="0" w:color="auto"/>
      </w:divBdr>
    </w:div>
    <w:div w:id="1067220339">
      <w:bodyDiv w:val="1"/>
      <w:marLeft w:val="0"/>
      <w:marRight w:val="0"/>
      <w:marTop w:val="0"/>
      <w:marBottom w:val="0"/>
      <w:divBdr>
        <w:top w:val="none" w:sz="0" w:space="0" w:color="auto"/>
        <w:left w:val="none" w:sz="0" w:space="0" w:color="auto"/>
        <w:bottom w:val="none" w:sz="0" w:space="0" w:color="auto"/>
        <w:right w:val="none" w:sz="0" w:space="0" w:color="auto"/>
      </w:divBdr>
    </w:div>
    <w:div w:id="1313942965">
      <w:bodyDiv w:val="1"/>
      <w:marLeft w:val="0"/>
      <w:marRight w:val="0"/>
      <w:marTop w:val="0"/>
      <w:marBottom w:val="0"/>
      <w:divBdr>
        <w:top w:val="none" w:sz="0" w:space="0" w:color="auto"/>
        <w:left w:val="none" w:sz="0" w:space="0" w:color="auto"/>
        <w:bottom w:val="none" w:sz="0" w:space="0" w:color="auto"/>
        <w:right w:val="none" w:sz="0" w:space="0" w:color="auto"/>
      </w:divBdr>
    </w:div>
    <w:div w:id="1415543042">
      <w:bodyDiv w:val="1"/>
      <w:marLeft w:val="0"/>
      <w:marRight w:val="0"/>
      <w:marTop w:val="0"/>
      <w:marBottom w:val="0"/>
      <w:divBdr>
        <w:top w:val="none" w:sz="0" w:space="0" w:color="auto"/>
        <w:left w:val="none" w:sz="0" w:space="0" w:color="auto"/>
        <w:bottom w:val="none" w:sz="0" w:space="0" w:color="auto"/>
        <w:right w:val="none" w:sz="0" w:space="0" w:color="auto"/>
      </w:divBdr>
    </w:div>
    <w:div w:id="1589728093">
      <w:bodyDiv w:val="1"/>
      <w:marLeft w:val="0"/>
      <w:marRight w:val="0"/>
      <w:marTop w:val="0"/>
      <w:marBottom w:val="0"/>
      <w:divBdr>
        <w:top w:val="none" w:sz="0" w:space="0" w:color="auto"/>
        <w:left w:val="none" w:sz="0" w:space="0" w:color="auto"/>
        <w:bottom w:val="none" w:sz="0" w:space="0" w:color="auto"/>
        <w:right w:val="none" w:sz="0" w:space="0" w:color="auto"/>
      </w:divBdr>
    </w:div>
    <w:div w:id="1771049162">
      <w:bodyDiv w:val="1"/>
      <w:marLeft w:val="0"/>
      <w:marRight w:val="0"/>
      <w:marTop w:val="0"/>
      <w:marBottom w:val="0"/>
      <w:divBdr>
        <w:top w:val="none" w:sz="0" w:space="0" w:color="auto"/>
        <w:left w:val="none" w:sz="0" w:space="0" w:color="auto"/>
        <w:bottom w:val="none" w:sz="0" w:space="0" w:color="auto"/>
        <w:right w:val="none" w:sz="0" w:space="0" w:color="auto"/>
      </w:divBdr>
    </w:div>
    <w:div w:id="1771465341">
      <w:bodyDiv w:val="1"/>
      <w:marLeft w:val="0"/>
      <w:marRight w:val="0"/>
      <w:marTop w:val="0"/>
      <w:marBottom w:val="0"/>
      <w:divBdr>
        <w:top w:val="none" w:sz="0" w:space="0" w:color="auto"/>
        <w:left w:val="none" w:sz="0" w:space="0" w:color="auto"/>
        <w:bottom w:val="none" w:sz="0" w:space="0" w:color="auto"/>
        <w:right w:val="none" w:sz="0" w:space="0" w:color="auto"/>
      </w:divBdr>
      <w:divsChild>
        <w:div w:id="335114900">
          <w:marLeft w:val="547"/>
          <w:marRight w:val="0"/>
          <w:marTop w:val="115"/>
          <w:marBottom w:val="0"/>
          <w:divBdr>
            <w:top w:val="none" w:sz="0" w:space="0" w:color="auto"/>
            <w:left w:val="none" w:sz="0" w:space="0" w:color="auto"/>
            <w:bottom w:val="none" w:sz="0" w:space="0" w:color="auto"/>
            <w:right w:val="none" w:sz="0" w:space="0" w:color="auto"/>
          </w:divBdr>
        </w:div>
        <w:div w:id="774982538">
          <w:marLeft w:val="547"/>
          <w:marRight w:val="0"/>
          <w:marTop w:val="115"/>
          <w:marBottom w:val="0"/>
          <w:divBdr>
            <w:top w:val="none" w:sz="0" w:space="0" w:color="auto"/>
            <w:left w:val="none" w:sz="0" w:space="0" w:color="auto"/>
            <w:bottom w:val="none" w:sz="0" w:space="0" w:color="auto"/>
            <w:right w:val="none" w:sz="0" w:space="0" w:color="auto"/>
          </w:divBdr>
        </w:div>
        <w:div w:id="2009749759">
          <w:marLeft w:val="547"/>
          <w:marRight w:val="0"/>
          <w:marTop w:val="115"/>
          <w:marBottom w:val="0"/>
          <w:divBdr>
            <w:top w:val="none" w:sz="0" w:space="0" w:color="auto"/>
            <w:left w:val="none" w:sz="0" w:space="0" w:color="auto"/>
            <w:bottom w:val="none" w:sz="0" w:space="0" w:color="auto"/>
            <w:right w:val="none" w:sz="0" w:space="0" w:color="auto"/>
          </w:divBdr>
        </w:div>
        <w:div w:id="217788233">
          <w:marLeft w:val="1166"/>
          <w:marRight w:val="0"/>
          <w:marTop w:val="96"/>
          <w:marBottom w:val="0"/>
          <w:divBdr>
            <w:top w:val="none" w:sz="0" w:space="0" w:color="auto"/>
            <w:left w:val="none" w:sz="0" w:space="0" w:color="auto"/>
            <w:bottom w:val="none" w:sz="0" w:space="0" w:color="auto"/>
            <w:right w:val="none" w:sz="0" w:space="0" w:color="auto"/>
          </w:divBdr>
        </w:div>
        <w:div w:id="220137242">
          <w:marLeft w:val="1166"/>
          <w:marRight w:val="0"/>
          <w:marTop w:val="96"/>
          <w:marBottom w:val="0"/>
          <w:divBdr>
            <w:top w:val="none" w:sz="0" w:space="0" w:color="auto"/>
            <w:left w:val="none" w:sz="0" w:space="0" w:color="auto"/>
            <w:bottom w:val="none" w:sz="0" w:space="0" w:color="auto"/>
            <w:right w:val="none" w:sz="0" w:space="0" w:color="auto"/>
          </w:divBdr>
        </w:div>
      </w:divsChild>
    </w:div>
    <w:div w:id="1809125245">
      <w:bodyDiv w:val="1"/>
      <w:marLeft w:val="0"/>
      <w:marRight w:val="0"/>
      <w:marTop w:val="0"/>
      <w:marBottom w:val="0"/>
      <w:divBdr>
        <w:top w:val="none" w:sz="0" w:space="0" w:color="auto"/>
        <w:left w:val="none" w:sz="0" w:space="0" w:color="auto"/>
        <w:bottom w:val="none" w:sz="0" w:space="0" w:color="auto"/>
        <w:right w:val="none" w:sz="0" w:space="0" w:color="auto"/>
      </w:divBdr>
    </w:div>
    <w:div w:id="1923023591">
      <w:bodyDiv w:val="1"/>
      <w:marLeft w:val="0"/>
      <w:marRight w:val="0"/>
      <w:marTop w:val="0"/>
      <w:marBottom w:val="0"/>
      <w:divBdr>
        <w:top w:val="none" w:sz="0" w:space="0" w:color="auto"/>
        <w:left w:val="none" w:sz="0" w:space="0" w:color="auto"/>
        <w:bottom w:val="none" w:sz="0" w:space="0" w:color="auto"/>
        <w:right w:val="none" w:sz="0" w:space="0" w:color="auto"/>
      </w:divBdr>
    </w:div>
    <w:div w:id="196615489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2D8E-BBE5-48C9-BF27-DB250155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2808</CharactersWithSpaces>
  <SharedDoc>false</SharedDoc>
  <HyperlinkBase/>
  <HLinks>
    <vt:vector size="6" baseType="variant">
      <vt:variant>
        <vt:i4>4128872</vt:i4>
      </vt:variant>
      <vt:variant>
        <vt:i4>66</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Huawei-RKy2</cp:lastModifiedBy>
  <cp:revision>5</cp:revision>
  <dcterms:created xsi:type="dcterms:W3CDTF">2020-05-29T09:27:00Z</dcterms:created>
  <dcterms:modified xsi:type="dcterms:W3CDTF">2020-05-29T18:44:00Z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1572521151</vt:lpwstr>
  </property>
</Properties>
</file>