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A1D58" w14:textId="78F4E214" w:rsidR="00156C73" w:rsidRPr="00030FF0" w:rsidRDefault="00156C73" w:rsidP="00156C73">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3GPP TSG-RAN WG4 Meeting RAN4#95-e</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DA0CBD" w:rsidRPr="00DA0CBD">
        <w:rPr>
          <w:rFonts w:ascii="Arial" w:eastAsia="MS Mincho" w:hAnsi="Arial"/>
          <w:b/>
          <w:bCs/>
          <w:noProof/>
          <w:color w:val="000000"/>
          <w:sz w:val="24"/>
          <w:szCs w:val="24"/>
          <w:lang w:eastAsia="ja-JP"/>
        </w:rPr>
        <w:t>R4-2008094</w:t>
      </w:r>
      <w:r w:rsidR="00DA0CBD"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25848E3D" w14:textId="77777777" w:rsidR="00156C73" w:rsidRPr="004A388F" w:rsidRDefault="00156C73" w:rsidP="00156C73">
      <w:pPr>
        <w:widowControl w:val="0"/>
        <w:spacing w:after="0"/>
        <w:rPr>
          <w:rFonts w:ascii="Arial" w:eastAsia="MS Mincho" w:hAnsi="Arial"/>
          <w:b/>
          <w:bCs/>
          <w:noProof/>
          <w:color w:val="FF0000"/>
          <w:sz w:val="28"/>
          <w:szCs w:val="28"/>
          <w:lang w:eastAsia="ja-JP"/>
        </w:rPr>
      </w:pPr>
      <w:r w:rsidRPr="00030FF0">
        <w:rPr>
          <w:rFonts w:ascii="Arial" w:eastAsia="MS Mincho" w:hAnsi="Arial"/>
          <w:b/>
          <w:bCs/>
          <w:noProof/>
          <w:color w:val="000000"/>
          <w:sz w:val="24"/>
          <w:szCs w:val="24"/>
          <w:lang w:eastAsia="ja-JP"/>
        </w:rPr>
        <w:t>May 25 – June 05, 2020</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2BE6FBE1"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4C244E">
        <w:rPr>
          <w:rFonts w:ascii="Arial" w:eastAsia="MS Gothic" w:hAnsi="Arial" w:cs="Arial"/>
          <w:b/>
          <w:sz w:val="24"/>
          <w:szCs w:val="24"/>
          <w:lang w:eastAsia="ja-JP"/>
        </w:rPr>
        <w:t>4.4.2.1</w:t>
      </w:r>
    </w:p>
    <w:p w14:paraId="3BE7C055" w14:textId="77777777"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t>Motorola Mobility</w:t>
      </w:r>
    </w:p>
    <w:p w14:paraId="44CA54C5" w14:textId="3D4E7DCA" w:rsidR="004A388F" w:rsidRPr="004A388F" w:rsidRDefault="004A388F" w:rsidP="004A388F">
      <w:pPr>
        <w:widowControl w:val="0"/>
        <w:spacing w:after="0"/>
        <w:ind w:left="1800" w:hanging="1800"/>
        <w:rPr>
          <w:rFonts w:ascii="Arial" w:eastAsia="MS Gothic" w:hAnsi="Arial"/>
          <w:b/>
          <w:color w:val="000000"/>
          <w:sz w:val="24"/>
          <w:szCs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A07158">
        <w:rPr>
          <w:rFonts w:ascii="Arial" w:eastAsia="MS Gothic" w:hAnsi="Arial"/>
          <w:b/>
          <w:color w:val="000000"/>
          <w:sz w:val="24"/>
          <w:lang w:eastAsia="ja-JP"/>
        </w:rPr>
        <w:t xml:space="preserve">On the Need to Limit Delay for Transparent </w:t>
      </w:r>
      <w:r w:rsidR="008D0681">
        <w:rPr>
          <w:rFonts w:ascii="Arial" w:eastAsia="MS Gothic" w:hAnsi="Arial"/>
          <w:b/>
          <w:color w:val="000000"/>
          <w:sz w:val="24"/>
          <w:lang w:eastAsia="ja-JP"/>
        </w:rPr>
        <w:t xml:space="preserve">Transmit </w:t>
      </w:r>
      <w:r w:rsidR="00A07158">
        <w:rPr>
          <w:rFonts w:ascii="Arial" w:eastAsia="MS Gothic" w:hAnsi="Arial"/>
          <w:b/>
          <w:color w:val="000000"/>
          <w:sz w:val="24"/>
          <w:lang w:eastAsia="ja-JP"/>
        </w:rPr>
        <w:t>Diversity</w:t>
      </w:r>
    </w:p>
    <w:p w14:paraId="2122E5E1" w14:textId="5455C8EF"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834166">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ABC7708" w14:textId="1930D265" w:rsidR="00C77226" w:rsidRPr="00781BBB" w:rsidRDefault="004A388F" w:rsidP="00781BBB">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7B6050C2" w14:textId="3EB06199" w:rsidR="00D611DC" w:rsidRDefault="00444E77" w:rsidP="00444E77">
      <w:r>
        <w:t>RAN1 has agreed that transparent transmit diversity is to be an allowed method of transmit diversity for the UE.  However, there is no definition of transparent transmit diversity in the specification.  While it is assumed that cyclic delay diversity is intended, there is nothing in the specification that limits what can be transmitted from the multiple antennas</w:t>
      </w:r>
      <w:r w:rsidR="00D611DC">
        <w:t xml:space="preserve"> so long as emissions constraints are met</w:t>
      </w:r>
      <w:r w:rsidR="00506AA4">
        <w:t>,</w:t>
      </w:r>
      <w:r w:rsidR="001336F4">
        <w:t xml:space="preserve"> and the power class is achieved</w:t>
      </w:r>
      <w:r w:rsidR="00D611DC">
        <w:t xml:space="preserve">. </w:t>
      </w:r>
      <w:r w:rsidR="009D4323">
        <w:t>Transparent</w:t>
      </w:r>
      <w:r w:rsidR="00D611DC">
        <w:t xml:space="preserve"> transmit diversity methods may include cyclic delay, linear delay (without cyclic extension), and rank one precoding.</w:t>
      </w:r>
    </w:p>
    <w:p w14:paraId="418527CD" w14:textId="43ADCC27" w:rsidR="00444E77" w:rsidRPr="001336F4" w:rsidRDefault="00D611DC" w:rsidP="001336F4">
      <w:r>
        <w:t xml:space="preserve">In the case that the transmission from the second antenna is a delayed version of the first, </w:t>
      </w:r>
      <w:r w:rsidR="001336F4">
        <w:t xml:space="preserve">either </w:t>
      </w:r>
      <w:r>
        <w:t xml:space="preserve">with or without cyclic extension, there should be some consideration of the impact of delay on channel estimation at the </w:t>
      </w:r>
      <w:proofErr w:type="spellStart"/>
      <w:r>
        <w:t>gNB</w:t>
      </w:r>
      <w:proofErr w:type="spellEnd"/>
      <w:r>
        <w:t xml:space="preserve"> since a large delay can cause the combined transmission to decorrelate very rapidly in frequency.  In this contribution, </w:t>
      </w:r>
      <w:r w:rsidR="00506AA4">
        <w:t xml:space="preserve">we </w:t>
      </w:r>
      <w:r>
        <w:t xml:space="preserve">briefly consider the </w:t>
      </w:r>
      <w:r w:rsidR="001336F4">
        <w:t>consequences of large delay, and consider whether some limit should be placed on the delay.</w:t>
      </w:r>
    </w:p>
    <w:p w14:paraId="6CC149D2" w14:textId="06DA8DE1" w:rsidR="00FA38C1" w:rsidRDefault="001336F4" w:rsidP="00FA38C1">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Channel Decorrelation vs. Delay</w:t>
      </w:r>
    </w:p>
    <w:p w14:paraId="5C629698" w14:textId="3F5092A9" w:rsidR="009D4323" w:rsidRDefault="00A428D4" w:rsidP="009D4323">
      <w:r>
        <w:t xml:space="preserve">It </w:t>
      </w:r>
      <w:r w:rsidR="00FC4C15">
        <w:t>seems</w:t>
      </w:r>
      <w:r>
        <w:t xml:space="preserve"> generally assumed</w:t>
      </w:r>
      <w:r w:rsidR="009D4323">
        <w:t xml:space="preserve"> that cyclic delay diversity (CDD) </w:t>
      </w:r>
      <w:r>
        <w:t>will be</w:t>
      </w:r>
      <w:r w:rsidR="009D4323">
        <w:t xml:space="preserve"> used for transparent transmit diversity.  With this form of diversity, a cyclic delay is applied to the signal transmitted from the second antenna.  The symbol from the second antenna is delayed by a time interval less than the symbol duration, after which the portion of the symbol which falls outside of the symbol interval is added to the start of the symbol.  The effect of this delay is to add a frequency dependent phase rotation of the second signal relative to the first. Depending on the delay applied to the second antenna, the phase rotation can be very large</w:t>
      </w:r>
      <w:r w:rsidR="00B666FC">
        <w:t>,</w:t>
      </w:r>
      <w:r w:rsidR="00BB0E62">
        <w:t xml:space="preserve"> and the channel can decorrelate very rapidly.</w:t>
      </w:r>
    </w:p>
    <w:p w14:paraId="0D1F94BA" w14:textId="21ACE44C" w:rsidR="00A428D4" w:rsidRDefault="00A428D4" w:rsidP="00A428D4">
      <w:r>
        <w:t xml:space="preserve">As an example, we consider </w:t>
      </w:r>
      <w:r w:rsidR="00FC4C15">
        <w:t>an example with a</w:t>
      </w:r>
      <w:r>
        <w:t xml:space="preserve"> subcarrier spacing of 15 kHz. For symbols 1 and 8 in a slot, the symbol duration is 71.9 </w:t>
      </w:r>
      <w:proofErr w:type="spellStart"/>
      <w:r>
        <w:t>usec</w:t>
      </w:r>
      <w:proofErr w:type="spellEnd"/>
      <w:r>
        <w:t xml:space="preserve"> and the cyclic prefix is 5.21 </w:t>
      </w:r>
      <w:proofErr w:type="spellStart"/>
      <w:r>
        <w:t>usec</w:t>
      </w:r>
      <w:proofErr w:type="spellEnd"/>
      <w:r>
        <w:t xml:space="preserve">.  For the remaining symbols, the symbol duration is 71.4 </w:t>
      </w:r>
      <w:proofErr w:type="spellStart"/>
      <w:r>
        <w:t>usec</w:t>
      </w:r>
      <w:proofErr w:type="spellEnd"/>
      <w:r>
        <w:t xml:space="preserve"> and the cyclic prefix is 4.69 </w:t>
      </w:r>
      <w:proofErr w:type="spellStart"/>
      <w:r>
        <w:t>usec</w:t>
      </w:r>
      <w:proofErr w:type="spellEnd"/>
      <w:r>
        <w:t>. Relative to the first antenna, the phase shift (in degrees) from one subcarrier to the next is given by</w:t>
      </w:r>
    </w:p>
    <w:p w14:paraId="0F9951F4" w14:textId="718FD657" w:rsidR="00A428D4" w:rsidRDefault="00A428D4" w:rsidP="00A428D4">
      <w:pPr>
        <w:jc w:val="center"/>
      </w:pPr>
      <w:r>
        <w:t>phase shift per subcarrier = 15000 x delay x 360 deg.</w:t>
      </w:r>
    </w:p>
    <w:p w14:paraId="2DBDA0BB" w14:textId="61148CEB" w:rsidR="00A428D4" w:rsidRDefault="00A428D4" w:rsidP="00A428D4">
      <w:r>
        <w:t xml:space="preserve">If the </w:t>
      </w:r>
      <w:r w:rsidR="00FC4C15">
        <w:t xml:space="preserve">cyclic </w:t>
      </w:r>
      <w:r>
        <w:t xml:space="preserve">delay is equal to the </w:t>
      </w:r>
      <w:r w:rsidR="0036158C">
        <w:t>length of the cyclic prefix, then the phase shift per subcarrier is</w:t>
      </w:r>
    </w:p>
    <w:p w14:paraId="79355767" w14:textId="2815A6D1" w:rsidR="0036158C" w:rsidRDefault="0036158C" w:rsidP="00A428D4">
      <w:r>
        <w:tab/>
      </w:r>
      <w:r>
        <w:tab/>
      </w:r>
      <w:r>
        <w:tab/>
      </w:r>
      <w:r>
        <w:tab/>
        <w:t>15000 x 4.69x10</w:t>
      </w:r>
      <w:r w:rsidRPr="0036158C">
        <w:rPr>
          <w:vertAlign w:val="superscript"/>
        </w:rPr>
        <w:t>-6</w:t>
      </w:r>
      <w:r>
        <w:t xml:space="preserve"> x 360 = 25.3 degrees</w:t>
      </w:r>
    </w:p>
    <w:p w14:paraId="75C958E8" w14:textId="7A94810C" w:rsidR="002768C8" w:rsidRDefault="0036158C" w:rsidP="00A428D4">
      <w:r>
        <w:t>so that the relative phase between the signals transmitted from the first and second antennas changes by 180 degrees in approximately 7 subcarriers.</w:t>
      </w:r>
      <w:r w:rsidR="00FC4C15">
        <w:t xml:space="preserve">  However, even this is not the worst case since there is nothing that prevents the cyclic delay from being</w:t>
      </w:r>
      <w:r w:rsidR="00F4418A">
        <w:t xml:space="preserve"> even</w:t>
      </w:r>
      <w:r w:rsidR="00FC4C15">
        <w:t xml:space="preserve"> greater than the length of the cyclic prefix.</w:t>
      </w:r>
    </w:p>
    <w:p w14:paraId="25843EF6" w14:textId="7B23B9E3" w:rsidR="00FC59DE" w:rsidRDefault="00314C42" w:rsidP="00FC59DE">
      <w:r>
        <w:t>If the rate of change of the phase rotation of the</w:t>
      </w:r>
      <w:r w:rsidR="00B666FC">
        <w:t xml:space="preserve"> signal from the</w:t>
      </w:r>
      <w:r>
        <w:t xml:space="preserve"> second antenna relative to the first is too large (in degrees per subcarrier), then it is likely that the performance of channel estimation at the </w:t>
      </w:r>
      <w:proofErr w:type="spellStart"/>
      <w:r>
        <w:t>gNB</w:t>
      </w:r>
      <w:proofErr w:type="spellEnd"/>
      <w:r>
        <w:t xml:space="preserve"> will be significantly degraded.  There will now be two components to the frequency selective fading process </w:t>
      </w:r>
      <w:r w:rsidR="00B666FC">
        <w:t>observed</w:t>
      </w:r>
      <w:r>
        <w:t xml:space="preserve"> by the </w:t>
      </w:r>
      <w:proofErr w:type="spellStart"/>
      <w:r>
        <w:t>gNB</w:t>
      </w:r>
      <w:proofErr w:type="spellEnd"/>
      <w:r>
        <w:t xml:space="preserve">.  </w:t>
      </w:r>
      <w:r w:rsidR="00250C51">
        <w:t>The first</w:t>
      </w:r>
      <w:r>
        <w:t xml:space="preserve"> component</w:t>
      </w:r>
      <w:r w:rsidR="00BB0E62">
        <w:t xml:space="preserve"> will be due to the channel itself, </w:t>
      </w:r>
      <w:r w:rsidR="00A57E7D">
        <w:t>while</w:t>
      </w:r>
      <w:r w:rsidR="00250C51">
        <w:t xml:space="preserve"> the </w:t>
      </w:r>
      <w:r w:rsidR="00BB0E62">
        <w:t xml:space="preserve">second component will </w:t>
      </w:r>
      <w:r w:rsidR="00A57E7D">
        <w:t xml:space="preserve">be due to the </w:t>
      </w:r>
      <w:r w:rsidR="00BB0E62">
        <w:t xml:space="preserve">cyclic delay introduced </w:t>
      </w:r>
      <w:r w:rsidR="00250C51">
        <w:t>on one of the transmit antennas</w:t>
      </w:r>
      <w:r w:rsidR="00A57E7D">
        <w:t xml:space="preserve">, and this second </w:t>
      </w:r>
      <w:r w:rsidR="00A36E09">
        <w:t xml:space="preserve">fading </w:t>
      </w:r>
      <w:bookmarkStart w:id="2" w:name="_GoBack"/>
      <w:bookmarkEnd w:id="2"/>
      <w:r w:rsidR="00A57E7D">
        <w:t>component will be very fast if the delay is large</w:t>
      </w:r>
      <w:r w:rsidR="00BB0E62">
        <w:t>.</w:t>
      </w:r>
    </w:p>
    <w:p w14:paraId="39F9F3A1" w14:textId="177CB662" w:rsidR="00BB0E62" w:rsidRDefault="00BB0E62" w:rsidP="00FC59DE">
      <w:r>
        <w:lastRenderedPageBreak/>
        <w:t xml:space="preserve">Since a large cyclic delay of one transmitter relative to another can significantly degrade the performance of the </w:t>
      </w:r>
      <w:proofErr w:type="spellStart"/>
      <w:r>
        <w:t>gNB</w:t>
      </w:r>
      <w:proofErr w:type="spellEnd"/>
      <w:r>
        <w:t xml:space="preserve"> channel estimati</w:t>
      </w:r>
      <w:r w:rsidR="00250C51">
        <w:t xml:space="preserve">on, it seems that there should be a limit placed on the maximum cyclic delay that can be used for transparent </w:t>
      </w:r>
      <w:r w:rsidR="008D0681">
        <w:t xml:space="preserve">transmit </w:t>
      </w:r>
      <w:r w:rsidR="00250C51">
        <w:t>diversity.</w:t>
      </w:r>
    </w:p>
    <w:p w14:paraId="0451E907" w14:textId="23D5C989" w:rsidR="00250C51" w:rsidRDefault="00250C51" w:rsidP="007D12AA">
      <w:pPr>
        <w:ind w:left="1440" w:hanging="1440"/>
      </w:pPr>
      <w:r w:rsidRPr="007D12AA">
        <w:rPr>
          <w:b/>
          <w:bCs/>
        </w:rPr>
        <w:t>Proposal 1:</w:t>
      </w:r>
      <w:r>
        <w:t xml:space="preserve">  </w:t>
      </w:r>
      <w:r w:rsidR="007D12AA">
        <w:tab/>
      </w:r>
      <w:r>
        <w:t xml:space="preserve">The absolute value of the maximum cyclic delay allowed for transparent </w:t>
      </w:r>
      <w:r w:rsidR="008D0681">
        <w:t xml:space="preserve">transmit </w:t>
      </w:r>
      <w:r>
        <w:t>diversity should be limited to a small fraction of the length of the cyclic prefix.</w:t>
      </w:r>
    </w:p>
    <w:p w14:paraId="5F76DFFB" w14:textId="03338CDB" w:rsidR="00250C51" w:rsidRDefault="00250C51" w:rsidP="00FC59DE">
      <w:r>
        <w:t>The absolute value is used here</w:t>
      </w:r>
      <w:r w:rsidR="007D12AA">
        <w:t xml:space="preserve"> as</w:t>
      </w:r>
      <w:r>
        <w:t xml:space="preserve"> transparent</w:t>
      </w:r>
      <w:r w:rsidR="008D0681">
        <w:t xml:space="preserve"> transmit</w:t>
      </w:r>
      <w:r>
        <w:t xml:space="preserve"> </w:t>
      </w:r>
      <w:r w:rsidR="007D12AA">
        <w:t>diversity can also be implemented by applying</w:t>
      </w:r>
      <w:r>
        <w:t xml:space="preserve"> cyclic advance (a negative delay) of one transmitter relative to the other.</w:t>
      </w:r>
    </w:p>
    <w:p w14:paraId="41C2EB69" w14:textId="492C8F13" w:rsidR="007D12AA" w:rsidRDefault="00250C51" w:rsidP="00FC59DE">
      <w:r>
        <w:t xml:space="preserve">Given that the absolute value of the maximum cyclic delay allowed for transparent </w:t>
      </w:r>
      <w:r w:rsidR="008D0681">
        <w:t xml:space="preserve">transmit </w:t>
      </w:r>
      <w:r>
        <w:t xml:space="preserve">diversity should be limited, the cyclic delay should be measured by the test equipment.  </w:t>
      </w:r>
      <w:r w:rsidR="007D12AA">
        <w:t xml:space="preserve">This can be done by simultaneously demodulating the output of both UE antennas, and determining </w:t>
      </w:r>
      <w:r w:rsidR="004C244E">
        <w:t xml:space="preserve">the rate of </w:t>
      </w:r>
      <w:r w:rsidR="007D12AA">
        <w:t xml:space="preserve">change of the relative phase of the FFT outputs across frequency. </w:t>
      </w:r>
      <w:r w:rsidR="004C244E">
        <w:t xml:space="preserve"> </w:t>
      </w:r>
      <w:r w:rsidR="007D12AA">
        <w:t>Alternatively, the cyclic delay can be measured by cross correlation of the signals at the two antenna connectors.</w:t>
      </w:r>
    </w:p>
    <w:p w14:paraId="3A544842" w14:textId="3F626E19" w:rsidR="007D12AA" w:rsidRDefault="007D12AA" w:rsidP="00FC59DE">
      <w:r w:rsidRPr="007D12AA">
        <w:rPr>
          <w:b/>
          <w:bCs/>
        </w:rPr>
        <w:t>Proposal 2:</w:t>
      </w:r>
      <w:r>
        <w:t xml:space="preserve">  </w:t>
      </w:r>
      <w:r>
        <w:tab/>
        <w:t xml:space="preserve">The cyclic delay used by the UE for transparent </w:t>
      </w:r>
      <w:r w:rsidR="008D0681">
        <w:t xml:space="preserve">transmit </w:t>
      </w:r>
      <w:r>
        <w:t xml:space="preserve">diversity should be measured. </w:t>
      </w:r>
    </w:p>
    <w:p w14:paraId="5CD20740" w14:textId="731C2561" w:rsidR="005E6BA7" w:rsidRDefault="00073FF9" w:rsidP="005E6BA7">
      <w:pPr>
        <w:keepNext/>
        <w:numPr>
          <w:ilvl w:val="0"/>
          <w:numId w:val="20"/>
        </w:numPr>
        <w:tabs>
          <w:tab w:val="left" w:pos="0"/>
        </w:tabs>
        <w:spacing w:before="240" w:after="120"/>
        <w:jc w:val="both"/>
        <w:outlineLvl w:val="0"/>
        <w:rPr>
          <w:rFonts w:ascii="Arial" w:eastAsia="MS Gothic" w:hAnsi="Arial"/>
          <w:b/>
          <w:color w:val="000000"/>
          <w:kern w:val="28"/>
          <w:sz w:val="28"/>
          <w:szCs w:val="22"/>
          <w:lang w:eastAsia="ja-JP"/>
        </w:rPr>
      </w:pPr>
      <w:r>
        <w:rPr>
          <w:rFonts w:ascii="Arial" w:eastAsia="MS Gothic" w:hAnsi="Arial"/>
          <w:b/>
          <w:color w:val="000000"/>
          <w:kern w:val="28"/>
          <w:sz w:val="28"/>
          <w:szCs w:val="22"/>
          <w:lang w:eastAsia="ja-JP"/>
        </w:rPr>
        <w:t>Conclusion</w:t>
      </w:r>
    </w:p>
    <w:p w14:paraId="7CF797DD" w14:textId="105C46DB" w:rsidR="00506AA4" w:rsidRDefault="00B61CE5" w:rsidP="00B666FC">
      <w:pPr>
        <w:keepNext/>
        <w:tabs>
          <w:tab w:val="left" w:pos="0"/>
        </w:tabs>
        <w:spacing w:before="240" w:after="120"/>
        <w:jc w:val="both"/>
        <w:outlineLvl w:val="0"/>
      </w:pPr>
      <w:r>
        <w:t>While there</w:t>
      </w:r>
      <w:r w:rsidR="00B666FC">
        <w:t xml:space="preserve"> is no definition of transparent transmit diversity in the specification</w:t>
      </w:r>
      <w:r>
        <w:t xml:space="preserve">, it is generally </w:t>
      </w:r>
      <w:r w:rsidR="00B666FC">
        <w:t>assumed that cyclic delay diversity is intended</w:t>
      </w:r>
      <w:r>
        <w:t xml:space="preserve">.  </w:t>
      </w:r>
      <w:r w:rsidR="00506AA4">
        <w:t xml:space="preserve">Without some limitation on the cyclic delay that is used, the relative phase difference between the signals from the two transmit antennas can change by 180 degrees within one RB, and the performance of channel estimation at the </w:t>
      </w:r>
      <w:proofErr w:type="spellStart"/>
      <w:r w:rsidR="00506AA4">
        <w:t>gNB</w:t>
      </w:r>
      <w:proofErr w:type="spellEnd"/>
      <w:r w:rsidR="00506AA4">
        <w:t xml:space="preserve"> can be significantly degraded.  As a result, we propose that the absolute value of the cyclic delay be limited and measured.</w:t>
      </w:r>
    </w:p>
    <w:p w14:paraId="27B46EB5" w14:textId="56596624" w:rsidR="00506AA4" w:rsidRDefault="00506AA4" w:rsidP="00506AA4">
      <w:pPr>
        <w:ind w:left="1440" w:hanging="1440"/>
      </w:pPr>
      <w:r w:rsidRPr="007D12AA">
        <w:rPr>
          <w:b/>
          <w:bCs/>
        </w:rPr>
        <w:t>Proposal 1:</w:t>
      </w:r>
      <w:r>
        <w:t xml:space="preserve">  </w:t>
      </w:r>
      <w:r>
        <w:tab/>
        <w:t>The absolute value of the maximum cyclic delay allowed for transparent transmit diversity should be limited to a small fraction of the length of the cyclic prefix.</w:t>
      </w:r>
    </w:p>
    <w:p w14:paraId="6D1524B1" w14:textId="35BED64F" w:rsidR="004C244E" w:rsidRDefault="00506AA4" w:rsidP="00156C73">
      <w:r w:rsidRPr="007D12AA">
        <w:rPr>
          <w:b/>
          <w:bCs/>
        </w:rPr>
        <w:t>Proposal 2:</w:t>
      </w:r>
      <w:r>
        <w:t xml:space="preserve">  </w:t>
      </w:r>
      <w:r>
        <w:tab/>
        <w:t xml:space="preserve">The cyclic delay used by the UE for transparent transmit diversity should be measured. </w:t>
      </w:r>
    </w:p>
    <w:p w14:paraId="753075A7" w14:textId="77777777" w:rsidR="00156C73" w:rsidRPr="00156C73" w:rsidRDefault="00156C73" w:rsidP="00156C73"/>
    <w:p w14:paraId="6D52598D" w14:textId="424722DD" w:rsidR="004A388F" w:rsidRPr="004A388F" w:rsidRDefault="004A388F"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E750D36" w14:textId="0D146337" w:rsidR="00F148BB" w:rsidRPr="008D0681" w:rsidRDefault="00F148BB" w:rsidP="00F148BB">
      <w:pPr>
        <w:numPr>
          <w:ilvl w:val="0"/>
          <w:numId w:val="21"/>
        </w:numPr>
        <w:spacing w:after="0"/>
        <w:rPr>
          <w:rFonts w:eastAsia="MS Gothic"/>
          <w:lang w:eastAsia="ja-JP"/>
        </w:rPr>
      </w:pPr>
      <w:r w:rsidRPr="008D0681">
        <w:rPr>
          <w:rFonts w:eastAsia="MS Gothic"/>
          <w:lang w:eastAsia="ja-JP"/>
        </w:rPr>
        <w:t>R4-200</w:t>
      </w:r>
      <w:r w:rsidR="00102B50" w:rsidRPr="008D0681">
        <w:rPr>
          <w:rFonts w:eastAsia="MS Gothic"/>
          <w:lang w:eastAsia="ja-JP"/>
        </w:rPr>
        <w:t>3217</w:t>
      </w:r>
      <w:r w:rsidRPr="008D0681">
        <w:rPr>
          <w:rFonts w:eastAsia="MS Gothic"/>
          <w:lang w:eastAsia="ja-JP"/>
        </w:rPr>
        <w:t>, ‘</w:t>
      </w:r>
      <w:r w:rsidR="00102B50" w:rsidRPr="008D0681">
        <w:rPr>
          <w:rFonts w:eastAsia="MS Gothic"/>
          <w:lang w:eastAsia="ja-JP"/>
        </w:rPr>
        <w:t>On Transparent Tx Diversity</w:t>
      </w:r>
      <w:r w:rsidR="001505F5" w:rsidRPr="008D0681">
        <w:rPr>
          <w:rFonts w:eastAsia="MS Gothic"/>
          <w:lang w:eastAsia="ja-JP"/>
        </w:rPr>
        <w:t>,’</w:t>
      </w:r>
      <w:r w:rsidRPr="008D0681">
        <w:rPr>
          <w:rFonts w:eastAsia="MS Gothic"/>
          <w:lang w:eastAsia="ja-JP"/>
        </w:rPr>
        <w:t xml:space="preserve"> </w:t>
      </w:r>
      <w:r w:rsidR="00102B50" w:rsidRPr="008D0681">
        <w:rPr>
          <w:rFonts w:eastAsia="MS Gothic"/>
          <w:lang w:eastAsia="ja-JP"/>
        </w:rPr>
        <w:t>Intel</w:t>
      </w:r>
      <w:r w:rsidR="00B666FC" w:rsidRPr="008D0681">
        <w:rPr>
          <w:rFonts w:eastAsia="MS Gothic"/>
          <w:lang w:eastAsia="ja-JP"/>
        </w:rPr>
        <w:t xml:space="preserve"> Corporation</w:t>
      </w:r>
      <w:r w:rsidRPr="008D0681">
        <w:rPr>
          <w:rFonts w:eastAsia="MS Gothic"/>
          <w:lang w:eastAsia="ja-JP"/>
        </w:rPr>
        <w:t xml:space="preserve">, </w:t>
      </w:r>
      <w:r w:rsidR="00B666FC" w:rsidRPr="008D0681">
        <w:rPr>
          <w:rFonts w:eastAsia="MS Gothic"/>
          <w:lang w:eastAsia="ja-JP"/>
        </w:rPr>
        <w:t>3GPP TSG-RAN WG4 Meeting</w:t>
      </w:r>
      <w:r w:rsidRPr="008D0681">
        <w:rPr>
          <w:rFonts w:eastAsia="MS Gothic"/>
          <w:lang w:eastAsia="ja-JP"/>
        </w:rPr>
        <w:t xml:space="preserve"> #94</w:t>
      </w:r>
      <w:r w:rsidR="00B666FC" w:rsidRPr="008D0681">
        <w:rPr>
          <w:rFonts w:eastAsia="MS Gothic"/>
          <w:lang w:eastAsia="ja-JP"/>
        </w:rPr>
        <w:t>bis</w:t>
      </w:r>
      <w:r w:rsidRPr="008D0681">
        <w:rPr>
          <w:rFonts w:eastAsia="MS Gothic"/>
          <w:lang w:eastAsia="ja-JP"/>
        </w:rPr>
        <w:t>-e</w:t>
      </w:r>
      <w:r w:rsidR="00B666FC" w:rsidRPr="008D0681">
        <w:rPr>
          <w:rFonts w:eastAsia="MS Gothic"/>
          <w:lang w:eastAsia="ja-JP"/>
        </w:rPr>
        <w:t>, April 2020</w:t>
      </w:r>
      <w:r w:rsidRPr="008D0681">
        <w:rPr>
          <w:rFonts w:eastAsia="MS Gothic"/>
          <w:lang w:eastAsia="ja-JP"/>
        </w:rPr>
        <w:t>.</w:t>
      </w:r>
    </w:p>
    <w:p w14:paraId="7D0C1B6F" w14:textId="6F0D2B56" w:rsidR="00F148BB" w:rsidRPr="008D0681" w:rsidRDefault="00F148BB" w:rsidP="00F148BB">
      <w:pPr>
        <w:numPr>
          <w:ilvl w:val="0"/>
          <w:numId w:val="21"/>
        </w:numPr>
        <w:spacing w:after="0"/>
        <w:rPr>
          <w:rFonts w:eastAsia="MS Gothic"/>
          <w:lang w:eastAsia="ja-JP"/>
        </w:rPr>
      </w:pPr>
      <w:r w:rsidRPr="008D0681">
        <w:rPr>
          <w:rFonts w:eastAsia="MS Gothic"/>
          <w:lang w:eastAsia="ja-JP"/>
        </w:rPr>
        <w:t>R4-</w:t>
      </w:r>
      <w:r w:rsidR="00B666FC" w:rsidRPr="008D0681">
        <w:rPr>
          <w:rFonts w:eastAsia="MS Gothic"/>
          <w:lang w:eastAsia="ja-JP"/>
        </w:rPr>
        <w:t>200</w:t>
      </w:r>
      <w:r w:rsidR="00102B50" w:rsidRPr="008D0681">
        <w:rPr>
          <w:rFonts w:eastAsia="MS Gothic"/>
          <w:lang w:eastAsia="ja-JP"/>
        </w:rPr>
        <w:t>3536</w:t>
      </w:r>
      <w:r w:rsidRPr="008D0681">
        <w:rPr>
          <w:rFonts w:eastAsia="MS Gothic"/>
          <w:lang w:eastAsia="ja-JP"/>
        </w:rPr>
        <w:t>, ‘</w:t>
      </w:r>
      <w:r w:rsidR="00102B50" w:rsidRPr="008D0681">
        <w:rPr>
          <w:rFonts w:eastAsia="MS Gothic"/>
          <w:lang w:eastAsia="ja-JP"/>
        </w:rPr>
        <w:t>Discuss</w:t>
      </w:r>
      <w:r w:rsidR="00B666FC" w:rsidRPr="008D0681">
        <w:rPr>
          <w:rFonts w:eastAsia="MS Gothic"/>
          <w:lang w:eastAsia="ja-JP"/>
        </w:rPr>
        <w:t>i</w:t>
      </w:r>
      <w:r w:rsidR="00102B50" w:rsidRPr="008D0681">
        <w:rPr>
          <w:rFonts w:eastAsia="MS Gothic"/>
          <w:lang w:eastAsia="ja-JP"/>
        </w:rPr>
        <w:t>on on Tx Diversity and Power Class Issues</w:t>
      </w:r>
      <w:r w:rsidR="00B666FC" w:rsidRPr="008D0681">
        <w:rPr>
          <w:rFonts w:eastAsia="MS Gothic"/>
          <w:lang w:eastAsia="ja-JP"/>
        </w:rPr>
        <w:t xml:space="preserve"> for Rel-15 NR</w:t>
      </w:r>
      <w:r w:rsidR="001505F5" w:rsidRPr="008D0681">
        <w:rPr>
          <w:rFonts w:eastAsia="MS Gothic"/>
          <w:lang w:eastAsia="ja-JP"/>
        </w:rPr>
        <w:t>,</w:t>
      </w:r>
      <w:r w:rsidRPr="008D0681">
        <w:rPr>
          <w:rFonts w:eastAsia="MS Gothic"/>
          <w:lang w:eastAsia="ja-JP"/>
        </w:rPr>
        <w:t xml:space="preserve">’ </w:t>
      </w:r>
      <w:r w:rsidR="00102B50" w:rsidRPr="008D0681">
        <w:rPr>
          <w:rFonts w:eastAsia="MS Gothic"/>
          <w:lang w:eastAsia="ja-JP"/>
        </w:rPr>
        <w:t>Samsung</w:t>
      </w:r>
      <w:r w:rsidRPr="008D0681">
        <w:rPr>
          <w:rFonts w:eastAsia="MS Gothic"/>
          <w:lang w:eastAsia="ja-JP"/>
        </w:rPr>
        <w:t xml:space="preserve">, </w:t>
      </w:r>
      <w:r w:rsidR="00B666FC" w:rsidRPr="008D0681">
        <w:rPr>
          <w:rFonts w:eastAsia="MS Gothic"/>
          <w:lang w:eastAsia="ja-JP"/>
        </w:rPr>
        <w:t>3GPP TSG-RAN WG4 Meeting RAN4 #94bis-e, April 2020</w:t>
      </w:r>
      <w:r w:rsidR="004A388F" w:rsidRPr="008D0681">
        <w:rPr>
          <w:rFonts w:eastAsia="Times New Roman"/>
          <w:lang w:eastAsia="ja-JP"/>
        </w:rPr>
        <w:t>.</w:t>
      </w:r>
    </w:p>
    <w:p w14:paraId="4871DAFE" w14:textId="115E9E1F" w:rsidR="001505F5" w:rsidRPr="008D0681" w:rsidRDefault="001505F5" w:rsidP="00B666FC">
      <w:pPr>
        <w:numPr>
          <w:ilvl w:val="0"/>
          <w:numId w:val="21"/>
        </w:numPr>
        <w:spacing w:after="0"/>
        <w:rPr>
          <w:rFonts w:eastAsia="MS Gothic"/>
          <w:lang w:eastAsia="ja-JP"/>
        </w:rPr>
      </w:pPr>
      <w:r w:rsidRPr="008D0681">
        <w:rPr>
          <w:rFonts w:eastAsia="MS Gothic"/>
          <w:lang w:eastAsia="ja-JP"/>
        </w:rPr>
        <w:t>R4-200</w:t>
      </w:r>
      <w:r w:rsidR="00B666FC" w:rsidRPr="008D0681">
        <w:rPr>
          <w:rFonts w:eastAsia="MS Gothic"/>
          <w:lang w:eastAsia="ja-JP"/>
        </w:rPr>
        <w:t>4211</w:t>
      </w:r>
      <w:r w:rsidRPr="008D0681">
        <w:rPr>
          <w:rFonts w:eastAsia="MS Gothic"/>
          <w:lang w:eastAsia="ja-JP"/>
        </w:rPr>
        <w:t>, ‘</w:t>
      </w:r>
      <w:r w:rsidR="00B666FC" w:rsidRPr="008D0681">
        <w:rPr>
          <w:rFonts w:eastAsia="MS Gothic"/>
          <w:lang w:eastAsia="ja-JP"/>
        </w:rPr>
        <w:t>Impact of transparent TX diversity in Rel-15 on conformance testing,’ Keysight Technologies</w:t>
      </w:r>
      <w:r w:rsidRPr="008D0681">
        <w:rPr>
          <w:rFonts w:eastAsia="MS Gothic"/>
          <w:lang w:eastAsia="ja-JP"/>
        </w:rPr>
        <w:t>,</w:t>
      </w:r>
      <w:r w:rsidR="00B666FC" w:rsidRPr="008D0681">
        <w:rPr>
          <w:rFonts w:eastAsia="MS Gothic"/>
          <w:lang w:eastAsia="ja-JP"/>
        </w:rPr>
        <w:t xml:space="preserve"> 3GPP TSG-RAN WG4 Meeting RAN4 #94bis-e, April 2020</w:t>
      </w:r>
      <w:r w:rsidR="00B666FC" w:rsidRPr="008D0681">
        <w:rPr>
          <w:rFonts w:eastAsia="Times New Roman"/>
          <w:lang w:eastAsia="ja-JP"/>
        </w:rPr>
        <w:t>.</w:t>
      </w:r>
    </w:p>
    <w:p w14:paraId="4E3A42BD" w14:textId="7955FEC8" w:rsidR="00F148BB" w:rsidRPr="008D0681" w:rsidRDefault="001505F5" w:rsidP="00B666FC">
      <w:pPr>
        <w:pStyle w:val="ListParagraph"/>
        <w:numPr>
          <w:ilvl w:val="0"/>
          <w:numId w:val="21"/>
        </w:numPr>
        <w:rPr>
          <w:rFonts w:eastAsia="MS Gothic"/>
          <w:lang w:eastAsia="ja-JP"/>
        </w:rPr>
      </w:pPr>
      <w:r w:rsidRPr="008D0681">
        <w:rPr>
          <w:rFonts w:eastAsia="MS Gothic"/>
          <w:lang w:eastAsia="ja-JP"/>
        </w:rPr>
        <w:t>R4-200</w:t>
      </w:r>
      <w:r w:rsidR="00B666FC" w:rsidRPr="008D0681">
        <w:rPr>
          <w:rFonts w:eastAsia="MS Gothic"/>
          <w:lang w:eastAsia="ja-JP"/>
        </w:rPr>
        <w:t>3330</w:t>
      </w:r>
      <w:r w:rsidRPr="008D0681">
        <w:rPr>
          <w:rFonts w:eastAsia="MS Gothic"/>
          <w:lang w:eastAsia="ja-JP"/>
        </w:rPr>
        <w:t>, ‘</w:t>
      </w:r>
      <w:r w:rsidR="00B666FC" w:rsidRPr="008D0681">
        <w:rPr>
          <w:rFonts w:eastAsia="MS Gothic"/>
          <w:lang w:eastAsia="ja-JP"/>
        </w:rPr>
        <w:t>Consideration on introduction of Tx diversity feature in Rel-16</w:t>
      </w:r>
      <w:r w:rsidRPr="008D0681">
        <w:rPr>
          <w:rFonts w:eastAsia="MS Gothic"/>
          <w:lang w:eastAsia="ja-JP"/>
        </w:rPr>
        <w:t xml:space="preserve">,’ </w:t>
      </w:r>
      <w:r w:rsidR="00B666FC" w:rsidRPr="008D0681">
        <w:rPr>
          <w:rFonts w:eastAsia="MS Gothic"/>
          <w:lang w:eastAsia="ja-JP"/>
        </w:rPr>
        <w:t>Anritsu Corp.</w:t>
      </w:r>
      <w:r w:rsidRPr="008D0681">
        <w:rPr>
          <w:rFonts w:eastAsia="MS Gothic"/>
          <w:lang w:eastAsia="ja-JP"/>
        </w:rPr>
        <w:t>, 3GPP TSG-RAN WG4 Meeting #</w:t>
      </w:r>
      <w:r w:rsidR="00B666FC" w:rsidRPr="008D0681">
        <w:rPr>
          <w:rFonts w:eastAsia="MS Gothic"/>
          <w:lang w:eastAsia="ja-JP"/>
        </w:rPr>
        <w:t>94bis-e</w:t>
      </w:r>
      <w:r w:rsidRPr="008D0681">
        <w:rPr>
          <w:rFonts w:eastAsia="MS Gothic"/>
          <w:lang w:eastAsia="ja-JP"/>
        </w:rPr>
        <w:t>, April 2020.</w:t>
      </w:r>
      <w:bookmarkEnd w:id="1"/>
    </w:p>
    <w:sectPr w:rsidR="00F148BB" w:rsidRPr="008D06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BAC8F" w14:textId="77777777" w:rsidR="00B57548" w:rsidRDefault="00B57548" w:rsidP="00E84719">
      <w:pPr>
        <w:spacing w:after="0"/>
      </w:pPr>
      <w:r>
        <w:separator/>
      </w:r>
    </w:p>
  </w:endnote>
  <w:endnote w:type="continuationSeparator" w:id="0">
    <w:p w14:paraId="2272821E" w14:textId="77777777" w:rsidR="00B57548" w:rsidRDefault="00B57548"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CF4F3" w14:textId="77777777" w:rsidR="00B57548" w:rsidRDefault="00B57548" w:rsidP="00E84719">
      <w:pPr>
        <w:spacing w:after="0"/>
      </w:pPr>
      <w:r>
        <w:separator/>
      </w:r>
    </w:p>
  </w:footnote>
  <w:footnote w:type="continuationSeparator" w:id="0">
    <w:p w14:paraId="33FAC618" w14:textId="77777777" w:rsidR="00B57548" w:rsidRDefault="00B57548"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48678E"/>
    <w:multiLevelType w:val="hybridMultilevel"/>
    <w:tmpl w:val="66A8A41E"/>
    <w:lvl w:ilvl="0" w:tplc="0AFA8B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2"/>
  </w:num>
  <w:num w:numId="7">
    <w:abstractNumId w:val="25"/>
  </w:num>
  <w:num w:numId="8">
    <w:abstractNumId w:val="26"/>
  </w:num>
  <w:num w:numId="9">
    <w:abstractNumId w:val="9"/>
  </w:num>
  <w:num w:numId="10">
    <w:abstractNumId w:val="4"/>
  </w:num>
  <w:num w:numId="11">
    <w:abstractNumId w:val="13"/>
  </w:num>
  <w:num w:numId="12">
    <w:abstractNumId w:val="15"/>
  </w:num>
  <w:num w:numId="13">
    <w:abstractNumId w:val="10"/>
  </w:num>
  <w:num w:numId="14">
    <w:abstractNumId w:val="20"/>
  </w:num>
  <w:num w:numId="15">
    <w:abstractNumId w:val="0"/>
  </w:num>
  <w:num w:numId="16">
    <w:abstractNumId w:val="2"/>
  </w:num>
  <w:num w:numId="17">
    <w:abstractNumId w:val="5"/>
  </w:num>
  <w:num w:numId="18">
    <w:abstractNumId w:val="19"/>
  </w:num>
  <w:num w:numId="19">
    <w:abstractNumId w:val="11"/>
  </w:num>
  <w:num w:numId="20">
    <w:abstractNumId w:val="21"/>
  </w:num>
  <w:num w:numId="21">
    <w:abstractNumId w:val="7"/>
  </w:num>
  <w:num w:numId="22">
    <w:abstractNumId w:val="27"/>
  </w:num>
  <w:num w:numId="23">
    <w:abstractNumId w:val="6"/>
  </w:num>
  <w:num w:numId="24">
    <w:abstractNumId w:val="14"/>
  </w:num>
  <w:num w:numId="25">
    <w:abstractNumId w:val="1"/>
  </w:num>
  <w:num w:numId="26">
    <w:abstractNumId w:val="23"/>
  </w:num>
  <w:num w:numId="27">
    <w:abstractNumId w:val="17"/>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749C"/>
    <w:rsid w:val="0002322E"/>
    <w:rsid w:val="000379B4"/>
    <w:rsid w:val="0004036E"/>
    <w:rsid w:val="00042837"/>
    <w:rsid w:val="00047997"/>
    <w:rsid w:val="0005505B"/>
    <w:rsid w:val="000553C5"/>
    <w:rsid w:val="00056D23"/>
    <w:rsid w:val="000602E4"/>
    <w:rsid w:val="00064205"/>
    <w:rsid w:val="00064722"/>
    <w:rsid w:val="00073FF9"/>
    <w:rsid w:val="000758A8"/>
    <w:rsid w:val="000765E4"/>
    <w:rsid w:val="0008162C"/>
    <w:rsid w:val="00082753"/>
    <w:rsid w:val="00092A71"/>
    <w:rsid w:val="000B0D6C"/>
    <w:rsid w:val="000B5732"/>
    <w:rsid w:val="000B5BC4"/>
    <w:rsid w:val="000C2463"/>
    <w:rsid w:val="000C338B"/>
    <w:rsid w:val="000D6E08"/>
    <w:rsid w:val="000E407D"/>
    <w:rsid w:val="000E65D1"/>
    <w:rsid w:val="000F0A0F"/>
    <w:rsid w:val="000F7DFE"/>
    <w:rsid w:val="00102B50"/>
    <w:rsid w:val="00104731"/>
    <w:rsid w:val="00110095"/>
    <w:rsid w:val="00132EF0"/>
    <w:rsid w:val="001336F4"/>
    <w:rsid w:val="001339E6"/>
    <w:rsid w:val="001505F5"/>
    <w:rsid w:val="00156C73"/>
    <w:rsid w:val="001641E9"/>
    <w:rsid w:val="0017265F"/>
    <w:rsid w:val="001736AB"/>
    <w:rsid w:val="00181C73"/>
    <w:rsid w:val="00183180"/>
    <w:rsid w:val="00184894"/>
    <w:rsid w:val="00191709"/>
    <w:rsid w:val="001A1961"/>
    <w:rsid w:val="001A3FB8"/>
    <w:rsid w:val="001B243E"/>
    <w:rsid w:val="001B2889"/>
    <w:rsid w:val="001B38C2"/>
    <w:rsid w:val="001B42CE"/>
    <w:rsid w:val="001C23AA"/>
    <w:rsid w:val="001C6A31"/>
    <w:rsid w:val="001E2713"/>
    <w:rsid w:val="00202AB7"/>
    <w:rsid w:val="00204C27"/>
    <w:rsid w:val="00205573"/>
    <w:rsid w:val="00234996"/>
    <w:rsid w:val="002443F1"/>
    <w:rsid w:val="00250A04"/>
    <w:rsid w:val="00250C51"/>
    <w:rsid w:val="00255D1F"/>
    <w:rsid w:val="00255EEF"/>
    <w:rsid w:val="002564C5"/>
    <w:rsid w:val="00261FEA"/>
    <w:rsid w:val="002633CE"/>
    <w:rsid w:val="002702AF"/>
    <w:rsid w:val="002768C8"/>
    <w:rsid w:val="00280999"/>
    <w:rsid w:val="00281757"/>
    <w:rsid w:val="002873E9"/>
    <w:rsid w:val="00290783"/>
    <w:rsid w:val="002A0349"/>
    <w:rsid w:val="002A0E78"/>
    <w:rsid w:val="002A43F6"/>
    <w:rsid w:val="002A5B0F"/>
    <w:rsid w:val="002A7715"/>
    <w:rsid w:val="002C22AC"/>
    <w:rsid w:val="002D409D"/>
    <w:rsid w:val="002E1207"/>
    <w:rsid w:val="002E1CEB"/>
    <w:rsid w:val="002E6A7F"/>
    <w:rsid w:val="002F543D"/>
    <w:rsid w:val="002F7D6A"/>
    <w:rsid w:val="003148A3"/>
    <w:rsid w:val="00314C42"/>
    <w:rsid w:val="003307E5"/>
    <w:rsid w:val="003374FC"/>
    <w:rsid w:val="00345D21"/>
    <w:rsid w:val="0034607B"/>
    <w:rsid w:val="00356D22"/>
    <w:rsid w:val="0036158C"/>
    <w:rsid w:val="00372242"/>
    <w:rsid w:val="00373C91"/>
    <w:rsid w:val="00382FA3"/>
    <w:rsid w:val="00392D5C"/>
    <w:rsid w:val="00392F71"/>
    <w:rsid w:val="00393D6B"/>
    <w:rsid w:val="00395F12"/>
    <w:rsid w:val="003A1507"/>
    <w:rsid w:val="003A4FE8"/>
    <w:rsid w:val="003B328B"/>
    <w:rsid w:val="003B380A"/>
    <w:rsid w:val="003B532C"/>
    <w:rsid w:val="003B6E1E"/>
    <w:rsid w:val="003B72A8"/>
    <w:rsid w:val="003C07A3"/>
    <w:rsid w:val="003D1F2B"/>
    <w:rsid w:val="003D27A0"/>
    <w:rsid w:val="003D3836"/>
    <w:rsid w:val="003D5744"/>
    <w:rsid w:val="003D6393"/>
    <w:rsid w:val="0040735B"/>
    <w:rsid w:val="004132B4"/>
    <w:rsid w:val="00415B7B"/>
    <w:rsid w:val="0042528F"/>
    <w:rsid w:val="00441AA9"/>
    <w:rsid w:val="00441DA9"/>
    <w:rsid w:val="00442FD1"/>
    <w:rsid w:val="00444E77"/>
    <w:rsid w:val="004558F2"/>
    <w:rsid w:val="00461975"/>
    <w:rsid w:val="00461C8C"/>
    <w:rsid w:val="004640D9"/>
    <w:rsid w:val="0047044B"/>
    <w:rsid w:val="004746B6"/>
    <w:rsid w:val="00475C81"/>
    <w:rsid w:val="004810F6"/>
    <w:rsid w:val="00487EF2"/>
    <w:rsid w:val="004A0CE7"/>
    <w:rsid w:val="004A2C6E"/>
    <w:rsid w:val="004A388F"/>
    <w:rsid w:val="004B2597"/>
    <w:rsid w:val="004B3608"/>
    <w:rsid w:val="004B3B7B"/>
    <w:rsid w:val="004C244E"/>
    <w:rsid w:val="004C30B7"/>
    <w:rsid w:val="004C39C7"/>
    <w:rsid w:val="004C74EB"/>
    <w:rsid w:val="004D6F21"/>
    <w:rsid w:val="004E7D3D"/>
    <w:rsid w:val="004F225F"/>
    <w:rsid w:val="004F4697"/>
    <w:rsid w:val="0050040B"/>
    <w:rsid w:val="00505E60"/>
    <w:rsid w:val="00506AA4"/>
    <w:rsid w:val="00513D20"/>
    <w:rsid w:val="00515E47"/>
    <w:rsid w:val="00520EC2"/>
    <w:rsid w:val="00525CBD"/>
    <w:rsid w:val="00530CBA"/>
    <w:rsid w:val="00544C43"/>
    <w:rsid w:val="00545B45"/>
    <w:rsid w:val="00554950"/>
    <w:rsid w:val="00562339"/>
    <w:rsid w:val="00571529"/>
    <w:rsid w:val="00575E63"/>
    <w:rsid w:val="005938A0"/>
    <w:rsid w:val="0059435E"/>
    <w:rsid w:val="005B4ACF"/>
    <w:rsid w:val="005C0CFA"/>
    <w:rsid w:val="005C2E40"/>
    <w:rsid w:val="005D174B"/>
    <w:rsid w:val="005D6B75"/>
    <w:rsid w:val="005E5C81"/>
    <w:rsid w:val="005E66A5"/>
    <w:rsid w:val="005E6BA7"/>
    <w:rsid w:val="005F6F3A"/>
    <w:rsid w:val="00600E27"/>
    <w:rsid w:val="00601777"/>
    <w:rsid w:val="00606D9D"/>
    <w:rsid w:val="00607A00"/>
    <w:rsid w:val="006150CF"/>
    <w:rsid w:val="00615A54"/>
    <w:rsid w:val="00616C24"/>
    <w:rsid w:val="006270F6"/>
    <w:rsid w:val="0063626F"/>
    <w:rsid w:val="006500E1"/>
    <w:rsid w:val="0066130A"/>
    <w:rsid w:val="00661FB2"/>
    <w:rsid w:val="00684548"/>
    <w:rsid w:val="00684D34"/>
    <w:rsid w:val="00685921"/>
    <w:rsid w:val="00690B14"/>
    <w:rsid w:val="006938A1"/>
    <w:rsid w:val="0069428A"/>
    <w:rsid w:val="00695418"/>
    <w:rsid w:val="006A17B3"/>
    <w:rsid w:val="006A5E17"/>
    <w:rsid w:val="006B4E6A"/>
    <w:rsid w:val="006C2972"/>
    <w:rsid w:val="006D210A"/>
    <w:rsid w:val="006D3424"/>
    <w:rsid w:val="006D3AD5"/>
    <w:rsid w:val="006E64AD"/>
    <w:rsid w:val="006E6940"/>
    <w:rsid w:val="00707AB3"/>
    <w:rsid w:val="0071147F"/>
    <w:rsid w:val="007203F8"/>
    <w:rsid w:val="007409D2"/>
    <w:rsid w:val="00744A16"/>
    <w:rsid w:val="0075575F"/>
    <w:rsid w:val="00764682"/>
    <w:rsid w:val="00772036"/>
    <w:rsid w:val="00772A7E"/>
    <w:rsid w:val="00772EC6"/>
    <w:rsid w:val="00775D58"/>
    <w:rsid w:val="00777483"/>
    <w:rsid w:val="00777536"/>
    <w:rsid w:val="00781BBB"/>
    <w:rsid w:val="00797404"/>
    <w:rsid w:val="007B01C2"/>
    <w:rsid w:val="007C30DD"/>
    <w:rsid w:val="007D12AA"/>
    <w:rsid w:val="007D1F65"/>
    <w:rsid w:val="007D3BB9"/>
    <w:rsid w:val="007E0D29"/>
    <w:rsid w:val="007E5985"/>
    <w:rsid w:val="007E5BAE"/>
    <w:rsid w:val="007E5D1F"/>
    <w:rsid w:val="007F729C"/>
    <w:rsid w:val="00801FB4"/>
    <w:rsid w:val="00832CEC"/>
    <w:rsid w:val="00834166"/>
    <w:rsid w:val="00834BCD"/>
    <w:rsid w:val="0083597D"/>
    <w:rsid w:val="00857B45"/>
    <w:rsid w:val="00865261"/>
    <w:rsid w:val="00883437"/>
    <w:rsid w:val="00890362"/>
    <w:rsid w:val="00890801"/>
    <w:rsid w:val="008947C2"/>
    <w:rsid w:val="00895939"/>
    <w:rsid w:val="00897045"/>
    <w:rsid w:val="00897992"/>
    <w:rsid w:val="008A5A67"/>
    <w:rsid w:val="008A6EE9"/>
    <w:rsid w:val="008B0A45"/>
    <w:rsid w:val="008B5869"/>
    <w:rsid w:val="008C1792"/>
    <w:rsid w:val="008C238B"/>
    <w:rsid w:val="008C5561"/>
    <w:rsid w:val="008D0681"/>
    <w:rsid w:val="008E1F63"/>
    <w:rsid w:val="008E478E"/>
    <w:rsid w:val="008E63BC"/>
    <w:rsid w:val="008F7238"/>
    <w:rsid w:val="00901670"/>
    <w:rsid w:val="00902C80"/>
    <w:rsid w:val="00932659"/>
    <w:rsid w:val="00933CFF"/>
    <w:rsid w:val="00940B5B"/>
    <w:rsid w:val="009473ED"/>
    <w:rsid w:val="009533A5"/>
    <w:rsid w:val="009639CB"/>
    <w:rsid w:val="00972935"/>
    <w:rsid w:val="00985E9B"/>
    <w:rsid w:val="00987C0E"/>
    <w:rsid w:val="00987DE1"/>
    <w:rsid w:val="009906C2"/>
    <w:rsid w:val="0099690A"/>
    <w:rsid w:val="00996A3F"/>
    <w:rsid w:val="009A36B0"/>
    <w:rsid w:val="009B0668"/>
    <w:rsid w:val="009B1F61"/>
    <w:rsid w:val="009B648D"/>
    <w:rsid w:val="009D4323"/>
    <w:rsid w:val="009D7CFE"/>
    <w:rsid w:val="009E046C"/>
    <w:rsid w:val="009E61BC"/>
    <w:rsid w:val="009E7C90"/>
    <w:rsid w:val="009F3DF7"/>
    <w:rsid w:val="00A00DED"/>
    <w:rsid w:val="00A04BE2"/>
    <w:rsid w:val="00A07158"/>
    <w:rsid w:val="00A11E38"/>
    <w:rsid w:val="00A22AB8"/>
    <w:rsid w:val="00A35D8C"/>
    <w:rsid w:val="00A35FF9"/>
    <w:rsid w:val="00A36E09"/>
    <w:rsid w:val="00A371F7"/>
    <w:rsid w:val="00A378AB"/>
    <w:rsid w:val="00A40627"/>
    <w:rsid w:val="00A428D4"/>
    <w:rsid w:val="00A445FE"/>
    <w:rsid w:val="00A4705F"/>
    <w:rsid w:val="00A57E7D"/>
    <w:rsid w:val="00A617D1"/>
    <w:rsid w:val="00A65926"/>
    <w:rsid w:val="00A70CAB"/>
    <w:rsid w:val="00A83AF0"/>
    <w:rsid w:val="00A85240"/>
    <w:rsid w:val="00A9707D"/>
    <w:rsid w:val="00AA5D28"/>
    <w:rsid w:val="00AA7DD0"/>
    <w:rsid w:val="00AB553A"/>
    <w:rsid w:val="00AB6F80"/>
    <w:rsid w:val="00AE0C14"/>
    <w:rsid w:val="00AE12B7"/>
    <w:rsid w:val="00AE2CF1"/>
    <w:rsid w:val="00AE3610"/>
    <w:rsid w:val="00B05406"/>
    <w:rsid w:val="00B07A71"/>
    <w:rsid w:val="00B163F5"/>
    <w:rsid w:val="00B24C40"/>
    <w:rsid w:val="00B316A6"/>
    <w:rsid w:val="00B4154C"/>
    <w:rsid w:val="00B47B28"/>
    <w:rsid w:val="00B56133"/>
    <w:rsid w:val="00B57548"/>
    <w:rsid w:val="00B5775D"/>
    <w:rsid w:val="00B61CE5"/>
    <w:rsid w:val="00B666FC"/>
    <w:rsid w:val="00B741A5"/>
    <w:rsid w:val="00B7485A"/>
    <w:rsid w:val="00B844F8"/>
    <w:rsid w:val="00B86F07"/>
    <w:rsid w:val="00BB0E62"/>
    <w:rsid w:val="00BB4FA6"/>
    <w:rsid w:val="00BD00E2"/>
    <w:rsid w:val="00BE6C20"/>
    <w:rsid w:val="00BF0AE5"/>
    <w:rsid w:val="00C15DBC"/>
    <w:rsid w:val="00C172BE"/>
    <w:rsid w:val="00C214C3"/>
    <w:rsid w:val="00C42A76"/>
    <w:rsid w:val="00C5524B"/>
    <w:rsid w:val="00C6107E"/>
    <w:rsid w:val="00C62B0A"/>
    <w:rsid w:val="00C644B7"/>
    <w:rsid w:val="00C669BD"/>
    <w:rsid w:val="00C66D6B"/>
    <w:rsid w:val="00C717CB"/>
    <w:rsid w:val="00C7184D"/>
    <w:rsid w:val="00C77226"/>
    <w:rsid w:val="00C93D4C"/>
    <w:rsid w:val="00CB3CBF"/>
    <w:rsid w:val="00CC766F"/>
    <w:rsid w:val="00CD3611"/>
    <w:rsid w:val="00CE0FDC"/>
    <w:rsid w:val="00CF652E"/>
    <w:rsid w:val="00D05210"/>
    <w:rsid w:val="00D105C2"/>
    <w:rsid w:val="00D10CCA"/>
    <w:rsid w:val="00D1122A"/>
    <w:rsid w:val="00D16F22"/>
    <w:rsid w:val="00D20728"/>
    <w:rsid w:val="00D30F1D"/>
    <w:rsid w:val="00D40E8D"/>
    <w:rsid w:val="00D53DA0"/>
    <w:rsid w:val="00D57B55"/>
    <w:rsid w:val="00D611DC"/>
    <w:rsid w:val="00D630E4"/>
    <w:rsid w:val="00D715EB"/>
    <w:rsid w:val="00D74D0B"/>
    <w:rsid w:val="00D76A76"/>
    <w:rsid w:val="00D817B7"/>
    <w:rsid w:val="00D933CF"/>
    <w:rsid w:val="00DA0CBD"/>
    <w:rsid w:val="00DB12F8"/>
    <w:rsid w:val="00DB3DA7"/>
    <w:rsid w:val="00DE52CB"/>
    <w:rsid w:val="00DF1ABF"/>
    <w:rsid w:val="00E009BA"/>
    <w:rsid w:val="00E02711"/>
    <w:rsid w:val="00E13ED9"/>
    <w:rsid w:val="00E43A7A"/>
    <w:rsid w:val="00E55182"/>
    <w:rsid w:val="00E571CC"/>
    <w:rsid w:val="00E60A04"/>
    <w:rsid w:val="00E65AD8"/>
    <w:rsid w:val="00E802B9"/>
    <w:rsid w:val="00E8050F"/>
    <w:rsid w:val="00E84719"/>
    <w:rsid w:val="00E96386"/>
    <w:rsid w:val="00EA6B1D"/>
    <w:rsid w:val="00EB02ED"/>
    <w:rsid w:val="00EC6325"/>
    <w:rsid w:val="00ED5D67"/>
    <w:rsid w:val="00ED6079"/>
    <w:rsid w:val="00EE32EF"/>
    <w:rsid w:val="00EF0EBC"/>
    <w:rsid w:val="00F148BB"/>
    <w:rsid w:val="00F16098"/>
    <w:rsid w:val="00F21163"/>
    <w:rsid w:val="00F2703C"/>
    <w:rsid w:val="00F33A1B"/>
    <w:rsid w:val="00F36045"/>
    <w:rsid w:val="00F41B34"/>
    <w:rsid w:val="00F4418A"/>
    <w:rsid w:val="00F4448F"/>
    <w:rsid w:val="00F46729"/>
    <w:rsid w:val="00F62762"/>
    <w:rsid w:val="00F65475"/>
    <w:rsid w:val="00F708B6"/>
    <w:rsid w:val="00F72C83"/>
    <w:rsid w:val="00F85C55"/>
    <w:rsid w:val="00F85CB4"/>
    <w:rsid w:val="00F87BC7"/>
    <w:rsid w:val="00F905A3"/>
    <w:rsid w:val="00F97A5B"/>
    <w:rsid w:val="00FA2CB2"/>
    <w:rsid w:val="00FA38C1"/>
    <w:rsid w:val="00FC41BB"/>
    <w:rsid w:val="00FC4C15"/>
    <w:rsid w:val="00FC59DE"/>
    <w:rsid w:val="00FD6436"/>
    <w:rsid w:val="00FF258C"/>
    <w:rsid w:val="00FF3561"/>
    <w:rsid w:val="00FF61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FA7CDDCD-7768-4017-A3E2-3A3DDEF05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95939"/>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1BCE3-F2A7-4C86-9418-9656CA7D3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793</Words>
  <Characters>5218</Characters>
  <Application>Microsoft Office Word</Application>
  <DocSecurity>0</DocSecurity>
  <Lines>149</Lines>
  <Paragraphs>103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4</cp:revision>
  <cp:lastPrinted>2020-05-15T21:35:00Z</cp:lastPrinted>
  <dcterms:created xsi:type="dcterms:W3CDTF">2020-05-15T17:31:00Z</dcterms:created>
  <dcterms:modified xsi:type="dcterms:W3CDTF">2020-05-15T23:43:00Z</dcterms:modified>
</cp:coreProperties>
</file>