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E963A7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Start w:id="3" w:name="_GoBack"/>
      <w:bookmarkEnd w:id="0"/>
      <w:bookmarkEnd w:id="3"/>
      <w:r w:rsidRPr="00841BCD">
        <w:rPr>
          <w:rFonts w:ascii="Arial" w:eastAsia="SimSun" w:hAnsi="Arial" w:cs="Times New Roman"/>
          <w:b/>
          <w:bCs/>
          <w:sz w:val="24"/>
          <w:szCs w:val="20"/>
          <w:lang w:val="en-GB"/>
        </w:rPr>
        <w:t>3GPP T</w:t>
      </w:r>
      <w:bookmarkStart w:id="4" w:name="_Ref452454252"/>
      <w:bookmarkEnd w:id="4"/>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204039">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204039">
        <w:rPr>
          <w:rFonts w:ascii="Arial" w:eastAsia="SimSun" w:hAnsi="Arial" w:cs="Times New Roman"/>
          <w:b/>
          <w:bCs/>
          <w:sz w:val="24"/>
          <w:szCs w:val="20"/>
          <w:lang w:val="en-GB" w:eastAsia="zh-CN"/>
        </w:rPr>
        <w:t>07163</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4EDD51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F263A" w:rsidRPr="00EF263A">
        <w:rPr>
          <w:rFonts w:ascii="Arial" w:eastAsia="Calibri" w:hAnsi="Arial" w:cs="Arial"/>
          <w:b/>
          <w:bCs/>
          <w:sz w:val="24"/>
          <w:lang w:val="en-GB"/>
        </w:rPr>
        <w:t>Connected mode HST operation with long DRX</w:t>
      </w:r>
    </w:p>
    <w:p w14:paraId="53921647" w14:textId="65CE4FC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4039">
        <w:rPr>
          <w:rFonts w:ascii="Arial" w:eastAsia="MS Mincho" w:hAnsi="Arial" w:cs="Arial"/>
          <w:b/>
          <w:bCs/>
          <w:sz w:val="24"/>
          <w:szCs w:val="20"/>
          <w:lang w:val="en-GB"/>
        </w:rPr>
        <w:t>6.17.1.2</w:t>
      </w:r>
    </w:p>
    <w:p w14:paraId="266D763D" w14:textId="77777777" w:rsidR="00841BCD" w:rsidRPr="00841BCD" w:rsidRDefault="00841BCD" w:rsidP="00841BCD">
      <w:pPr>
        <w:tabs>
          <w:tab w:val="left" w:pos="1985"/>
        </w:tabs>
        <w:rPr>
          <w:rFonts w:ascii="Arial" w:eastAsia="Calibri" w:hAnsi="Arial" w:cs="Arial"/>
          <w:b/>
          <w:bCs/>
          <w:sz w:val="24"/>
          <w:lang w:val="en-GB"/>
        </w:rPr>
      </w:pPr>
      <w:r w:rsidRPr="00204039">
        <w:rPr>
          <w:rFonts w:ascii="Arial" w:eastAsia="Calibri" w:hAnsi="Arial" w:cs="Arial"/>
          <w:b/>
          <w:bCs/>
          <w:sz w:val="24"/>
          <w:lang w:val="en-GB"/>
        </w:rPr>
        <w:t>Document for:</w:t>
      </w:r>
      <w:r w:rsidRPr="00204039">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5FE32265" w:rsidR="00AD58AB" w:rsidRDefault="00781E1D" w:rsidP="00841BCD">
      <w:pPr>
        <w:ind w:right="-22"/>
        <w:rPr>
          <w:rFonts w:eastAsia="Calibri" w:cs="Times New Roman"/>
          <w:szCs w:val="20"/>
          <w:lang w:val="en-GB"/>
        </w:rPr>
      </w:pPr>
      <w:r>
        <w:rPr>
          <w:rFonts w:eastAsia="Calibri" w:cs="Times New Roman"/>
          <w:szCs w:val="20"/>
          <w:lang w:val="en-GB"/>
        </w:rPr>
        <w:t xml:space="preserve">In last meeting RAN4 agreed a WF in [1] in which the connected mode requirements under HST were captured. Related to connected mode operation the items remain concerning whether to include a note in the specification related to mobility operation when scaling factor is applied. </w:t>
      </w:r>
      <w:r w:rsidR="00AD58AB">
        <w:rPr>
          <w:rFonts w:eastAsia="Calibri" w:cs="Times New Roman"/>
          <w:szCs w:val="20"/>
          <w:lang w:val="en-GB"/>
        </w:rPr>
        <w:t xml:space="preserve"> </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7C0DBEC" w14:textId="6F412F12" w:rsidR="00781E1D" w:rsidRDefault="005B39A5" w:rsidP="00EA17AC">
      <w:pPr>
        <w:ind w:right="-22"/>
        <w:rPr>
          <w:rFonts w:eastAsia="Calibri" w:cs="Times New Roman"/>
          <w:szCs w:val="20"/>
          <w:lang w:val="en-GB"/>
        </w:rPr>
      </w:pPr>
      <w:r>
        <w:rPr>
          <w:rFonts w:eastAsia="Calibri" w:cs="Times New Roman"/>
          <w:szCs w:val="20"/>
          <w:lang w:val="en-GB"/>
        </w:rPr>
        <w:t xml:space="preserve">For a number of meetings, we have brought simulation results to illustrate in system level the overall impact on mobility from the delays in </w:t>
      </w:r>
      <w:proofErr w:type="gramStart"/>
      <w:r>
        <w:rPr>
          <w:rFonts w:eastAsia="Calibri" w:cs="Times New Roman"/>
          <w:szCs w:val="20"/>
          <w:lang w:val="en-GB"/>
        </w:rPr>
        <w:t>a</w:t>
      </w:r>
      <w:proofErr w:type="gramEnd"/>
      <w:r>
        <w:rPr>
          <w:rFonts w:eastAsia="Calibri" w:cs="Times New Roman"/>
          <w:szCs w:val="20"/>
          <w:lang w:val="en-GB"/>
        </w:rPr>
        <w:t xml:space="preserve"> HST scenario [1].</w:t>
      </w:r>
    </w:p>
    <w:p w14:paraId="75BCEF97" w14:textId="4BFA6301" w:rsidR="00781E1D" w:rsidRDefault="005B39A5" w:rsidP="00EA17AC">
      <w:pPr>
        <w:ind w:right="-22"/>
        <w:rPr>
          <w:rFonts w:eastAsia="Calibri" w:cs="Times New Roman"/>
          <w:szCs w:val="20"/>
          <w:lang w:val="en-GB"/>
        </w:rPr>
      </w:pPr>
      <w:r>
        <w:rPr>
          <w:rFonts w:eastAsia="Calibri" w:cs="Times New Roman"/>
          <w:szCs w:val="20"/>
          <w:lang w:val="en-GB"/>
        </w:rPr>
        <w:t xml:space="preserve">From the results it is clear, that when accounting the overall system delay any additional delay counts in </w:t>
      </w:r>
      <w:proofErr w:type="gramStart"/>
      <w:r>
        <w:rPr>
          <w:rFonts w:eastAsia="Calibri" w:cs="Times New Roman"/>
          <w:szCs w:val="20"/>
          <w:lang w:val="en-GB"/>
        </w:rPr>
        <w:t>a</w:t>
      </w:r>
      <w:proofErr w:type="gramEnd"/>
      <w:r>
        <w:rPr>
          <w:rFonts w:eastAsia="Calibri" w:cs="Times New Roman"/>
          <w:szCs w:val="20"/>
          <w:lang w:val="en-GB"/>
        </w:rPr>
        <w:t xml:space="preserve"> HST deployment. As discussed in the meeting, in order to enable robust mobility </w:t>
      </w:r>
      <w:proofErr w:type="gramStart"/>
      <w:r>
        <w:rPr>
          <w:rFonts w:eastAsia="Calibri" w:cs="Times New Roman"/>
          <w:szCs w:val="20"/>
          <w:lang w:val="en-GB"/>
        </w:rPr>
        <w:t>a number of</w:t>
      </w:r>
      <w:proofErr w:type="gramEnd"/>
      <w:r>
        <w:rPr>
          <w:rFonts w:eastAsia="Calibri" w:cs="Times New Roman"/>
          <w:szCs w:val="20"/>
          <w:lang w:val="en-GB"/>
        </w:rPr>
        <w:t xml:space="preserve"> system delays need to be considered including of course the UE cell detection, measurement and evaluation delays. On system level one also </w:t>
      </w:r>
      <w:proofErr w:type="gramStart"/>
      <w:r>
        <w:rPr>
          <w:rFonts w:eastAsia="Calibri" w:cs="Times New Roman"/>
          <w:szCs w:val="20"/>
          <w:lang w:val="en-GB"/>
        </w:rPr>
        <w:t>has to</w:t>
      </w:r>
      <w:proofErr w:type="gramEnd"/>
      <w:r>
        <w:rPr>
          <w:rFonts w:eastAsia="Calibri" w:cs="Times New Roman"/>
          <w:szCs w:val="20"/>
          <w:lang w:val="en-GB"/>
        </w:rPr>
        <w:t xml:space="preserve"> consider measurement reporting delay including resource request delay in both UL and DL – which in high load cases may play significant role. Additional system delays include e.g. inter-node negotiations for preparing the handover.</w:t>
      </w:r>
    </w:p>
    <w:p w14:paraId="5FB4EEE2" w14:textId="6836A09C" w:rsidR="005B39A5" w:rsidRDefault="005B39A5" w:rsidP="00EA17AC">
      <w:pPr>
        <w:ind w:right="-22"/>
        <w:rPr>
          <w:rFonts w:eastAsia="Calibri" w:cs="Times New Roman"/>
          <w:szCs w:val="20"/>
          <w:lang w:val="en-GB"/>
        </w:rPr>
      </w:pPr>
      <w:r>
        <w:rPr>
          <w:rFonts w:eastAsia="Calibri" w:cs="Times New Roman"/>
          <w:szCs w:val="20"/>
          <w:lang w:val="en-GB"/>
        </w:rPr>
        <w:t>Going back and looking at some of these results, we look at the HO failures and time-of-outage time [1]:</w:t>
      </w:r>
    </w:p>
    <w:p w14:paraId="0BDF491E" w14:textId="15CBBB68" w:rsidR="005B39A5" w:rsidRDefault="005B39A5" w:rsidP="005B39A5">
      <w:pPr>
        <w:keepNext/>
      </w:pPr>
      <w:r>
        <w:rPr>
          <w:noProof/>
        </w:rPr>
        <w:drawing>
          <wp:inline distT="0" distB="0" distL="0" distR="0" wp14:anchorId="4ED5712B" wp14:editId="6D635862">
            <wp:extent cx="2976000" cy="223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r>
        <w:rPr>
          <w:noProof/>
        </w:rPr>
        <w:drawing>
          <wp:inline distT="0" distB="0" distL="0" distR="0" wp14:anchorId="43E1545B" wp14:editId="366DFD27">
            <wp:extent cx="2976000" cy="2232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1004BC79" w14:textId="5F226626" w:rsidR="005B39A5" w:rsidRDefault="005B39A5" w:rsidP="005B39A5">
      <w:pPr>
        <w:pStyle w:val="Caption"/>
      </w:pPr>
      <w:r>
        <w:t xml:space="preserve">Figure </w:t>
      </w:r>
      <w:fldSimple w:instr=" SEQ Figure \* ARABIC ">
        <w:r>
          <w:rPr>
            <w:noProof/>
          </w:rPr>
          <w:t>1</w:t>
        </w:r>
      </w:fldSimple>
      <w:r>
        <w:t xml:space="preserve"> </w:t>
      </w:r>
      <w:r w:rsidRPr="00DC6A4D">
        <w:t>Simulation results showing the time-of-outage for the full range of simulation parameters</w:t>
      </w:r>
    </w:p>
    <w:p w14:paraId="4C21FC36" w14:textId="12BC76FD" w:rsidR="005B39A5" w:rsidRDefault="005B39A5" w:rsidP="005B39A5">
      <w:r w:rsidRPr="003A7DA9">
        <w:t xml:space="preserve"> </w:t>
      </w:r>
    </w:p>
    <w:p w14:paraId="632D741E" w14:textId="61CC832E" w:rsidR="005B39A5" w:rsidRDefault="005B39A5" w:rsidP="005B39A5"/>
    <w:p w14:paraId="17DD2C00" w14:textId="77777777" w:rsidR="005B39A5" w:rsidRDefault="005B39A5" w:rsidP="005B39A5">
      <w:pPr>
        <w:keepNext/>
        <w:jc w:val="center"/>
      </w:pPr>
      <w:r>
        <w:rPr>
          <w:noProof/>
        </w:rPr>
        <w:lastRenderedPageBreak/>
        <w:drawing>
          <wp:inline distT="0" distB="0" distL="0" distR="0" wp14:anchorId="5B99AAAA" wp14:editId="313524CF">
            <wp:extent cx="3360000"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0000" cy="2520000"/>
                    </a:xfrm>
                    <a:prstGeom prst="rect">
                      <a:avLst/>
                    </a:prstGeom>
                    <a:noFill/>
                    <a:ln>
                      <a:noFill/>
                    </a:ln>
                  </pic:spPr>
                </pic:pic>
              </a:graphicData>
            </a:graphic>
          </wp:inline>
        </w:drawing>
      </w:r>
    </w:p>
    <w:p w14:paraId="7DD16535" w14:textId="21CE2E63" w:rsidR="005B39A5" w:rsidRDefault="005B39A5" w:rsidP="005B39A5">
      <w:pPr>
        <w:pStyle w:val="Caption"/>
      </w:pPr>
      <w:r>
        <w:t xml:space="preserve">Figure </w:t>
      </w:r>
      <w:fldSimple w:instr=" SEQ Figure \* ARABIC ">
        <w:r>
          <w:rPr>
            <w:noProof/>
          </w:rPr>
          <w:t>2</w:t>
        </w:r>
      </w:fldSimple>
      <w:r>
        <w:t xml:space="preserve"> </w:t>
      </w:r>
      <w:r w:rsidRPr="0071597F">
        <w:t>Simulation results showing the time-of-outage for intermediate cases</w:t>
      </w:r>
    </w:p>
    <w:p w14:paraId="4653D7D5" w14:textId="77777777" w:rsidR="005B39A5" w:rsidRDefault="005B39A5" w:rsidP="00EA17AC">
      <w:pPr>
        <w:ind w:right="-22"/>
      </w:pPr>
    </w:p>
    <w:p w14:paraId="341C6BAA" w14:textId="39A1BA53" w:rsidR="00971F52" w:rsidRDefault="00971F52" w:rsidP="00EA17AC">
      <w:pPr>
        <w:ind w:right="-22"/>
      </w:pPr>
      <w:r>
        <w:t>These results are based on the common understanding and assumption that the UE performs measurement once DRX cycle when in DRX and otherwise according to assumed non-DRX measurement period. These are understood as the UE minimum requirements and hence what can be assumed in the network as the performance at least supported by all devices in the field.</w:t>
      </w:r>
    </w:p>
    <w:p w14:paraId="0C75E73C" w14:textId="6BEA5FA8" w:rsidR="00295EAF" w:rsidRDefault="00295EAF" w:rsidP="00EA17AC">
      <w:pPr>
        <w:ind w:right="-22"/>
      </w:pPr>
      <w:r>
        <w:t>What can be seen from the results is that once the DRX cycle increases beyond 320ms, and even with DRX cycle of 320 with and/or without the 1.5 scaling factor, the mobility does not work. The amount of errors simply increases to an unacceptable level.</w:t>
      </w:r>
    </w:p>
    <w:p w14:paraId="19649CC1" w14:textId="5C9D143B" w:rsidR="00295EAF" w:rsidRDefault="00295EAF" w:rsidP="00EA17AC">
      <w:pPr>
        <w:ind w:right="-22"/>
      </w:pPr>
      <w:r>
        <w:t xml:space="preserve">This conclusion is of course based on that UE only perform measurements according to minimum requirements. UEs in DRX can are of course allowed to perform additional measurements beyond the minimum requirements. However, as this will be a UE specific improvement unknown to network, the network cannot rely on UE performing such improved </w:t>
      </w:r>
      <w:r w:rsidR="00B21469">
        <w:t>behavior</w:t>
      </w:r>
      <w:r>
        <w:t>.</w:t>
      </w:r>
    </w:p>
    <w:p w14:paraId="7DF8DE0A" w14:textId="0BF418DE" w:rsidR="00B21469" w:rsidRDefault="00B21469" w:rsidP="00EA17AC">
      <w:pPr>
        <w:ind w:right="-22"/>
      </w:pPr>
      <w:r>
        <w:t>Therefore</w:t>
      </w:r>
      <w:r w:rsidR="00FA3FA5">
        <w:t>,</w:t>
      </w:r>
      <w:r>
        <w:t xml:space="preserve"> it is proposed to include in the specification a clarification stating that use of DRX cycles larger than 320ms (where also the scaling factor applies) in HST may </w:t>
      </w:r>
      <w:r w:rsidR="00FA3FA5">
        <w:t>not be able to ensure mobility.</w:t>
      </w:r>
    </w:p>
    <w:p w14:paraId="2E6AA723" w14:textId="72D7449E" w:rsidR="00FA3FA5" w:rsidRDefault="00FA3FA5" w:rsidP="00FA3FA5">
      <w:pPr>
        <w:pStyle w:val="RAN4proposal"/>
      </w:pPr>
      <w:bookmarkStart w:id="5" w:name="_Hlk40464826"/>
      <w:r>
        <w:t>RAN4 includes a note addressing the use of long DRX cycles in HST scenario.</w:t>
      </w:r>
    </w:p>
    <w:bookmarkEnd w:id="5"/>
    <w:p w14:paraId="3C26B0A9" w14:textId="2778F861" w:rsidR="00FA3FA5" w:rsidRDefault="00FA3FA5" w:rsidP="00EA17AC">
      <w:pPr>
        <w:ind w:right="-22"/>
      </w:pPr>
      <w:r>
        <w:t>Such note is based on that the UE minimum measurement assumption remain unchanged. I.e. UE perform measurement once per DRX cycle.</w:t>
      </w:r>
    </w:p>
    <w:p w14:paraId="66DD6C50" w14:textId="5D536565" w:rsidR="00FA3FA5" w:rsidRDefault="00FA3FA5" w:rsidP="00EA17AC">
      <w:pPr>
        <w:ind w:right="-22"/>
      </w:pPr>
      <w:r>
        <w:t>Instead of a note indicating that use of long DRX cycles in HST may lead to mobility problems in HST scenario, RAN4 could also include a note stating the assumption on the UE concerning number of samples assumed taken per DRX cycle when long DRX cycles are in use.</w:t>
      </w:r>
    </w:p>
    <w:p w14:paraId="45BD35B6" w14:textId="77777777" w:rsidR="00F76908" w:rsidRDefault="00F76908" w:rsidP="00EA17AC">
      <w:pPr>
        <w:ind w:right="-22"/>
      </w:pPr>
      <w:r>
        <w:t xml:space="preserve">If assuming SMTC </w:t>
      </w:r>
      <w:r>
        <w:rPr>
          <w:rFonts w:cs="Times New Roman"/>
        </w:rPr>
        <w:t>≤</w:t>
      </w:r>
      <w:r>
        <w:t xml:space="preserve"> 40ms then for DRX cycles larger than 320, it could be noted that the UE assumed performing additional measurements per DRX cycle. Example:</w:t>
      </w:r>
    </w:p>
    <w:p w14:paraId="335FB916" w14:textId="27E2AEEA" w:rsidR="00F76908" w:rsidRPr="00F76908" w:rsidRDefault="00F76908" w:rsidP="00F76908">
      <w:pPr>
        <w:ind w:right="-22"/>
      </w:pPr>
      <w:r w:rsidRPr="00F76908">
        <w:t>For DRX &gt; 320ms</w:t>
      </w:r>
      <w:r>
        <w:t>:</w:t>
      </w:r>
    </w:p>
    <w:p w14:paraId="6365C0C9" w14:textId="3E5D17A2" w:rsidR="00F76908" w:rsidRDefault="00F76908" w:rsidP="00F76908">
      <w:pPr>
        <w:ind w:right="-22" w:firstLine="720"/>
      </w:pPr>
      <w:r w:rsidRPr="00F76908">
        <w:t>3 DRX cycles when SMTC &lt;= 40ms, 5 DRX cycles when SMTC &gt; 40ms</w:t>
      </w:r>
      <w:r>
        <w:t xml:space="preserve"> </w:t>
      </w:r>
    </w:p>
    <w:p w14:paraId="1460666A" w14:textId="666437C7" w:rsidR="00F76908" w:rsidRPr="00F76908" w:rsidRDefault="00F76908" w:rsidP="00F76908">
      <w:pPr>
        <w:ind w:right="-22" w:firstLine="720"/>
      </w:pPr>
      <w:r>
        <w:t>W</w:t>
      </w:r>
      <w:r w:rsidRPr="00F76908">
        <w:t>hen SMTC &lt;= 40ms</w:t>
      </w:r>
      <w:r>
        <w:t xml:space="preserve"> UE is assumed performing additional measurements per DRX cycle.</w:t>
      </w:r>
    </w:p>
    <w:p w14:paraId="4BC19A90" w14:textId="15E7F554" w:rsidR="00F76908" w:rsidRDefault="00F76908" w:rsidP="00EA17AC">
      <w:pPr>
        <w:ind w:right="-22"/>
      </w:pPr>
      <w:r>
        <w:t xml:space="preserve">This way the network can know that the UE will take additional measurements per DRX cycle – e.g. one extra sample </w:t>
      </w:r>
      <w:r w:rsidR="00445154">
        <w:t>in an additional</w:t>
      </w:r>
      <w:r>
        <w:t xml:space="preserve"> </w:t>
      </w:r>
      <w:r w:rsidR="00445154">
        <w:t>SMTC period in addition to the minimum 1 sample.</w:t>
      </w:r>
    </w:p>
    <w:p w14:paraId="7EBB61B1" w14:textId="4AB22F84" w:rsidR="00445154" w:rsidRDefault="00445154" w:rsidP="00445154">
      <w:pPr>
        <w:pStyle w:val="RAN4proposal"/>
      </w:pPr>
      <w:r>
        <w:t>Add a note that in HST the UE can be assumed to perform more than measurement per DRX cycle.</w:t>
      </w:r>
    </w:p>
    <w:p w14:paraId="30D5C295" w14:textId="0BE4419B" w:rsidR="00445154" w:rsidRPr="00445154" w:rsidRDefault="00445154" w:rsidP="00445154">
      <w:r>
        <w:t>Such assumption would be conditioned that the SMTC period is less than or equal to 40ms.</w:t>
      </w:r>
    </w:p>
    <w:p w14:paraId="277E8680" w14:textId="31D0BC32" w:rsidR="005B39A5" w:rsidRDefault="00B40E2A" w:rsidP="00EA17AC">
      <w:pPr>
        <w:ind w:right="-22"/>
      </w:pPr>
      <w:r>
        <w:lastRenderedPageBreak/>
        <w:t>From network and system point of view, such assumption would enable the network to know what the UE behavior would be also when long DRX cycles are in use. Otherwise, the network may be limited to use shorter DRX cycles to ensure network operations.</w:t>
      </w:r>
      <w:r w:rsidR="00971F52">
        <w:t xml:space="preserve"> </w:t>
      </w:r>
    </w:p>
    <w:p w14:paraId="6229BBC3" w14:textId="77777777" w:rsidR="002C2D19" w:rsidRDefault="002C2D19" w:rsidP="003B659E">
      <w:pPr>
        <w:ind w:right="-22"/>
        <w:rPr>
          <w:rFonts w:cs="Times New Roman"/>
        </w:rPr>
      </w:pPr>
    </w:p>
    <w:p w14:paraId="761516E1" w14:textId="307FD00E" w:rsidR="00CD7492" w:rsidRPr="00204039" w:rsidRDefault="00CD7492" w:rsidP="00A37002">
      <w:pPr>
        <w:pStyle w:val="RAN4H1"/>
      </w:pPr>
      <w:r w:rsidRPr="00204039">
        <w:t>Conclusion</w:t>
      </w:r>
    </w:p>
    <w:p w14:paraId="325D69E6" w14:textId="2A0FB345" w:rsidR="00204039" w:rsidRPr="00204039" w:rsidRDefault="00204039" w:rsidP="00204039">
      <w:pPr>
        <w:rPr>
          <w:rFonts w:eastAsia="Calibri" w:cs="Times New Roman"/>
          <w:szCs w:val="20"/>
          <w:lang w:val="en-GB"/>
        </w:rPr>
      </w:pPr>
      <w:r w:rsidRPr="00204039">
        <w:rPr>
          <w:rFonts w:eastAsia="Calibri" w:cs="Times New Roman"/>
          <w:szCs w:val="20"/>
          <w:lang w:val="en-GB"/>
        </w:rPr>
        <w:t>In last meeting RAN4 agreed a WF in [1] in which the connected mode requirements under HST were captured. Related to connected mode operation the items remain concerning whether to include a note in the specification related to mobility operation when scaling factor is applied. In this paper we discussed the identified challenges with HST mobility and propose:</w:t>
      </w:r>
    </w:p>
    <w:p w14:paraId="17AD0740" w14:textId="77777777" w:rsidR="00204039" w:rsidRPr="00204039" w:rsidRDefault="00204039" w:rsidP="00204039">
      <w:pPr>
        <w:pStyle w:val="RAN4proposal"/>
        <w:numPr>
          <w:ilvl w:val="0"/>
          <w:numId w:val="22"/>
        </w:numPr>
      </w:pPr>
      <w:r w:rsidRPr="00204039">
        <w:t>RAN4 includes a note addressing the use of long DRX cycles in HST scenario.</w:t>
      </w:r>
    </w:p>
    <w:p w14:paraId="04A26FC7" w14:textId="77777777" w:rsidR="00204039" w:rsidRPr="00204039" w:rsidRDefault="00204039" w:rsidP="00204039">
      <w:pPr>
        <w:pStyle w:val="RAN4proposal"/>
        <w:numPr>
          <w:ilvl w:val="0"/>
          <w:numId w:val="22"/>
        </w:numPr>
      </w:pPr>
      <w:r w:rsidRPr="00204039">
        <w:t>Add a note that in HST the UE can be assumed to perform more than measurement per DRX cycle.</w:t>
      </w:r>
    </w:p>
    <w:p w14:paraId="5EBEEBA9" w14:textId="77777777" w:rsidR="00204039" w:rsidRPr="00204039" w:rsidRDefault="00204039" w:rsidP="00204039"/>
    <w:p w14:paraId="3DAFBD41" w14:textId="77777777" w:rsidR="003B659E" w:rsidRPr="00204039" w:rsidRDefault="003B659E" w:rsidP="0008612A">
      <w:pPr>
        <w:pStyle w:val="RAN4H1"/>
      </w:pPr>
      <w:r w:rsidRPr="00204039">
        <w:t>References</w:t>
      </w:r>
    </w:p>
    <w:p w14:paraId="19FC2F12" w14:textId="0F1E72AA" w:rsidR="003B659E" w:rsidRPr="00204039" w:rsidRDefault="0020403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40291163"/>
      <w:bookmarkStart w:id="7" w:name="_Ref431017336"/>
      <w:r w:rsidRPr="00204039">
        <w:rPr>
          <w:rFonts w:eastAsia="Calibri" w:cs="Times New Roman"/>
          <w:szCs w:val="20"/>
          <w:lang w:val="en-GB"/>
        </w:rPr>
        <w:t xml:space="preserve">R4-2005358, </w:t>
      </w:r>
      <w:r w:rsidRPr="00204039">
        <w:rPr>
          <w:rFonts w:eastAsia="Calibri" w:cs="Times New Roman"/>
          <w:szCs w:val="20"/>
        </w:rPr>
        <w:t>WF on RRM for NR HST</w:t>
      </w:r>
      <w:r w:rsidRPr="00204039">
        <w:rPr>
          <w:rFonts w:eastAsia="Times New Roman" w:cs="Times New Roman"/>
          <w:szCs w:val="20"/>
          <w:lang w:val="en-GB"/>
        </w:rPr>
        <w:t>, CMCC</w:t>
      </w:r>
      <w:bookmarkEnd w:id="6"/>
      <w:r w:rsidR="003B659E" w:rsidRPr="00204039" w:rsidDel="00C651B9">
        <w:rPr>
          <w:rFonts w:eastAsia="Times New Roman" w:cs="Times New Roman"/>
          <w:szCs w:val="20"/>
          <w:lang w:val="en-GB"/>
        </w:rPr>
        <w:t xml:space="preserve"> </w:t>
      </w:r>
      <w:bookmarkEnd w:id="7"/>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A576C"/>
    <w:rsid w:val="000B0056"/>
    <w:rsid w:val="0010671C"/>
    <w:rsid w:val="00141D43"/>
    <w:rsid w:val="001745F8"/>
    <w:rsid w:val="00176671"/>
    <w:rsid w:val="001838CF"/>
    <w:rsid w:val="001C2F6D"/>
    <w:rsid w:val="001E30F6"/>
    <w:rsid w:val="00204039"/>
    <w:rsid w:val="00235F5C"/>
    <w:rsid w:val="00295EAF"/>
    <w:rsid w:val="002B4922"/>
    <w:rsid w:val="002B5C89"/>
    <w:rsid w:val="002C2D19"/>
    <w:rsid w:val="002D10FA"/>
    <w:rsid w:val="002D4C55"/>
    <w:rsid w:val="00363CF1"/>
    <w:rsid w:val="003B659E"/>
    <w:rsid w:val="00417AA0"/>
    <w:rsid w:val="0043750A"/>
    <w:rsid w:val="00445154"/>
    <w:rsid w:val="004B7B4A"/>
    <w:rsid w:val="004E5E66"/>
    <w:rsid w:val="00503B4D"/>
    <w:rsid w:val="00504EE9"/>
    <w:rsid w:val="005433E0"/>
    <w:rsid w:val="0054442C"/>
    <w:rsid w:val="00550285"/>
    <w:rsid w:val="00553D08"/>
    <w:rsid w:val="00577E81"/>
    <w:rsid w:val="005836F8"/>
    <w:rsid w:val="005918FA"/>
    <w:rsid w:val="005B39A5"/>
    <w:rsid w:val="005E3125"/>
    <w:rsid w:val="005E61A8"/>
    <w:rsid w:val="005F6419"/>
    <w:rsid w:val="00617400"/>
    <w:rsid w:val="00664950"/>
    <w:rsid w:val="00683220"/>
    <w:rsid w:val="00687FA0"/>
    <w:rsid w:val="006B7010"/>
    <w:rsid w:val="007145FF"/>
    <w:rsid w:val="00751515"/>
    <w:rsid w:val="00781E1D"/>
    <w:rsid w:val="00785232"/>
    <w:rsid w:val="007C3ED0"/>
    <w:rsid w:val="00806A76"/>
    <w:rsid w:val="00811C9D"/>
    <w:rsid w:val="00816C80"/>
    <w:rsid w:val="00841BCD"/>
    <w:rsid w:val="00862DD3"/>
    <w:rsid w:val="008826C1"/>
    <w:rsid w:val="009042BD"/>
    <w:rsid w:val="009557A8"/>
    <w:rsid w:val="00971F52"/>
    <w:rsid w:val="00977E1D"/>
    <w:rsid w:val="009C003D"/>
    <w:rsid w:val="00A22B78"/>
    <w:rsid w:val="00A25AE5"/>
    <w:rsid w:val="00A37002"/>
    <w:rsid w:val="00A704F9"/>
    <w:rsid w:val="00AA1B0E"/>
    <w:rsid w:val="00AC5CA7"/>
    <w:rsid w:val="00AD58AB"/>
    <w:rsid w:val="00AE56B1"/>
    <w:rsid w:val="00B21469"/>
    <w:rsid w:val="00B40E2A"/>
    <w:rsid w:val="00B73862"/>
    <w:rsid w:val="00BA6900"/>
    <w:rsid w:val="00BA6E48"/>
    <w:rsid w:val="00BA724E"/>
    <w:rsid w:val="00BF2218"/>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A17AC"/>
    <w:rsid w:val="00EC7BC3"/>
    <w:rsid w:val="00ED7600"/>
    <w:rsid w:val="00EF263A"/>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53DE-F6D8-4D0D-95D2-B62503C4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2020-05-15T18:13:00Z</dcterms:created>
  <dcterms:modified xsi:type="dcterms:W3CDTF">2020-05-15T18:13:00Z</dcterms:modified>
</cp:coreProperties>
</file>