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727B" w:rsidRPr="0036727B" w:rsidRDefault="0036727B" w:rsidP="0036727B">
      <w:pPr>
        <w:rPr>
          <w:rFonts w:ascii="Arial" w:hAnsi="Arial" w:cs="Arial"/>
          <w:b/>
          <w:sz w:val="24"/>
          <w:szCs w:val="24"/>
        </w:rPr>
      </w:pPr>
      <w:r w:rsidRPr="0036727B">
        <w:rPr>
          <w:rFonts w:ascii="Arial" w:hAnsi="Arial" w:cs="Arial"/>
          <w:b/>
          <w:sz w:val="24"/>
          <w:szCs w:val="24"/>
        </w:rPr>
        <w:t xml:space="preserve">3GPP TSG-RAN WG4 Meeting # 95-e                                  </w:t>
      </w:r>
      <w:r w:rsidR="000E7F07" w:rsidRPr="000E7F07">
        <w:rPr>
          <w:rFonts w:ascii="Arial" w:hAnsi="Arial" w:cs="Arial"/>
          <w:b/>
          <w:sz w:val="24"/>
          <w:szCs w:val="24"/>
        </w:rPr>
        <w:t>R4-2006760</w:t>
      </w:r>
    </w:p>
    <w:p w:rsidR="00D5618B" w:rsidRDefault="0036727B" w:rsidP="0036727B">
      <w:pPr>
        <w:rPr>
          <w:rFonts w:ascii="Arial" w:hAnsi="Arial" w:cs="Arial"/>
          <w:b/>
          <w:sz w:val="24"/>
          <w:szCs w:val="24"/>
        </w:rPr>
      </w:pPr>
      <w:r w:rsidRPr="0036727B">
        <w:rPr>
          <w:rFonts w:ascii="Arial" w:hAnsi="Arial" w:cs="Arial"/>
          <w:b/>
          <w:sz w:val="24"/>
          <w:szCs w:val="24"/>
        </w:rPr>
        <w:t>Electronic Meeting, 25 May – 5 June, 2020</w:t>
      </w:r>
    </w:p>
    <w:p w:rsidR="00D5618B" w:rsidRPr="00A84F99" w:rsidRDefault="00D5618B" w:rsidP="00D5618B">
      <w:pPr>
        <w:rPr>
          <w:rFonts w:ascii="Arial" w:hAnsi="Arial" w:cs="Arial"/>
          <w:b/>
          <w:sz w:val="24"/>
          <w:szCs w:val="24"/>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932F45">
        <w:rPr>
          <w:rFonts w:ascii="Arial" w:eastAsia="MS Mincho" w:hAnsi="Arial" w:cs="Arial"/>
          <w:b/>
          <w:sz w:val="24"/>
          <w:szCs w:val="24"/>
          <w:lang w:eastAsia="en-US"/>
        </w:rPr>
        <w:t>6.5.2</w:t>
      </w:r>
      <w:r w:rsidR="005D1F83">
        <w:rPr>
          <w:rFonts w:ascii="Arial" w:eastAsia="MS Mincho" w:hAnsi="Arial" w:cs="Arial"/>
          <w:b/>
          <w:sz w:val="24"/>
          <w:szCs w:val="24"/>
          <w:lang w:eastAsia="en-US"/>
        </w:rPr>
        <w:t>.2.1</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A84F99">
        <w:rPr>
          <w:rFonts w:ascii="Arial" w:hAnsi="Arial" w:cs="Arial"/>
          <w:b/>
          <w:sz w:val="24"/>
          <w:szCs w:val="24"/>
        </w:rPr>
        <w:t>Discussion on IAB</w:t>
      </w:r>
      <w:r w:rsidR="000606D3">
        <w:rPr>
          <w:rFonts w:ascii="Arial" w:hAnsi="Arial" w:cs="Arial"/>
          <w:b/>
          <w:sz w:val="24"/>
          <w:szCs w:val="24"/>
        </w:rPr>
        <w:t>-MT dynamic range</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FD7062">
        <w:rPr>
          <w:rFonts w:ascii="Arial" w:hAnsi="Arial" w:cs="Arial"/>
          <w:b/>
          <w:sz w:val="24"/>
          <w:szCs w:val="24"/>
        </w:rPr>
        <w:t>Approval</w:t>
      </w:r>
    </w:p>
    <w:p w:rsidR="00D5618B" w:rsidRDefault="00C41873" w:rsidP="00D5618B">
      <w:pPr>
        <w:pStyle w:val="Char"/>
        <w:tabs>
          <w:tab w:val="clear" w:pos="1985"/>
          <w:tab w:val="left" w:pos="567"/>
        </w:tabs>
        <w:adjustRightInd w:val="0"/>
        <w:ind w:left="510" w:hanging="510"/>
      </w:pPr>
      <w:r>
        <w:t xml:space="preserve">1. </w:t>
      </w:r>
      <w:r w:rsidR="00D5618B">
        <w:t>Introduction</w:t>
      </w:r>
    </w:p>
    <w:p w:rsidR="00B42F70" w:rsidRDefault="006D5B25" w:rsidP="004C0923">
      <w:pPr>
        <w:pStyle w:val="a7"/>
        <w:spacing w:afterLines="50" w:after="156"/>
        <w:rPr>
          <w:rFonts w:ascii="Times New Roman" w:hAnsi="Times New Roman"/>
        </w:rPr>
      </w:pPr>
      <w:r>
        <w:rPr>
          <w:rFonts w:ascii="Times New Roman" w:hAnsi="Times New Roman" w:hint="eastAsia"/>
        </w:rPr>
        <w:t>At the</w:t>
      </w:r>
      <w:r w:rsidR="00485F10">
        <w:rPr>
          <w:rFonts w:ascii="Times New Roman" w:hAnsi="Times New Roman" w:hint="eastAsia"/>
        </w:rPr>
        <w:t xml:space="preserve"> </w:t>
      </w:r>
      <w:r w:rsidR="00D5618B">
        <w:rPr>
          <w:rFonts w:ascii="Times New Roman" w:hAnsi="Times New Roman" w:hint="eastAsia"/>
        </w:rPr>
        <w:t>RAN4 #9</w:t>
      </w:r>
      <w:r w:rsidR="006C1FC4">
        <w:rPr>
          <w:rFonts w:ascii="Times New Roman" w:hAnsi="Times New Roman" w:hint="eastAsia"/>
        </w:rPr>
        <w:t>4-</w:t>
      </w:r>
      <w:r w:rsidR="003D3A7F">
        <w:rPr>
          <w:rFonts w:ascii="Times New Roman" w:hAnsi="Times New Roman"/>
        </w:rPr>
        <w:t xml:space="preserve">bis </w:t>
      </w:r>
      <w:r>
        <w:rPr>
          <w:rFonts w:ascii="Times New Roman" w:hAnsi="Times New Roman" w:hint="eastAsia"/>
        </w:rPr>
        <w:t>e</w:t>
      </w:r>
      <w:r w:rsidR="003D3A7F">
        <w:rPr>
          <w:rFonts w:ascii="Times New Roman" w:hAnsi="Times New Roman"/>
        </w:rPr>
        <w:t>-</w:t>
      </w:r>
      <w:r w:rsidR="006C1FC4">
        <w:rPr>
          <w:rFonts w:ascii="Times New Roman" w:hAnsi="Times New Roman" w:hint="eastAsia"/>
        </w:rPr>
        <w:t>meeting</w:t>
      </w:r>
      <w:r w:rsidR="00D5618B">
        <w:rPr>
          <w:rFonts w:ascii="Times New Roman" w:hAnsi="Times New Roman" w:hint="eastAsia"/>
        </w:rPr>
        <w:t>,</w:t>
      </w:r>
      <w:r w:rsidR="003D3A7F">
        <w:rPr>
          <w:rFonts w:ascii="Times New Roman" w:hAnsi="Times New Roman"/>
        </w:rPr>
        <w:t xml:space="preserve"> some com</w:t>
      </w:r>
      <w:r w:rsidR="00C63A08">
        <w:rPr>
          <w:rFonts w:ascii="Times New Roman" w:hAnsi="Times New Roman"/>
        </w:rPr>
        <w:t>p</w:t>
      </w:r>
      <w:r w:rsidR="003D3A7F">
        <w:rPr>
          <w:rFonts w:ascii="Times New Roman" w:hAnsi="Times New Roman"/>
        </w:rPr>
        <w:t xml:space="preserve">anies </w:t>
      </w:r>
      <w:r w:rsidR="006E5911">
        <w:rPr>
          <w:rFonts w:ascii="Times New Roman" w:hAnsi="Times New Roman"/>
        </w:rPr>
        <w:t>suggested</w:t>
      </w:r>
      <w:r w:rsidR="003D3A7F">
        <w:rPr>
          <w:rFonts w:ascii="Times New Roman" w:hAnsi="Times New Roman"/>
        </w:rPr>
        <w:t xml:space="preserve"> to define the minimum output power </w:t>
      </w:r>
      <w:r w:rsidR="00C63A08">
        <w:rPr>
          <w:rFonts w:ascii="Times New Roman" w:hAnsi="Times New Roman"/>
        </w:rPr>
        <w:t xml:space="preserve">for IAB-MT </w:t>
      </w:r>
      <w:r w:rsidR="003D3A7F">
        <w:rPr>
          <w:rFonts w:ascii="Times New Roman" w:hAnsi="Times New Roman"/>
        </w:rPr>
        <w:t>considering the intra-frequency interference to the BS</w:t>
      </w:r>
      <w:r w:rsidR="00DD28AB">
        <w:rPr>
          <w:rFonts w:ascii="Times New Roman" w:hAnsi="Times New Roman"/>
        </w:rPr>
        <w:t>.</w:t>
      </w:r>
      <w:r w:rsidR="003D3A7F">
        <w:rPr>
          <w:rFonts w:ascii="Times New Roman" w:hAnsi="Times New Roman"/>
        </w:rPr>
        <w:t xml:space="preserve"> </w:t>
      </w:r>
      <w:r w:rsidR="006E5911">
        <w:rPr>
          <w:rFonts w:ascii="Times New Roman" w:hAnsi="Times New Roman"/>
        </w:rPr>
        <w:t>A</w:t>
      </w:r>
      <w:r w:rsidR="003D3A7F">
        <w:rPr>
          <w:rFonts w:ascii="Times New Roman" w:hAnsi="Times New Roman"/>
        </w:rPr>
        <w:t xml:space="preserve">fter the online and e-mail discussion, it is approved not to define the minimum output power </w:t>
      </w:r>
      <w:r w:rsidR="00DD28AB">
        <w:rPr>
          <w:rFonts w:ascii="Times New Roman" w:hAnsi="Times New Roman"/>
        </w:rPr>
        <w:t xml:space="preserve">parameter as the maximum output power and dynamic range could already reflect the minimum output power requirements. It is approved to at least define the relative dynamic range and whether </w:t>
      </w:r>
      <w:r w:rsidR="001A32E3">
        <w:rPr>
          <w:rFonts w:ascii="Times New Roman" w:hAnsi="Times New Roman"/>
        </w:rPr>
        <w:t xml:space="preserve">to define </w:t>
      </w:r>
      <w:r w:rsidR="00DD28AB">
        <w:rPr>
          <w:rFonts w:ascii="Times New Roman" w:hAnsi="Times New Roman"/>
        </w:rPr>
        <w:t xml:space="preserve">the total dynamic range is </w:t>
      </w:r>
      <w:r w:rsidR="001A32E3">
        <w:rPr>
          <w:rFonts w:ascii="Times New Roman" w:hAnsi="Times New Roman"/>
        </w:rPr>
        <w:t>still</w:t>
      </w:r>
      <w:r w:rsidR="00DD28AB">
        <w:rPr>
          <w:rFonts w:ascii="Times New Roman" w:hAnsi="Times New Roman"/>
        </w:rPr>
        <w:t xml:space="preserve"> FFS. </w:t>
      </w:r>
    </w:p>
    <w:p w:rsidR="00553635" w:rsidRPr="00553635" w:rsidRDefault="00B42F70" w:rsidP="004C0923">
      <w:pPr>
        <w:pStyle w:val="a7"/>
        <w:spacing w:afterLines="50" w:after="156"/>
        <w:rPr>
          <w:rFonts w:ascii="Times New Roman" w:hAnsi="Times New Roman"/>
        </w:rPr>
      </w:pPr>
      <w:r>
        <w:rPr>
          <w:rFonts w:ascii="Times New Roman" w:hAnsi="Times New Roman" w:hint="eastAsia"/>
        </w:rPr>
        <w:t xml:space="preserve">In this contribution, </w:t>
      </w:r>
      <w:r w:rsidR="008E7EE9">
        <w:rPr>
          <w:rFonts w:ascii="Times New Roman" w:hAnsi="Times New Roman"/>
        </w:rPr>
        <w:t xml:space="preserve">we focus on the analysis of the IAB-MT </w:t>
      </w:r>
      <w:r w:rsidR="00820630">
        <w:rPr>
          <w:rFonts w:ascii="Times New Roman" w:hAnsi="Times New Roman"/>
        </w:rPr>
        <w:t xml:space="preserve">relative </w:t>
      </w:r>
      <w:r w:rsidR="008E7EE9">
        <w:rPr>
          <w:rFonts w:ascii="Times New Roman" w:hAnsi="Times New Roman"/>
        </w:rPr>
        <w:t>dynamic range</w:t>
      </w:r>
      <w:r>
        <w:rPr>
          <w:rFonts w:ascii="Times New Roman" w:hAnsi="Times New Roman" w:hint="eastAsia"/>
        </w:rPr>
        <w:t>.</w:t>
      </w:r>
    </w:p>
    <w:p w:rsidR="00553635" w:rsidRDefault="00C41873" w:rsidP="00553635">
      <w:pPr>
        <w:pStyle w:val="Char"/>
        <w:tabs>
          <w:tab w:val="clear" w:pos="1985"/>
          <w:tab w:val="left" w:pos="567"/>
        </w:tabs>
        <w:adjustRightInd w:val="0"/>
        <w:ind w:left="510" w:hanging="510"/>
      </w:pPr>
      <w:r>
        <w:t xml:space="preserve">2. </w:t>
      </w:r>
      <w:r w:rsidR="00553635">
        <w:rPr>
          <w:rFonts w:hint="eastAsia"/>
        </w:rPr>
        <w:t>Discussion</w:t>
      </w:r>
    </w:p>
    <w:p w:rsidR="005D6192" w:rsidRDefault="00C558FE" w:rsidP="004C0923">
      <w:pPr>
        <w:tabs>
          <w:tab w:val="left" w:pos="491"/>
        </w:tabs>
        <w:spacing w:afterLines="50" w:after="156"/>
        <w:rPr>
          <w:rFonts w:ascii="Times New Roman" w:hAnsi="Times New Roman"/>
          <w:szCs w:val="21"/>
        </w:rPr>
      </w:pPr>
      <w:r>
        <w:rPr>
          <w:rFonts w:ascii="Times New Roman" w:hAnsi="Times New Roman"/>
          <w:szCs w:val="21"/>
        </w:rPr>
        <w:t>Last meeting, RAN4 came to a consensus to define the relative Tx power dynamic range derived by delta of maximum EIRP level and minimum EIRP level on the declared beam direction within the same channel allocation for FR2 IAB-MT</w:t>
      </w:r>
      <w:r w:rsidR="00E118C2">
        <w:rPr>
          <w:rFonts w:ascii="Times New Roman" w:hAnsi="Times New Roman"/>
          <w:szCs w:val="21"/>
        </w:rPr>
        <w:t>. The above clarification defines how to derive the relative dynamic range. Once we know the maximum and minimum EIRP level on the same beam direction, the delta is easy to calculate</w:t>
      </w:r>
      <w:r w:rsidR="009533EA">
        <w:rPr>
          <w:rFonts w:ascii="Times New Roman" w:hAnsi="Times New Roman"/>
          <w:szCs w:val="21"/>
        </w:rPr>
        <w:t xml:space="preserve">. </w:t>
      </w:r>
      <w:r w:rsidR="00D213E7">
        <w:rPr>
          <w:rFonts w:ascii="Times New Roman" w:hAnsi="Times New Roman"/>
          <w:szCs w:val="21"/>
        </w:rPr>
        <w:t>Two deployment scenarios</w:t>
      </w:r>
      <w:r w:rsidR="003E10D8">
        <w:rPr>
          <w:rFonts w:ascii="Times New Roman" w:hAnsi="Times New Roman"/>
          <w:szCs w:val="21"/>
        </w:rPr>
        <w:t>,</w:t>
      </w:r>
      <w:r w:rsidR="00D213E7">
        <w:rPr>
          <w:rFonts w:ascii="Times New Roman" w:hAnsi="Times New Roman"/>
          <w:szCs w:val="21"/>
        </w:rPr>
        <w:t xml:space="preserve"> </w:t>
      </w:r>
      <w:r w:rsidR="003E10D8">
        <w:rPr>
          <w:rFonts w:ascii="Times New Roman" w:hAnsi="Times New Roman"/>
          <w:szCs w:val="21"/>
        </w:rPr>
        <w:t>the plan</w:t>
      </w:r>
      <w:r w:rsidR="003E10D8">
        <w:rPr>
          <w:rFonts w:ascii="Times New Roman" w:hAnsi="Times New Roman"/>
          <w:szCs w:val="21"/>
        </w:rPr>
        <w:t>n</w:t>
      </w:r>
      <w:r w:rsidR="003E10D8">
        <w:rPr>
          <w:rFonts w:ascii="Times New Roman" w:hAnsi="Times New Roman"/>
          <w:szCs w:val="21"/>
        </w:rPr>
        <w:t>ed and unplanned scenarios</w:t>
      </w:r>
      <w:r w:rsidR="003E10D8">
        <w:rPr>
          <w:rFonts w:ascii="Times New Roman" w:hAnsi="Times New Roman"/>
          <w:szCs w:val="21"/>
        </w:rPr>
        <w:t xml:space="preserve"> </w:t>
      </w:r>
      <w:r w:rsidR="00D213E7">
        <w:rPr>
          <w:rFonts w:ascii="Times New Roman" w:hAnsi="Times New Roman"/>
          <w:szCs w:val="21"/>
        </w:rPr>
        <w:t xml:space="preserve">have been assumed when defining the IAB-MT classes. </w:t>
      </w:r>
      <w:r w:rsidR="003E10D8">
        <w:rPr>
          <w:rFonts w:ascii="Times New Roman" w:hAnsi="Times New Roman"/>
          <w:szCs w:val="21"/>
        </w:rPr>
        <w:t xml:space="preserve">For the planned network, the location of the IAB-MT is planned and almost fixed for all cells while for the unplanned network the location of the IAB-MT is related to the </w:t>
      </w:r>
      <w:r w:rsidR="00650061">
        <w:rPr>
          <w:rFonts w:ascii="Times New Roman" w:hAnsi="Times New Roman"/>
          <w:szCs w:val="21"/>
        </w:rPr>
        <w:t xml:space="preserve">hash </w:t>
      </w:r>
      <w:r w:rsidR="003E10D8">
        <w:rPr>
          <w:rFonts w:ascii="Times New Roman" w:hAnsi="Times New Roman"/>
          <w:szCs w:val="21"/>
        </w:rPr>
        <w:t xml:space="preserve">network situation. </w:t>
      </w:r>
      <w:r w:rsidR="009533EA">
        <w:rPr>
          <w:rFonts w:ascii="Times New Roman" w:hAnsi="Times New Roman"/>
          <w:szCs w:val="21"/>
        </w:rPr>
        <w:t xml:space="preserve">It is noted that the </w:t>
      </w:r>
      <w:r w:rsidR="00E335AE">
        <w:rPr>
          <w:rFonts w:ascii="Times New Roman" w:hAnsi="Times New Roman"/>
          <w:szCs w:val="21"/>
        </w:rPr>
        <w:t xml:space="preserve">relative </w:t>
      </w:r>
      <w:r w:rsidR="005D6192">
        <w:rPr>
          <w:rFonts w:ascii="Times New Roman" w:hAnsi="Times New Roman"/>
          <w:szCs w:val="21"/>
        </w:rPr>
        <w:t>dynamic range</w:t>
      </w:r>
      <w:r w:rsidR="009533EA">
        <w:rPr>
          <w:rFonts w:ascii="Times New Roman" w:hAnsi="Times New Roman"/>
          <w:szCs w:val="21"/>
        </w:rPr>
        <w:t xml:space="preserve"> </w:t>
      </w:r>
      <w:r w:rsidR="00FE5FD4">
        <w:rPr>
          <w:rFonts w:ascii="Times New Roman" w:hAnsi="Times New Roman"/>
          <w:szCs w:val="21"/>
        </w:rPr>
        <w:t>is based on the deployment scenario</w:t>
      </w:r>
      <w:r w:rsidR="007C5671">
        <w:rPr>
          <w:rFonts w:ascii="Times New Roman" w:hAnsi="Times New Roman"/>
          <w:szCs w:val="21"/>
        </w:rPr>
        <w:t xml:space="preserve"> and not equal</w:t>
      </w:r>
      <w:r w:rsidR="00EC2B1A">
        <w:rPr>
          <w:rFonts w:ascii="Times New Roman" w:hAnsi="Times New Roman"/>
          <w:szCs w:val="21"/>
        </w:rPr>
        <w:t xml:space="preserve"> to the</w:t>
      </w:r>
      <w:r w:rsidR="007C5671">
        <w:rPr>
          <w:rFonts w:ascii="Times New Roman" w:hAnsi="Times New Roman"/>
          <w:szCs w:val="21"/>
        </w:rPr>
        <w:t xml:space="preserve"> </w:t>
      </w:r>
      <w:r w:rsidR="00EC2B1A">
        <w:rPr>
          <w:rFonts w:ascii="Times New Roman" w:hAnsi="Times New Roman"/>
          <w:szCs w:val="21"/>
        </w:rPr>
        <w:t xml:space="preserve">delta of </w:t>
      </w:r>
      <w:r w:rsidR="007C5671">
        <w:rPr>
          <w:rFonts w:ascii="Times New Roman" w:hAnsi="Times New Roman"/>
          <w:szCs w:val="21"/>
        </w:rPr>
        <w:t xml:space="preserve">the maximum </w:t>
      </w:r>
      <w:r w:rsidR="0076776F">
        <w:rPr>
          <w:rFonts w:ascii="Times New Roman" w:hAnsi="Times New Roman"/>
          <w:szCs w:val="21"/>
        </w:rPr>
        <w:t xml:space="preserve">and minimum </w:t>
      </w:r>
      <w:r w:rsidR="007C5671">
        <w:rPr>
          <w:rFonts w:ascii="Times New Roman" w:hAnsi="Times New Roman"/>
          <w:szCs w:val="21"/>
        </w:rPr>
        <w:t>output</w:t>
      </w:r>
      <w:r w:rsidR="00EC2B1A">
        <w:rPr>
          <w:rFonts w:ascii="Times New Roman" w:hAnsi="Times New Roman"/>
          <w:szCs w:val="21"/>
        </w:rPr>
        <w:t xml:space="preserve"> power</w:t>
      </w:r>
      <w:r w:rsidR="007C5671">
        <w:rPr>
          <w:rFonts w:ascii="Times New Roman" w:hAnsi="Times New Roman"/>
          <w:szCs w:val="21"/>
        </w:rPr>
        <w:t xml:space="preserve"> </w:t>
      </w:r>
      <w:r w:rsidR="001C71A1">
        <w:rPr>
          <w:rFonts w:ascii="Times New Roman" w:hAnsi="Times New Roman"/>
          <w:szCs w:val="21"/>
        </w:rPr>
        <w:t>capability</w:t>
      </w:r>
      <w:r w:rsidR="00EE4A57">
        <w:rPr>
          <w:rFonts w:ascii="Times New Roman" w:hAnsi="Times New Roman"/>
          <w:szCs w:val="21"/>
        </w:rPr>
        <w:t>.</w:t>
      </w:r>
    </w:p>
    <w:p w:rsidR="00EE61B3" w:rsidRDefault="00EE61B3" w:rsidP="004C0923">
      <w:pPr>
        <w:tabs>
          <w:tab w:val="left" w:pos="491"/>
        </w:tabs>
        <w:spacing w:afterLines="50" w:after="156"/>
        <w:rPr>
          <w:rFonts w:ascii="Times New Roman" w:hAnsi="Times New Roman"/>
          <w:szCs w:val="21"/>
        </w:rPr>
      </w:pPr>
      <w:r w:rsidRPr="00546142">
        <w:rPr>
          <w:rFonts w:ascii="Times New Roman" w:hAnsi="Times New Roman"/>
          <w:b/>
          <w:bCs/>
          <w:szCs w:val="21"/>
        </w:rPr>
        <w:t xml:space="preserve">Observation 1: </w:t>
      </w:r>
      <w:r w:rsidR="00B7156D">
        <w:rPr>
          <w:rFonts w:ascii="Times New Roman" w:hAnsi="Times New Roman"/>
          <w:b/>
          <w:bCs/>
          <w:szCs w:val="21"/>
        </w:rPr>
        <w:t>D</w:t>
      </w:r>
      <w:r w:rsidRPr="00546142">
        <w:rPr>
          <w:rFonts w:ascii="Times New Roman" w:hAnsi="Times New Roman"/>
          <w:b/>
          <w:bCs/>
          <w:szCs w:val="21"/>
        </w:rPr>
        <w:t>ifferent deployment scenario</w:t>
      </w:r>
      <w:r w:rsidR="007C6E1E">
        <w:rPr>
          <w:rFonts w:ascii="Times New Roman" w:hAnsi="Times New Roman"/>
          <w:b/>
          <w:bCs/>
          <w:szCs w:val="21"/>
        </w:rPr>
        <w:t>s</w:t>
      </w:r>
      <w:r w:rsidR="00817449">
        <w:rPr>
          <w:rFonts w:ascii="Times New Roman" w:hAnsi="Times New Roman"/>
          <w:b/>
          <w:bCs/>
          <w:szCs w:val="21"/>
        </w:rPr>
        <w:t xml:space="preserve"> </w:t>
      </w:r>
      <w:r w:rsidRPr="00546142">
        <w:rPr>
          <w:rFonts w:ascii="Times New Roman" w:hAnsi="Times New Roman"/>
          <w:b/>
          <w:bCs/>
          <w:szCs w:val="21"/>
        </w:rPr>
        <w:t>will require different dynamic range capability.</w:t>
      </w:r>
    </w:p>
    <w:p w:rsidR="00FE5FD4" w:rsidRPr="00EE61B3" w:rsidRDefault="00A42CA4" w:rsidP="00EE61B3">
      <w:pPr>
        <w:pStyle w:val="2"/>
      </w:pPr>
      <w:r>
        <w:rPr>
          <w:rFonts w:hint="eastAsia"/>
        </w:rPr>
        <w:t>2</w:t>
      </w:r>
      <w:r>
        <w:t xml:space="preserve">.1 </w:t>
      </w:r>
      <w:r w:rsidR="00E96141">
        <w:t>W</w:t>
      </w:r>
      <w:r>
        <w:t>ide area IAB-MT relative dynamic range requirement</w:t>
      </w:r>
    </w:p>
    <w:p w:rsidR="00E84F7F" w:rsidRDefault="00477DED" w:rsidP="004C0923">
      <w:pPr>
        <w:tabs>
          <w:tab w:val="left" w:pos="491"/>
        </w:tabs>
        <w:spacing w:afterLines="50" w:after="156"/>
        <w:rPr>
          <w:rFonts w:ascii="Times New Roman" w:hAnsi="Times New Roman"/>
          <w:szCs w:val="21"/>
        </w:rPr>
      </w:pPr>
      <w:r>
        <w:rPr>
          <w:rFonts w:ascii="Times New Roman" w:hAnsi="Times New Roman"/>
          <w:szCs w:val="21"/>
        </w:rPr>
        <w:t>F</w:t>
      </w:r>
      <w:r w:rsidR="009533EA">
        <w:rPr>
          <w:rFonts w:ascii="Times New Roman" w:hAnsi="Times New Roman"/>
          <w:szCs w:val="21"/>
        </w:rPr>
        <w:t>or the planned</w:t>
      </w:r>
      <w:r w:rsidR="007032BB">
        <w:rPr>
          <w:rFonts w:ascii="Times New Roman" w:hAnsi="Times New Roman"/>
          <w:szCs w:val="21"/>
        </w:rPr>
        <w:t xml:space="preserve"> wide area</w:t>
      </w:r>
      <w:r w:rsidR="009533EA">
        <w:rPr>
          <w:rFonts w:ascii="Times New Roman" w:hAnsi="Times New Roman"/>
          <w:szCs w:val="21"/>
        </w:rPr>
        <w:t xml:space="preserve"> IA</w:t>
      </w:r>
      <w:r w:rsidR="007032BB">
        <w:rPr>
          <w:rFonts w:ascii="Times New Roman" w:hAnsi="Times New Roman"/>
          <w:szCs w:val="21"/>
        </w:rPr>
        <w:t>B child</w:t>
      </w:r>
      <w:r w:rsidR="009533EA">
        <w:rPr>
          <w:rFonts w:ascii="Times New Roman" w:hAnsi="Times New Roman"/>
          <w:szCs w:val="21"/>
        </w:rPr>
        <w:t xml:space="preserve"> node, </w:t>
      </w:r>
      <w:r w:rsidR="007032BB">
        <w:rPr>
          <w:rFonts w:ascii="Times New Roman" w:hAnsi="Times New Roman"/>
          <w:szCs w:val="21"/>
        </w:rPr>
        <w:t xml:space="preserve">the propagation path between IAB-MT and IAB donor is almost LOS </w:t>
      </w:r>
      <w:r w:rsidR="0049231C">
        <w:rPr>
          <w:rFonts w:ascii="Times New Roman" w:hAnsi="Times New Roman"/>
          <w:szCs w:val="21"/>
        </w:rPr>
        <w:t>and only in some extreme cases, the IAB-MT should try to camp on the new IAB parent node.</w:t>
      </w:r>
      <w:r w:rsidR="00FE5FD4">
        <w:rPr>
          <w:rFonts w:ascii="Times New Roman" w:hAnsi="Times New Roman"/>
          <w:szCs w:val="21"/>
        </w:rPr>
        <w:t xml:space="preserve"> Therefore</w:t>
      </w:r>
      <w:r w:rsidR="00FF0D78">
        <w:rPr>
          <w:rFonts w:ascii="Times New Roman" w:hAnsi="Times New Roman"/>
          <w:szCs w:val="21"/>
        </w:rPr>
        <w:t>,</w:t>
      </w:r>
      <w:r w:rsidR="00FE5FD4">
        <w:rPr>
          <w:rFonts w:ascii="Times New Roman" w:hAnsi="Times New Roman"/>
          <w:szCs w:val="21"/>
        </w:rPr>
        <w:t xml:space="preserve"> for the wide area IAB-MT, the dynamic range </w:t>
      </w:r>
      <w:r w:rsidR="00546142">
        <w:rPr>
          <w:rFonts w:ascii="Times New Roman" w:hAnsi="Times New Roman"/>
          <w:szCs w:val="21"/>
        </w:rPr>
        <w:t xml:space="preserve">could be calculated based on the </w:t>
      </w:r>
      <w:r w:rsidR="009B0F1D">
        <w:rPr>
          <w:rFonts w:ascii="Times New Roman" w:hAnsi="Times New Roman"/>
          <w:szCs w:val="21"/>
        </w:rPr>
        <w:t>planned fixed</w:t>
      </w:r>
      <w:r w:rsidR="00546142">
        <w:rPr>
          <w:rFonts w:ascii="Times New Roman" w:hAnsi="Times New Roman"/>
          <w:szCs w:val="21"/>
        </w:rPr>
        <w:t xml:space="preserve"> </w:t>
      </w:r>
      <w:r w:rsidR="00645994">
        <w:rPr>
          <w:rFonts w:ascii="Times New Roman" w:hAnsi="Times New Roman"/>
          <w:szCs w:val="21"/>
        </w:rPr>
        <w:t>location</w:t>
      </w:r>
      <w:r w:rsidR="00546142">
        <w:rPr>
          <w:rFonts w:ascii="Times New Roman" w:hAnsi="Times New Roman"/>
          <w:szCs w:val="21"/>
        </w:rPr>
        <w:t xml:space="preserve">. </w:t>
      </w:r>
      <w:r w:rsidR="00C90163">
        <w:rPr>
          <w:rFonts w:ascii="Times New Roman" w:hAnsi="Times New Roman"/>
          <w:szCs w:val="21"/>
        </w:rPr>
        <w:t>I</w:t>
      </w:r>
      <w:r w:rsidR="00546142">
        <w:rPr>
          <w:rFonts w:ascii="Times New Roman" w:hAnsi="Times New Roman"/>
          <w:szCs w:val="21"/>
        </w:rPr>
        <w:t xml:space="preserve">t is almost a common understanding that the wide area IAB-MT could be deployed at the </w:t>
      </w:r>
      <w:r w:rsidR="00D87FD3">
        <w:rPr>
          <w:rFonts w:ascii="Times New Roman" w:hAnsi="Times New Roman"/>
          <w:szCs w:val="21"/>
        </w:rPr>
        <w:t xml:space="preserve">cell </w:t>
      </w:r>
      <w:r w:rsidR="00546142">
        <w:rPr>
          <w:rFonts w:ascii="Times New Roman" w:hAnsi="Times New Roman"/>
          <w:szCs w:val="21"/>
        </w:rPr>
        <w:t>edge</w:t>
      </w:r>
      <w:r w:rsidR="00EE4A57">
        <w:rPr>
          <w:rFonts w:ascii="Times New Roman" w:hAnsi="Times New Roman"/>
          <w:szCs w:val="21"/>
        </w:rPr>
        <w:t xml:space="preserve">. </w:t>
      </w:r>
    </w:p>
    <w:p w:rsidR="00EE4A57" w:rsidRDefault="00D14905" w:rsidP="004C0923">
      <w:pPr>
        <w:tabs>
          <w:tab w:val="left" w:pos="491"/>
        </w:tabs>
        <w:spacing w:afterLines="50" w:after="156"/>
        <w:rPr>
          <w:rFonts w:ascii="Times New Roman" w:hAnsi="Times New Roman"/>
          <w:b/>
          <w:bCs/>
          <w:szCs w:val="21"/>
        </w:rPr>
      </w:pPr>
      <w:r>
        <w:rPr>
          <w:rFonts w:ascii="Times New Roman" w:hAnsi="Times New Roman"/>
          <w:b/>
          <w:bCs/>
          <w:szCs w:val="21"/>
        </w:rPr>
        <w:t>O</w:t>
      </w:r>
      <w:r w:rsidR="00EE4A57" w:rsidRPr="00050835">
        <w:rPr>
          <w:rFonts w:ascii="Times New Roman" w:hAnsi="Times New Roman"/>
          <w:b/>
          <w:bCs/>
          <w:szCs w:val="21"/>
        </w:rPr>
        <w:t xml:space="preserve">bservation 2: </w:t>
      </w:r>
      <w:r w:rsidR="00540AFE">
        <w:rPr>
          <w:rFonts w:ascii="Times New Roman" w:hAnsi="Times New Roman"/>
          <w:b/>
          <w:bCs/>
          <w:szCs w:val="21"/>
        </w:rPr>
        <w:t>F</w:t>
      </w:r>
      <w:r w:rsidR="00EE4A57" w:rsidRPr="00050835">
        <w:rPr>
          <w:rFonts w:ascii="Times New Roman" w:hAnsi="Times New Roman"/>
          <w:b/>
          <w:bCs/>
          <w:szCs w:val="21"/>
        </w:rPr>
        <w:t xml:space="preserve">or the wide area IAB-MT, </w:t>
      </w:r>
      <w:r w:rsidR="00C0617E" w:rsidRPr="00050835">
        <w:rPr>
          <w:rFonts w:ascii="Times New Roman" w:hAnsi="Times New Roman"/>
          <w:b/>
          <w:bCs/>
          <w:szCs w:val="21"/>
        </w:rPr>
        <w:t xml:space="preserve">the relative dynamic range is calculated assuming the IAB-MT is deployed at the </w:t>
      </w:r>
      <w:r w:rsidR="00305566">
        <w:rPr>
          <w:rFonts w:ascii="Times New Roman" w:hAnsi="Times New Roman"/>
          <w:b/>
          <w:bCs/>
          <w:szCs w:val="21"/>
        </w:rPr>
        <w:t xml:space="preserve">cell </w:t>
      </w:r>
      <w:r w:rsidR="00C0617E" w:rsidRPr="00050835">
        <w:rPr>
          <w:rFonts w:ascii="Times New Roman" w:hAnsi="Times New Roman"/>
          <w:b/>
          <w:bCs/>
          <w:szCs w:val="21"/>
        </w:rPr>
        <w:t>edge for coverage extension.</w:t>
      </w:r>
    </w:p>
    <w:p w:rsidR="00050835" w:rsidRDefault="00714FA7" w:rsidP="004C0923">
      <w:pPr>
        <w:tabs>
          <w:tab w:val="left" w:pos="491"/>
        </w:tabs>
        <w:spacing w:afterLines="50" w:after="156"/>
        <w:rPr>
          <w:rFonts w:ascii="Times New Roman" w:hAnsi="Times New Roman"/>
          <w:szCs w:val="21"/>
        </w:rPr>
      </w:pPr>
      <w:r>
        <w:rPr>
          <w:rFonts w:ascii="Times New Roman" w:hAnsi="Times New Roman"/>
          <w:szCs w:val="21"/>
        </w:rPr>
        <w:t>T</w:t>
      </w:r>
      <w:r w:rsidR="00050835">
        <w:rPr>
          <w:rFonts w:ascii="Times New Roman" w:hAnsi="Times New Roman"/>
          <w:szCs w:val="21"/>
        </w:rPr>
        <w:t xml:space="preserve">he detail of the calculation </w:t>
      </w:r>
      <w:r w:rsidR="006F0C64">
        <w:rPr>
          <w:rFonts w:ascii="Times New Roman" w:hAnsi="Times New Roman"/>
          <w:szCs w:val="21"/>
        </w:rPr>
        <w:t>is</w:t>
      </w:r>
      <w:r w:rsidR="00050835">
        <w:rPr>
          <w:rFonts w:ascii="Times New Roman" w:hAnsi="Times New Roman"/>
          <w:szCs w:val="21"/>
        </w:rPr>
        <w:t xml:space="preserve"> shown in table</w:t>
      </w:r>
      <w:r w:rsidR="00A321D3">
        <w:rPr>
          <w:rFonts w:ascii="Times New Roman" w:hAnsi="Times New Roman"/>
          <w:szCs w:val="21"/>
        </w:rPr>
        <w:t xml:space="preserve"> 1</w:t>
      </w:r>
      <w:r w:rsidR="005C0DC7">
        <w:rPr>
          <w:rFonts w:ascii="Times New Roman" w:hAnsi="Times New Roman"/>
          <w:szCs w:val="21"/>
        </w:rPr>
        <w:t>.</w:t>
      </w:r>
      <w:r w:rsidR="00050835">
        <w:rPr>
          <w:rFonts w:ascii="Times New Roman" w:hAnsi="Times New Roman"/>
          <w:szCs w:val="21"/>
        </w:rPr>
        <w:t xml:space="preserve"> </w:t>
      </w:r>
      <w:r w:rsidR="005C0DC7">
        <w:rPr>
          <w:rFonts w:ascii="Times New Roman" w:hAnsi="Times New Roman"/>
          <w:szCs w:val="21"/>
        </w:rPr>
        <w:t>T</w:t>
      </w:r>
      <w:r w:rsidR="00050835">
        <w:rPr>
          <w:rFonts w:ascii="Times New Roman" w:hAnsi="Times New Roman"/>
          <w:szCs w:val="21"/>
        </w:rPr>
        <w:t xml:space="preserve">he minimum output power </w:t>
      </w:r>
      <w:r w:rsidR="001A08E2">
        <w:rPr>
          <w:rFonts w:ascii="Times New Roman" w:hAnsi="Times New Roman"/>
          <w:szCs w:val="21"/>
        </w:rPr>
        <w:t xml:space="preserve">for IAB-MT </w:t>
      </w:r>
      <w:r w:rsidR="00050835">
        <w:rPr>
          <w:rFonts w:ascii="Times New Roman" w:hAnsi="Times New Roman"/>
          <w:szCs w:val="21"/>
        </w:rPr>
        <w:t xml:space="preserve">is based on the legacy NR UE with the change of the delta PL and the </w:t>
      </w:r>
      <w:r w:rsidR="00397BAF">
        <w:rPr>
          <w:rFonts w:ascii="Times New Roman" w:hAnsi="Times New Roman"/>
          <w:szCs w:val="21"/>
        </w:rPr>
        <w:t xml:space="preserve">delta </w:t>
      </w:r>
      <w:r w:rsidR="00050835">
        <w:rPr>
          <w:rFonts w:ascii="Times New Roman" w:hAnsi="Times New Roman"/>
          <w:szCs w:val="21"/>
        </w:rPr>
        <w:t xml:space="preserve">antenna gain. </w:t>
      </w:r>
      <w:r w:rsidR="005C0DC7">
        <w:rPr>
          <w:rFonts w:ascii="Times New Roman" w:hAnsi="Times New Roman"/>
          <w:szCs w:val="21"/>
        </w:rPr>
        <w:t>T</w:t>
      </w:r>
      <w:r w:rsidR="00050835">
        <w:rPr>
          <w:rFonts w:ascii="Times New Roman" w:hAnsi="Times New Roman"/>
          <w:szCs w:val="21"/>
        </w:rPr>
        <w:t xml:space="preserve">he maximum output power is derived </w:t>
      </w:r>
      <w:r w:rsidR="00D87F67">
        <w:rPr>
          <w:rFonts w:ascii="Times New Roman" w:hAnsi="Times New Roman"/>
          <w:szCs w:val="21"/>
        </w:rPr>
        <w:t xml:space="preserve">with at least </w:t>
      </w:r>
      <w:r w:rsidR="00D87F67">
        <w:rPr>
          <w:rFonts w:ascii="Times New Roman" w:hAnsi="Times New Roman"/>
          <w:szCs w:val="21"/>
        </w:rPr>
        <w:lastRenderedPageBreak/>
        <w:t xml:space="preserve">64QAM </w:t>
      </w:r>
      <w:r w:rsidR="005242FE">
        <w:rPr>
          <w:rFonts w:ascii="Times New Roman" w:hAnsi="Times New Roman"/>
          <w:szCs w:val="21"/>
        </w:rPr>
        <w:t>assumption</w:t>
      </w:r>
      <w:r w:rsidR="00D87F67">
        <w:rPr>
          <w:rFonts w:ascii="Times New Roman" w:hAnsi="Times New Roman"/>
          <w:szCs w:val="21"/>
        </w:rPr>
        <w:t xml:space="preserve"> to</w:t>
      </w:r>
      <w:r w:rsidR="00050835">
        <w:rPr>
          <w:rFonts w:ascii="Times New Roman" w:hAnsi="Times New Roman"/>
          <w:szCs w:val="21"/>
        </w:rPr>
        <w:t xml:space="preserve"> gu</w:t>
      </w:r>
      <w:r w:rsidR="005242FE">
        <w:rPr>
          <w:rFonts w:ascii="Times New Roman" w:hAnsi="Times New Roman"/>
          <w:szCs w:val="21"/>
        </w:rPr>
        <w:t>a</w:t>
      </w:r>
      <w:r w:rsidR="00050835">
        <w:rPr>
          <w:rFonts w:ascii="Times New Roman" w:hAnsi="Times New Roman"/>
          <w:szCs w:val="21"/>
        </w:rPr>
        <w:t xml:space="preserve">rantee the </w:t>
      </w:r>
      <w:r w:rsidR="00D87F67">
        <w:rPr>
          <w:rFonts w:ascii="Times New Roman" w:hAnsi="Times New Roman"/>
          <w:szCs w:val="21"/>
        </w:rPr>
        <w:t>backhaul link</w:t>
      </w:r>
      <w:r w:rsidR="00050835">
        <w:rPr>
          <w:rFonts w:ascii="Times New Roman" w:hAnsi="Times New Roman"/>
          <w:szCs w:val="21"/>
        </w:rPr>
        <w:t xml:space="preserve"> capacity requirement</w:t>
      </w:r>
      <w:r w:rsidR="00D87F67">
        <w:rPr>
          <w:rFonts w:ascii="Times New Roman" w:hAnsi="Times New Roman"/>
          <w:szCs w:val="21"/>
        </w:rPr>
        <w:t>.</w:t>
      </w:r>
    </w:p>
    <w:p w:rsidR="00F11A28" w:rsidRPr="00F11A28" w:rsidRDefault="00F11A28" w:rsidP="00F11A28">
      <w:pPr>
        <w:tabs>
          <w:tab w:val="left" w:pos="491"/>
        </w:tabs>
        <w:spacing w:afterLines="50" w:after="156"/>
        <w:jc w:val="center"/>
        <w:rPr>
          <w:rFonts w:ascii="Times New Roman" w:hAnsi="Times New Roman"/>
          <w:i/>
          <w:iCs/>
          <w:szCs w:val="21"/>
        </w:rPr>
      </w:pPr>
      <w:r w:rsidRPr="00F11A28">
        <w:rPr>
          <w:rFonts w:ascii="Times New Roman" w:hAnsi="Times New Roman"/>
          <w:i/>
          <w:iCs/>
          <w:szCs w:val="21"/>
        </w:rPr>
        <w:t>Table 1 minimum output power for IAB-MT</w:t>
      </w:r>
    </w:p>
    <w:tbl>
      <w:tblPr>
        <w:tblW w:w="4656" w:type="pct"/>
        <w:jc w:val="center"/>
        <w:tblLook w:val="04A0" w:firstRow="1" w:lastRow="0" w:firstColumn="1" w:lastColumn="0" w:noHBand="0" w:noVBand="1"/>
      </w:tblPr>
      <w:tblGrid>
        <w:gridCol w:w="3566"/>
        <w:gridCol w:w="900"/>
        <w:gridCol w:w="900"/>
        <w:gridCol w:w="3700"/>
      </w:tblGrid>
      <w:tr w:rsidR="004541E1" w:rsidRPr="004541E1" w:rsidTr="004541E1">
        <w:trPr>
          <w:trHeight w:val="285"/>
          <w:jc w:val="center"/>
        </w:trPr>
        <w:tc>
          <w:tcPr>
            <w:tcW w:w="20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c>
          <w:tcPr>
            <w:tcW w:w="551" w:type="pct"/>
            <w:tcBorders>
              <w:top w:val="single" w:sz="4" w:space="0" w:color="auto"/>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FR1</w:t>
            </w:r>
          </w:p>
        </w:tc>
        <w:tc>
          <w:tcPr>
            <w:tcW w:w="551" w:type="pct"/>
            <w:tcBorders>
              <w:top w:val="single" w:sz="4" w:space="0" w:color="auto"/>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FR2</w:t>
            </w:r>
          </w:p>
        </w:tc>
        <w:tc>
          <w:tcPr>
            <w:tcW w:w="1877" w:type="pct"/>
            <w:tcBorders>
              <w:top w:val="single" w:sz="4" w:space="0" w:color="auto"/>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note</w:t>
            </w:r>
          </w:p>
        </w:tc>
      </w:tr>
      <w:tr w:rsidR="004541E1" w:rsidRPr="004541E1" w:rsidTr="004541E1">
        <w:trPr>
          <w:trHeight w:val="399"/>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ISD/m</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500.00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200.00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wide area</w:t>
            </w:r>
          </w:p>
        </w:tc>
      </w:tr>
      <w:tr w:rsidR="004541E1" w:rsidRPr="004541E1" w:rsidTr="004541E1">
        <w:trPr>
          <w:trHeight w:val="570"/>
          <w:jc w:val="center"/>
        </w:trPr>
        <w:tc>
          <w:tcPr>
            <w:tcW w:w="2022" w:type="pct"/>
            <w:tcBorders>
              <w:top w:val="nil"/>
              <w:left w:val="single" w:sz="4" w:space="0" w:color="auto"/>
              <w:bottom w:val="single" w:sz="4" w:space="0" w:color="auto"/>
              <w:right w:val="single" w:sz="4" w:space="0" w:color="auto"/>
            </w:tcBorders>
            <w:shd w:val="clear" w:color="auto" w:fill="auto"/>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distance between IAB-MT and IAB donor node</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333.33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133.33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cell edge</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frequency/GHz</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4.90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26.00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r>
      <w:tr w:rsidR="004541E1" w:rsidRPr="004541E1" w:rsidTr="004541E1">
        <w:trPr>
          <w:trHeight w:val="855"/>
          <w:jc w:val="center"/>
        </w:trPr>
        <w:tc>
          <w:tcPr>
            <w:tcW w:w="2022" w:type="pct"/>
            <w:tcBorders>
              <w:top w:val="nil"/>
              <w:left w:val="single" w:sz="4" w:space="0" w:color="auto"/>
              <w:bottom w:val="single" w:sz="4" w:space="0" w:color="auto"/>
              <w:right w:val="single" w:sz="4" w:space="0" w:color="auto"/>
            </w:tcBorders>
            <w:shd w:val="clear" w:color="auto" w:fill="auto"/>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min distance when calcul</w:t>
            </w:r>
            <w:r w:rsidR="00FC5481">
              <w:rPr>
                <w:rFonts w:ascii="Times New Roman" w:eastAsia="等线" w:hAnsi="Times New Roman"/>
                <w:color w:val="000000"/>
                <w:kern w:val="0"/>
                <w:sz w:val="22"/>
              </w:rPr>
              <w:t>a</w:t>
            </w:r>
            <w:r w:rsidRPr="004541E1">
              <w:rPr>
                <w:rFonts w:ascii="Times New Roman" w:eastAsia="等线" w:hAnsi="Times New Roman"/>
                <w:color w:val="000000"/>
                <w:kern w:val="0"/>
                <w:sz w:val="22"/>
              </w:rPr>
              <w:t>t</w:t>
            </w:r>
            <w:r>
              <w:rPr>
                <w:rFonts w:ascii="Times New Roman" w:eastAsia="等线" w:hAnsi="Times New Roman"/>
                <w:color w:val="000000"/>
                <w:kern w:val="0"/>
                <w:sz w:val="22"/>
              </w:rPr>
              <w:t>ing</w:t>
            </w:r>
            <w:r w:rsidRPr="004541E1">
              <w:rPr>
                <w:rFonts w:ascii="Times New Roman" w:eastAsia="等线" w:hAnsi="Times New Roman"/>
                <w:color w:val="000000"/>
                <w:kern w:val="0"/>
                <w:sz w:val="22"/>
              </w:rPr>
              <w:t xml:space="preserve"> the UE minimum output power</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35.00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35.00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PL_IAB</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111.84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110.78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NLOS, 38.901</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PL_BS_UE</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77.09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91.58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free space</w:t>
            </w:r>
          </w:p>
        </w:tc>
      </w:tr>
      <w:tr w:rsidR="004541E1" w:rsidRPr="004541E1" w:rsidTr="004541E1">
        <w:trPr>
          <w:trHeight w:val="570"/>
          <w:jc w:val="center"/>
        </w:trPr>
        <w:tc>
          <w:tcPr>
            <w:tcW w:w="2022" w:type="pct"/>
            <w:tcBorders>
              <w:top w:val="nil"/>
              <w:left w:val="single" w:sz="4" w:space="0" w:color="auto"/>
              <w:bottom w:val="single" w:sz="4" w:space="0" w:color="auto"/>
              <w:right w:val="single" w:sz="4" w:space="0" w:color="auto"/>
            </w:tcBorders>
            <w:shd w:val="clear" w:color="auto" w:fill="auto"/>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Delta</w:t>
            </w:r>
            <w:r>
              <w:rPr>
                <w:rFonts w:ascii="Times New Roman" w:eastAsia="等线" w:hAnsi="Times New Roman"/>
                <w:color w:val="000000"/>
                <w:kern w:val="0"/>
                <w:sz w:val="22"/>
              </w:rPr>
              <w:t xml:space="preserve"> </w:t>
            </w:r>
            <w:r w:rsidRPr="004541E1">
              <w:rPr>
                <w:rFonts w:ascii="Times New Roman" w:eastAsia="等线" w:hAnsi="Times New Roman"/>
                <w:color w:val="000000"/>
                <w:kern w:val="0"/>
                <w:sz w:val="22"/>
              </w:rPr>
              <w:t>PL</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34.75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19.20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40log(d3D)</w:t>
            </w:r>
          </w:p>
        </w:tc>
      </w:tr>
      <w:tr w:rsidR="004541E1" w:rsidRPr="004541E1" w:rsidTr="004541E1">
        <w:trPr>
          <w:trHeight w:val="570"/>
          <w:jc w:val="center"/>
        </w:trPr>
        <w:tc>
          <w:tcPr>
            <w:tcW w:w="2022" w:type="pct"/>
            <w:tcBorders>
              <w:top w:val="nil"/>
              <w:left w:val="single" w:sz="4" w:space="0" w:color="auto"/>
              <w:bottom w:val="single" w:sz="4" w:space="0" w:color="auto"/>
              <w:right w:val="single" w:sz="4" w:space="0" w:color="auto"/>
            </w:tcBorders>
            <w:shd w:val="clear" w:color="auto" w:fill="auto"/>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Delta</w:t>
            </w:r>
            <w:r>
              <w:rPr>
                <w:rFonts w:ascii="Times New Roman" w:eastAsia="等线" w:hAnsi="Times New Roman"/>
                <w:color w:val="000000"/>
                <w:kern w:val="0"/>
                <w:sz w:val="22"/>
              </w:rPr>
              <w:t xml:space="preserve"> </w:t>
            </w:r>
            <w:r w:rsidRPr="004541E1">
              <w:rPr>
                <w:rFonts w:ascii="Times New Roman" w:eastAsia="等线" w:hAnsi="Times New Roman"/>
                <w:color w:val="000000"/>
                <w:kern w:val="0"/>
                <w:sz w:val="22"/>
              </w:rPr>
              <w:t>Antenna</w:t>
            </w:r>
            <w:r>
              <w:rPr>
                <w:rFonts w:ascii="Times New Roman" w:eastAsia="等线" w:hAnsi="Times New Roman"/>
                <w:color w:val="000000"/>
                <w:kern w:val="0"/>
                <w:sz w:val="22"/>
              </w:rPr>
              <w:t xml:space="preserve"> </w:t>
            </w:r>
            <w:r w:rsidRPr="004541E1">
              <w:rPr>
                <w:rFonts w:ascii="Times New Roman" w:eastAsia="等线" w:hAnsi="Times New Roman"/>
                <w:color w:val="000000"/>
                <w:kern w:val="0"/>
                <w:sz w:val="22"/>
              </w:rPr>
              <w:t xml:space="preserve">Gain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26.06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26.07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Delta</w:t>
            </w:r>
            <w:r>
              <w:rPr>
                <w:rFonts w:ascii="Times New Roman" w:eastAsia="等线" w:hAnsi="Times New Roman"/>
                <w:color w:val="000000"/>
                <w:kern w:val="0"/>
                <w:sz w:val="22"/>
              </w:rPr>
              <w:t xml:space="preserve"> </w:t>
            </w:r>
            <w:r w:rsidRPr="004541E1">
              <w:rPr>
                <w:rFonts w:ascii="Times New Roman" w:eastAsia="等线" w:hAnsi="Times New Roman"/>
                <w:color w:val="000000"/>
                <w:kern w:val="0"/>
                <w:sz w:val="22"/>
              </w:rPr>
              <w:t>minimum output power</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8.69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-6.87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IAB-MT </w:t>
            </w:r>
            <w:proofErr w:type="spellStart"/>
            <w:r w:rsidRPr="004541E1">
              <w:rPr>
                <w:rFonts w:ascii="Times New Roman" w:eastAsia="等线" w:hAnsi="Times New Roman"/>
                <w:color w:val="000000"/>
                <w:kern w:val="0"/>
                <w:sz w:val="22"/>
              </w:rPr>
              <w:t>minTX</w:t>
            </w:r>
            <w:proofErr w:type="spellEnd"/>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-24.31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-19.87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100MHz</w:t>
            </w:r>
            <w:r w:rsidR="00E30B39">
              <w:rPr>
                <w:rFonts w:ascii="Times New Roman" w:eastAsia="等线" w:hAnsi="Times New Roman"/>
                <w:color w:val="000000"/>
                <w:kern w:val="0"/>
                <w:sz w:val="22"/>
              </w:rPr>
              <w:t xml:space="preserve"> for FR1 and 400MHz for FR2</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SINR</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22.00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22.00 </w:t>
            </w:r>
          </w:p>
        </w:tc>
        <w:tc>
          <w:tcPr>
            <w:tcW w:w="1877" w:type="pct"/>
            <w:tcBorders>
              <w:top w:val="nil"/>
              <w:left w:val="nil"/>
              <w:bottom w:val="single" w:sz="4" w:space="0" w:color="auto"/>
              <w:right w:val="single" w:sz="4" w:space="0" w:color="auto"/>
            </w:tcBorders>
            <w:shd w:val="clear" w:color="auto" w:fill="auto"/>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64QAM</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RX</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-67.00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-55.98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5dB NF for FR1 and 10dB NF for FR2</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Pr>
                <w:rFonts w:ascii="Times New Roman" w:eastAsia="等线" w:hAnsi="Times New Roman" w:hint="eastAsia"/>
                <w:color w:val="000000"/>
                <w:kern w:val="0"/>
                <w:sz w:val="22"/>
              </w:rPr>
              <w:t>I</w:t>
            </w:r>
            <w:r>
              <w:rPr>
                <w:rFonts w:ascii="Times New Roman" w:eastAsia="等线" w:hAnsi="Times New Roman"/>
                <w:color w:val="000000"/>
                <w:kern w:val="0"/>
                <w:sz w:val="22"/>
              </w:rPr>
              <w:t xml:space="preserve">AB-MT </w:t>
            </w:r>
            <w:proofErr w:type="spellStart"/>
            <w:r>
              <w:rPr>
                <w:rFonts w:ascii="Times New Roman" w:eastAsia="等线" w:hAnsi="Times New Roman"/>
                <w:color w:val="000000"/>
                <w:kern w:val="0"/>
                <w:sz w:val="22"/>
              </w:rPr>
              <w:t>maxTX</w:t>
            </w:r>
            <w:proofErr w:type="spellEnd"/>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-7.29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2.66 </w:t>
            </w:r>
          </w:p>
        </w:tc>
        <w:tc>
          <w:tcPr>
            <w:tcW w:w="1877" w:type="pct"/>
            <w:tcBorders>
              <w:top w:val="nil"/>
              <w:left w:val="nil"/>
              <w:bottom w:val="single" w:sz="4" w:space="0" w:color="auto"/>
              <w:right w:val="single" w:sz="4" w:space="0" w:color="auto"/>
            </w:tcBorders>
            <w:shd w:val="clear" w:color="auto" w:fill="auto"/>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r>
      <w:tr w:rsidR="004541E1" w:rsidRPr="004541E1" w:rsidTr="004541E1">
        <w:trPr>
          <w:trHeight w:val="285"/>
          <w:jc w:val="center"/>
        </w:trPr>
        <w:tc>
          <w:tcPr>
            <w:tcW w:w="2022" w:type="pct"/>
            <w:tcBorders>
              <w:top w:val="nil"/>
              <w:left w:val="single" w:sz="4" w:space="0" w:color="auto"/>
              <w:bottom w:val="single" w:sz="4" w:space="0" w:color="auto"/>
              <w:right w:val="single" w:sz="4" w:space="0" w:color="auto"/>
            </w:tcBorders>
            <w:shd w:val="clear" w:color="auto" w:fill="auto"/>
            <w:noWrap/>
            <w:vAlign w:val="center"/>
            <w:hideMark/>
          </w:tcPr>
          <w:p w:rsidR="004541E1" w:rsidRPr="004541E1" w:rsidRDefault="004541E1" w:rsidP="004541E1">
            <w:pPr>
              <w:widowControl/>
              <w:jc w:val="left"/>
              <w:rPr>
                <w:rFonts w:ascii="Times New Roman" w:eastAsia="等线" w:hAnsi="Times New Roman"/>
                <w:color w:val="000000"/>
                <w:kern w:val="0"/>
                <w:sz w:val="22"/>
              </w:rPr>
            </w:pPr>
            <w:r w:rsidRPr="004541E1">
              <w:rPr>
                <w:rFonts w:ascii="Times New Roman" w:eastAsia="等线" w:hAnsi="Times New Roman"/>
                <w:color w:val="000000"/>
                <w:kern w:val="0"/>
                <w:sz w:val="22"/>
              </w:rPr>
              <w:t>dynamic range</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17.02 </w:t>
            </w:r>
          </w:p>
        </w:tc>
        <w:tc>
          <w:tcPr>
            <w:tcW w:w="551"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22.53 </w:t>
            </w:r>
          </w:p>
        </w:tc>
        <w:tc>
          <w:tcPr>
            <w:tcW w:w="1877" w:type="pct"/>
            <w:tcBorders>
              <w:top w:val="nil"/>
              <w:left w:val="nil"/>
              <w:bottom w:val="single" w:sz="4" w:space="0" w:color="auto"/>
              <w:right w:val="single" w:sz="4" w:space="0" w:color="auto"/>
            </w:tcBorders>
            <w:shd w:val="clear" w:color="auto" w:fill="auto"/>
            <w:noWrap/>
            <w:vAlign w:val="center"/>
            <w:hideMark/>
          </w:tcPr>
          <w:p w:rsidR="004541E1" w:rsidRPr="004541E1" w:rsidRDefault="004541E1" w:rsidP="004541E1">
            <w:pPr>
              <w:widowControl/>
              <w:jc w:val="center"/>
              <w:rPr>
                <w:rFonts w:ascii="Times New Roman" w:eastAsia="等线" w:hAnsi="Times New Roman"/>
                <w:color w:val="000000"/>
                <w:kern w:val="0"/>
                <w:sz w:val="22"/>
              </w:rPr>
            </w:pPr>
            <w:r w:rsidRPr="004541E1">
              <w:rPr>
                <w:rFonts w:ascii="Times New Roman" w:eastAsia="等线" w:hAnsi="Times New Roman"/>
                <w:color w:val="000000"/>
                <w:kern w:val="0"/>
                <w:sz w:val="22"/>
              </w:rPr>
              <w:t xml:space="preserve">　</w:t>
            </w:r>
          </w:p>
        </w:tc>
      </w:tr>
    </w:tbl>
    <w:p w:rsidR="006813C6" w:rsidRDefault="006813C6" w:rsidP="004C0923">
      <w:pPr>
        <w:tabs>
          <w:tab w:val="left" w:pos="491"/>
        </w:tabs>
        <w:spacing w:afterLines="50" w:after="156"/>
        <w:rPr>
          <w:rFonts w:ascii="Times New Roman" w:hAnsi="Times New Roman"/>
          <w:szCs w:val="21"/>
        </w:rPr>
      </w:pPr>
    </w:p>
    <w:p w:rsidR="00D1116E" w:rsidRDefault="006813C6" w:rsidP="004C0923">
      <w:pPr>
        <w:tabs>
          <w:tab w:val="left" w:pos="491"/>
        </w:tabs>
        <w:spacing w:afterLines="50" w:after="156"/>
        <w:rPr>
          <w:rFonts w:ascii="Times New Roman" w:hAnsi="Times New Roman"/>
          <w:b/>
          <w:bCs/>
          <w:szCs w:val="21"/>
        </w:rPr>
      </w:pPr>
      <w:r w:rsidRPr="003B5818">
        <w:rPr>
          <w:rFonts w:ascii="Times New Roman" w:hAnsi="Times New Roman"/>
          <w:b/>
          <w:bCs/>
          <w:szCs w:val="21"/>
        </w:rPr>
        <w:t xml:space="preserve">Proposal 1: </w:t>
      </w:r>
      <w:r w:rsidR="003B5818">
        <w:rPr>
          <w:rFonts w:ascii="Times New Roman" w:hAnsi="Times New Roman"/>
          <w:b/>
          <w:bCs/>
          <w:szCs w:val="21"/>
        </w:rPr>
        <w:t>T</w:t>
      </w:r>
      <w:r w:rsidRPr="003B5818">
        <w:rPr>
          <w:rFonts w:ascii="Times New Roman" w:hAnsi="Times New Roman"/>
          <w:b/>
          <w:bCs/>
          <w:szCs w:val="21"/>
        </w:rPr>
        <w:t>he wide area IAB-MT require</w:t>
      </w:r>
      <w:r w:rsidR="00246D29">
        <w:rPr>
          <w:rFonts w:ascii="Times New Roman" w:hAnsi="Times New Roman"/>
          <w:b/>
          <w:bCs/>
          <w:szCs w:val="21"/>
        </w:rPr>
        <w:t>s</w:t>
      </w:r>
      <w:r w:rsidRPr="003B5818">
        <w:rPr>
          <w:rFonts w:ascii="Times New Roman" w:hAnsi="Times New Roman"/>
          <w:b/>
          <w:bCs/>
          <w:szCs w:val="21"/>
        </w:rPr>
        <w:t xml:space="preserve"> </w:t>
      </w:r>
      <w:r w:rsidR="00ED15DC">
        <w:rPr>
          <w:rFonts w:ascii="Times New Roman" w:hAnsi="Times New Roman"/>
          <w:b/>
          <w:bCs/>
          <w:szCs w:val="21"/>
        </w:rPr>
        <w:t>17</w:t>
      </w:r>
      <w:r w:rsidRPr="003B5818">
        <w:rPr>
          <w:rFonts w:ascii="Times New Roman" w:hAnsi="Times New Roman"/>
          <w:b/>
          <w:bCs/>
          <w:szCs w:val="21"/>
        </w:rPr>
        <w:t xml:space="preserve"> dB dynamic range for FR1 and </w:t>
      </w:r>
      <w:r w:rsidR="00ED15DC">
        <w:rPr>
          <w:rFonts w:ascii="Times New Roman" w:hAnsi="Times New Roman"/>
          <w:b/>
          <w:bCs/>
          <w:szCs w:val="21"/>
        </w:rPr>
        <w:t>23</w:t>
      </w:r>
      <w:r w:rsidRPr="003B5818">
        <w:rPr>
          <w:rFonts w:ascii="Times New Roman" w:hAnsi="Times New Roman"/>
          <w:b/>
          <w:bCs/>
          <w:szCs w:val="21"/>
        </w:rPr>
        <w:t>dB for FR2</w:t>
      </w:r>
      <w:r w:rsidR="003B5818" w:rsidRPr="003B5818">
        <w:rPr>
          <w:rFonts w:ascii="Times New Roman" w:hAnsi="Times New Roman"/>
          <w:b/>
          <w:bCs/>
          <w:szCs w:val="21"/>
        </w:rPr>
        <w:t>.</w:t>
      </w:r>
    </w:p>
    <w:p w:rsidR="00A42CA4" w:rsidRDefault="00A42CA4" w:rsidP="00A42CA4">
      <w:pPr>
        <w:pStyle w:val="2"/>
      </w:pPr>
      <w:r>
        <w:rPr>
          <w:rFonts w:hint="eastAsia"/>
        </w:rPr>
        <w:t>2</w:t>
      </w:r>
      <w:r>
        <w:t xml:space="preserve">.2 </w:t>
      </w:r>
      <w:r w:rsidR="00710904">
        <w:t>L</w:t>
      </w:r>
      <w:r>
        <w:t>ocal area IAB-MT relative dynamic range requirement</w:t>
      </w:r>
    </w:p>
    <w:p w:rsidR="0064608F" w:rsidRDefault="00A42CA4" w:rsidP="0064608F">
      <w:pPr>
        <w:tabs>
          <w:tab w:val="left" w:pos="491"/>
        </w:tabs>
        <w:spacing w:afterLines="50" w:after="156"/>
        <w:rPr>
          <w:rFonts w:ascii="Times New Roman" w:hAnsi="Times New Roman"/>
          <w:szCs w:val="21"/>
        </w:rPr>
      </w:pPr>
      <w:r w:rsidRPr="00A42CA4">
        <w:rPr>
          <w:rFonts w:ascii="Times New Roman" w:hAnsi="Times New Roman"/>
          <w:szCs w:val="21"/>
        </w:rPr>
        <w:t xml:space="preserve">In last </w:t>
      </w:r>
      <w:r>
        <w:rPr>
          <w:rFonts w:ascii="Times New Roman" w:hAnsi="Times New Roman"/>
          <w:szCs w:val="21"/>
        </w:rPr>
        <w:t>meeting, the lo</w:t>
      </w:r>
      <w:r w:rsidR="00B4766A">
        <w:rPr>
          <w:rFonts w:ascii="Times New Roman" w:hAnsi="Times New Roman"/>
          <w:szCs w:val="21"/>
        </w:rPr>
        <w:t>cal</w:t>
      </w:r>
      <w:r>
        <w:rPr>
          <w:rFonts w:ascii="Times New Roman" w:hAnsi="Times New Roman"/>
          <w:szCs w:val="21"/>
        </w:rPr>
        <w:t xml:space="preserve"> area IAB-MT is defined as the second IAB class, mainly used to </w:t>
      </w:r>
      <w:r w:rsidR="00366467">
        <w:rPr>
          <w:rFonts w:ascii="Times New Roman" w:hAnsi="Times New Roman"/>
          <w:szCs w:val="21"/>
        </w:rPr>
        <w:t>represent</w:t>
      </w:r>
      <w:r>
        <w:rPr>
          <w:rFonts w:ascii="Times New Roman" w:hAnsi="Times New Roman"/>
          <w:szCs w:val="21"/>
        </w:rPr>
        <w:t xml:space="preserve"> the </w:t>
      </w:r>
      <w:r w:rsidR="0080605A">
        <w:rPr>
          <w:rFonts w:ascii="Times New Roman" w:hAnsi="Times New Roman"/>
          <w:szCs w:val="21"/>
        </w:rPr>
        <w:t>unplanned IAB node.</w:t>
      </w:r>
      <w:r w:rsidR="00DC4E5F">
        <w:rPr>
          <w:rFonts w:ascii="Times New Roman" w:hAnsi="Times New Roman"/>
          <w:szCs w:val="21"/>
        </w:rPr>
        <w:t xml:space="preserve"> This implies that the distance between the IAB parent node and the IAB child node would randomly vary from the minimum to the </w:t>
      </w:r>
      <w:r w:rsidR="004E2887">
        <w:rPr>
          <w:rFonts w:ascii="Times New Roman" w:hAnsi="Times New Roman"/>
          <w:szCs w:val="21"/>
        </w:rPr>
        <w:t>maximum</w:t>
      </w:r>
      <w:r w:rsidR="009E25C2" w:rsidRPr="009E25C2">
        <w:rPr>
          <w:rFonts w:ascii="Times New Roman" w:hAnsi="Times New Roman"/>
          <w:szCs w:val="21"/>
        </w:rPr>
        <w:t xml:space="preserve"> </w:t>
      </w:r>
      <w:r w:rsidR="009E25C2">
        <w:rPr>
          <w:rFonts w:ascii="Times New Roman" w:hAnsi="Times New Roman"/>
          <w:szCs w:val="21"/>
        </w:rPr>
        <w:t>value</w:t>
      </w:r>
      <w:r w:rsidR="00DC4E5F">
        <w:rPr>
          <w:rFonts w:ascii="Times New Roman" w:hAnsi="Times New Roman"/>
          <w:szCs w:val="21"/>
        </w:rPr>
        <w:t>.</w:t>
      </w:r>
      <w:r w:rsidR="004E2887">
        <w:rPr>
          <w:rFonts w:ascii="Times New Roman" w:hAnsi="Times New Roman"/>
          <w:szCs w:val="21"/>
        </w:rPr>
        <w:t xml:space="preserve"> For </w:t>
      </w:r>
      <w:r w:rsidR="00B95AA2">
        <w:rPr>
          <w:rFonts w:ascii="Times New Roman" w:hAnsi="Times New Roman"/>
          <w:szCs w:val="21"/>
        </w:rPr>
        <w:t xml:space="preserve">legacy </w:t>
      </w:r>
      <w:proofErr w:type="spellStart"/>
      <w:r w:rsidR="00514DEF">
        <w:rPr>
          <w:rFonts w:ascii="Times New Roman" w:hAnsi="Times New Roman"/>
          <w:szCs w:val="21"/>
        </w:rPr>
        <w:t>U</w:t>
      </w:r>
      <w:r w:rsidR="004E2887">
        <w:rPr>
          <w:rFonts w:ascii="Times New Roman" w:hAnsi="Times New Roman"/>
          <w:szCs w:val="21"/>
        </w:rPr>
        <w:t>mi</w:t>
      </w:r>
      <w:proofErr w:type="spellEnd"/>
      <w:r w:rsidR="004E2887">
        <w:rPr>
          <w:rFonts w:ascii="Times New Roman" w:hAnsi="Times New Roman"/>
          <w:szCs w:val="21"/>
        </w:rPr>
        <w:t xml:space="preserve"> scenario, 1</w:t>
      </w:r>
      <w:r w:rsidR="004922D4">
        <w:rPr>
          <w:rFonts w:ascii="Times New Roman" w:hAnsi="Times New Roman"/>
          <w:szCs w:val="21"/>
        </w:rPr>
        <w:t xml:space="preserve"> </w:t>
      </w:r>
      <w:r w:rsidR="004E2887">
        <w:rPr>
          <w:rFonts w:ascii="Times New Roman" w:hAnsi="Times New Roman"/>
          <w:szCs w:val="21"/>
        </w:rPr>
        <w:t>m minimum BS-UE distance is used</w:t>
      </w:r>
      <w:r w:rsidR="001330E3">
        <w:rPr>
          <w:rFonts w:ascii="Times New Roman" w:hAnsi="Times New Roman"/>
          <w:szCs w:val="21"/>
        </w:rPr>
        <w:t xml:space="preserve">. For urban local area IAB-MT, the key issue is whether this same 1m distance on the ground could be reused. </w:t>
      </w:r>
      <w:r w:rsidR="00B7311D">
        <w:rPr>
          <w:rFonts w:ascii="Times New Roman" w:hAnsi="Times New Roman"/>
          <w:szCs w:val="21"/>
        </w:rPr>
        <w:t>For hash network deployment scenario, it is hard to predict the minimum distance and even the 1</w:t>
      </w:r>
      <w:r w:rsidR="004922D4">
        <w:rPr>
          <w:rFonts w:ascii="Times New Roman" w:hAnsi="Times New Roman"/>
          <w:szCs w:val="21"/>
        </w:rPr>
        <w:t xml:space="preserve"> </w:t>
      </w:r>
      <w:r w:rsidR="00B7311D">
        <w:rPr>
          <w:rFonts w:ascii="Times New Roman" w:hAnsi="Times New Roman"/>
          <w:szCs w:val="21"/>
        </w:rPr>
        <w:t xml:space="preserve">m distance could be one possible situation as the second IAB </w:t>
      </w:r>
      <w:r w:rsidR="00F51421">
        <w:rPr>
          <w:rFonts w:ascii="Times New Roman" w:hAnsi="Times New Roman"/>
          <w:szCs w:val="21"/>
        </w:rPr>
        <w:t>class</w:t>
      </w:r>
      <w:r w:rsidR="00B7311D">
        <w:rPr>
          <w:rFonts w:ascii="Times New Roman" w:hAnsi="Times New Roman"/>
          <w:szCs w:val="21"/>
        </w:rPr>
        <w:t xml:space="preserve"> is </w:t>
      </w:r>
      <w:r w:rsidR="00F4197B">
        <w:rPr>
          <w:rFonts w:ascii="Times New Roman" w:hAnsi="Times New Roman"/>
          <w:szCs w:val="21"/>
        </w:rPr>
        <w:t xml:space="preserve">mainly </w:t>
      </w:r>
      <w:r w:rsidR="00B7311D">
        <w:rPr>
          <w:rFonts w:ascii="Times New Roman" w:hAnsi="Times New Roman"/>
          <w:szCs w:val="21"/>
        </w:rPr>
        <w:t>used to improve the capacity.</w:t>
      </w:r>
      <w:r w:rsidR="00F4197B">
        <w:rPr>
          <w:rFonts w:ascii="Times New Roman" w:hAnsi="Times New Roman"/>
          <w:szCs w:val="21"/>
        </w:rPr>
        <w:t xml:space="preserve"> If the child IAB node is deployed indoors, the wall loss would be much large that the distance between the outdoor parent IAB node and indoor child IAB node must be shorten to gu</w:t>
      </w:r>
      <w:r w:rsidR="00325EB5">
        <w:rPr>
          <w:rFonts w:ascii="Times New Roman" w:hAnsi="Times New Roman"/>
          <w:szCs w:val="21"/>
        </w:rPr>
        <w:t>a</w:t>
      </w:r>
      <w:r w:rsidR="00F4197B">
        <w:rPr>
          <w:rFonts w:ascii="Times New Roman" w:hAnsi="Times New Roman"/>
          <w:szCs w:val="21"/>
        </w:rPr>
        <w:t xml:space="preserve">rantee the backhaul link quality. And in some extreme cases, the </w:t>
      </w:r>
      <w:r w:rsidR="005E5317">
        <w:rPr>
          <w:rFonts w:ascii="Times New Roman" w:hAnsi="Times New Roman"/>
          <w:szCs w:val="21"/>
        </w:rPr>
        <w:t>minimum</w:t>
      </w:r>
      <w:r w:rsidR="00F4197B">
        <w:rPr>
          <w:rFonts w:ascii="Times New Roman" w:hAnsi="Times New Roman"/>
          <w:szCs w:val="21"/>
        </w:rPr>
        <w:t xml:space="preserve"> distance may be shorten</w:t>
      </w:r>
      <w:r w:rsidR="00D60341">
        <w:rPr>
          <w:rFonts w:ascii="Times New Roman" w:hAnsi="Times New Roman"/>
          <w:szCs w:val="21"/>
        </w:rPr>
        <w:t>ed</w:t>
      </w:r>
      <w:r w:rsidR="00F4197B">
        <w:rPr>
          <w:rFonts w:ascii="Times New Roman" w:hAnsi="Times New Roman"/>
          <w:szCs w:val="21"/>
        </w:rPr>
        <w:t xml:space="preserve"> to 1</w:t>
      </w:r>
      <w:r w:rsidR="004922D4">
        <w:rPr>
          <w:rFonts w:ascii="Times New Roman" w:hAnsi="Times New Roman"/>
          <w:szCs w:val="21"/>
        </w:rPr>
        <w:t xml:space="preserve"> </w:t>
      </w:r>
      <w:r w:rsidR="00F4197B">
        <w:rPr>
          <w:rFonts w:ascii="Times New Roman" w:hAnsi="Times New Roman"/>
          <w:szCs w:val="21"/>
        </w:rPr>
        <w:t>m.</w:t>
      </w:r>
    </w:p>
    <w:p w:rsidR="000826EF" w:rsidRDefault="005B1AA8" w:rsidP="004C0923">
      <w:pPr>
        <w:tabs>
          <w:tab w:val="left" w:pos="491"/>
        </w:tabs>
        <w:spacing w:afterLines="50" w:after="156"/>
        <w:rPr>
          <w:rFonts w:ascii="Times New Roman" w:hAnsi="Times New Roman"/>
          <w:szCs w:val="21"/>
        </w:rPr>
      </w:pPr>
      <w:r>
        <w:rPr>
          <w:rFonts w:ascii="Times New Roman" w:hAnsi="Times New Roman"/>
          <w:szCs w:val="21"/>
        </w:rPr>
        <w:t xml:space="preserve">The following table </w:t>
      </w:r>
      <w:r w:rsidR="00C875B4">
        <w:rPr>
          <w:rFonts w:ascii="Times New Roman" w:hAnsi="Times New Roman"/>
          <w:szCs w:val="21"/>
        </w:rPr>
        <w:t>2</w:t>
      </w:r>
      <w:r>
        <w:rPr>
          <w:rFonts w:ascii="Times New Roman" w:hAnsi="Times New Roman"/>
          <w:szCs w:val="21"/>
        </w:rPr>
        <w:t xml:space="preserve"> and </w:t>
      </w:r>
      <w:r w:rsidR="00C875B4">
        <w:rPr>
          <w:rFonts w:ascii="Times New Roman" w:hAnsi="Times New Roman"/>
          <w:szCs w:val="21"/>
        </w:rPr>
        <w:t>3</w:t>
      </w:r>
      <w:r>
        <w:rPr>
          <w:rFonts w:ascii="Times New Roman" w:hAnsi="Times New Roman"/>
          <w:szCs w:val="21"/>
        </w:rPr>
        <w:t xml:space="preserve"> describe the dynamic range for IAB-MT</w:t>
      </w:r>
      <w:r w:rsidR="001A22BD">
        <w:rPr>
          <w:rFonts w:ascii="Times New Roman" w:hAnsi="Times New Roman"/>
          <w:szCs w:val="21"/>
        </w:rPr>
        <w:t xml:space="preserve"> deployed at cell edge and 1m distant location.</w:t>
      </w:r>
    </w:p>
    <w:p w:rsidR="00D03817" w:rsidRPr="00D03817" w:rsidRDefault="00D03817" w:rsidP="00D03817">
      <w:pPr>
        <w:tabs>
          <w:tab w:val="left" w:pos="491"/>
        </w:tabs>
        <w:spacing w:afterLines="50" w:after="156"/>
        <w:jc w:val="center"/>
        <w:rPr>
          <w:rFonts w:ascii="Times New Roman" w:hAnsi="Times New Roman"/>
          <w:i/>
          <w:iCs/>
          <w:szCs w:val="21"/>
        </w:rPr>
      </w:pPr>
      <w:r w:rsidRPr="00D03817">
        <w:rPr>
          <w:rFonts w:ascii="Times New Roman" w:hAnsi="Times New Roman"/>
          <w:i/>
          <w:iCs/>
          <w:szCs w:val="21"/>
        </w:rPr>
        <w:t xml:space="preserve">Table </w:t>
      </w:r>
      <w:r w:rsidR="00C875B4">
        <w:rPr>
          <w:rFonts w:ascii="Times New Roman" w:hAnsi="Times New Roman"/>
          <w:i/>
          <w:iCs/>
          <w:szCs w:val="21"/>
        </w:rPr>
        <w:t>2</w:t>
      </w:r>
      <w:r w:rsidRPr="00D03817">
        <w:rPr>
          <w:rFonts w:ascii="Times New Roman" w:hAnsi="Times New Roman"/>
          <w:i/>
          <w:iCs/>
          <w:szCs w:val="21"/>
        </w:rPr>
        <w:t xml:space="preserve"> the dynamic range for local area IAB-MT deployed at cell edge</w:t>
      </w:r>
    </w:p>
    <w:tbl>
      <w:tblPr>
        <w:tblW w:w="9067" w:type="dxa"/>
        <w:jc w:val="center"/>
        <w:tblLook w:val="04A0" w:firstRow="1" w:lastRow="0" w:firstColumn="1" w:lastColumn="0" w:noHBand="0" w:noVBand="1"/>
      </w:tblPr>
      <w:tblGrid>
        <w:gridCol w:w="3560"/>
        <w:gridCol w:w="1080"/>
        <w:gridCol w:w="1080"/>
        <w:gridCol w:w="3347"/>
      </w:tblGrid>
      <w:tr w:rsidR="00D03817" w:rsidRPr="005C6AE1" w:rsidTr="005C6AE1">
        <w:trPr>
          <w:trHeight w:val="285"/>
          <w:jc w:val="center"/>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FR1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FR2</w:t>
            </w:r>
          </w:p>
        </w:tc>
        <w:tc>
          <w:tcPr>
            <w:tcW w:w="3347" w:type="dxa"/>
            <w:tcBorders>
              <w:top w:val="single" w:sz="4" w:space="0" w:color="auto"/>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note</w:t>
            </w:r>
          </w:p>
        </w:tc>
      </w:tr>
      <w:tr w:rsidR="00D03817" w:rsidRPr="005C6AE1" w:rsidTr="005C6AE1">
        <w:trPr>
          <w:trHeight w:val="49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ISD/m</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200.00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100.00 </w:t>
            </w:r>
          </w:p>
        </w:tc>
        <w:tc>
          <w:tcPr>
            <w:tcW w:w="3347" w:type="dxa"/>
            <w:tcBorders>
              <w:top w:val="nil"/>
              <w:left w:val="nil"/>
              <w:bottom w:val="single" w:sz="4" w:space="0" w:color="auto"/>
              <w:right w:val="single" w:sz="4" w:space="0" w:color="auto"/>
            </w:tcBorders>
            <w:shd w:val="clear" w:color="auto" w:fill="auto"/>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D03817" w:rsidRPr="005C6AE1" w:rsidTr="005C6AE1">
        <w:trPr>
          <w:trHeight w:val="840"/>
          <w:jc w:val="center"/>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lastRenderedPageBreak/>
              <w:t>distance between IAB-MT and IAB donor node</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133.33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66.67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cell edge</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frequency/GHz</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4.90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26.00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D03817" w:rsidRPr="005C6AE1" w:rsidTr="005C6AE1">
        <w:trPr>
          <w:trHeight w:val="1245"/>
          <w:jc w:val="center"/>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min distance when calcul</w:t>
            </w:r>
            <w:r w:rsidR="00907127" w:rsidRPr="005C6AE1">
              <w:rPr>
                <w:rFonts w:ascii="Times New Roman" w:eastAsia="等线" w:hAnsi="Times New Roman"/>
                <w:color w:val="000000"/>
                <w:kern w:val="0"/>
                <w:sz w:val="22"/>
              </w:rPr>
              <w:t>a</w:t>
            </w:r>
            <w:r w:rsidRPr="005C6AE1">
              <w:rPr>
                <w:rFonts w:ascii="Times New Roman" w:eastAsia="等线" w:hAnsi="Times New Roman"/>
                <w:color w:val="000000"/>
                <w:kern w:val="0"/>
                <w:sz w:val="22"/>
              </w:rPr>
              <w:t>ting the UE minimum output power</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delta PL</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44.62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38.30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LOS, 38.901,</w:t>
            </w:r>
            <w:r w:rsidR="004922D4">
              <w:rPr>
                <w:rFonts w:ascii="Times New Roman" w:eastAsia="等线" w:hAnsi="Times New Roman"/>
                <w:color w:val="000000"/>
                <w:kern w:val="0"/>
                <w:sz w:val="22"/>
              </w:rPr>
              <w:t xml:space="preserve"> </w:t>
            </w:r>
            <w:r w:rsidRPr="005C6AE1">
              <w:rPr>
                <w:rFonts w:ascii="Times New Roman" w:eastAsia="等线" w:hAnsi="Times New Roman"/>
                <w:color w:val="000000"/>
                <w:kern w:val="0"/>
                <w:sz w:val="22"/>
              </w:rPr>
              <w:t>21log(d3D)</w:t>
            </w:r>
          </w:p>
        </w:tc>
      </w:tr>
      <w:tr w:rsidR="00D03817" w:rsidRPr="005C6AE1" w:rsidTr="005C6AE1">
        <w:trPr>
          <w:trHeight w:val="390"/>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delta antenna gain</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8.00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8.00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0dBi for UE</w:t>
            </w:r>
          </w:p>
        </w:tc>
      </w:tr>
      <w:tr w:rsidR="00D03817" w:rsidRPr="005C6AE1" w:rsidTr="005C6AE1">
        <w:trPr>
          <w:trHeight w:val="510"/>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minimum output power</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3.62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17.30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100MHz for FR1 and 400MHz for FR2</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SINR</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22.00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22.00 </w:t>
            </w:r>
          </w:p>
        </w:tc>
        <w:tc>
          <w:tcPr>
            <w:tcW w:w="3347" w:type="dxa"/>
            <w:tcBorders>
              <w:top w:val="nil"/>
              <w:left w:val="nil"/>
              <w:bottom w:val="single" w:sz="4" w:space="0" w:color="auto"/>
              <w:right w:val="single" w:sz="4" w:space="0" w:color="auto"/>
            </w:tcBorders>
            <w:shd w:val="clear" w:color="auto" w:fill="auto"/>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64QAM</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RX</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-67.00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-55.98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5dBi NF for FR1 and 10dBi NR for FR2</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PL_IAB</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90.83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99.00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maximum output power</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7.83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27.02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D03817" w:rsidRPr="005C6AE1" w:rsidTr="005C6AE1">
        <w:trPr>
          <w:trHeight w:val="285"/>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dynamic range</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4.20 </w:t>
            </w:r>
          </w:p>
        </w:tc>
        <w:tc>
          <w:tcPr>
            <w:tcW w:w="1080"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9.72 </w:t>
            </w:r>
          </w:p>
        </w:tc>
        <w:tc>
          <w:tcPr>
            <w:tcW w:w="3347" w:type="dxa"/>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bl>
    <w:p w:rsidR="00D03817" w:rsidRDefault="00D03817" w:rsidP="004C0923">
      <w:pPr>
        <w:tabs>
          <w:tab w:val="left" w:pos="491"/>
        </w:tabs>
        <w:spacing w:afterLines="50" w:after="156"/>
        <w:rPr>
          <w:rFonts w:ascii="Times New Roman" w:hAnsi="Times New Roman"/>
          <w:szCs w:val="21"/>
        </w:rPr>
      </w:pPr>
    </w:p>
    <w:p w:rsidR="00D03817" w:rsidRDefault="00D03817" w:rsidP="00D03817">
      <w:pPr>
        <w:tabs>
          <w:tab w:val="left" w:pos="491"/>
        </w:tabs>
        <w:spacing w:afterLines="50" w:after="156"/>
        <w:jc w:val="center"/>
        <w:rPr>
          <w:rFonts w:ascii="Times New Roman" w:hAnsi="Times New Roman"/>
          <w:i/>
          <w:iCs/>
          <w:szCs w:val="21"/>
        </w:rPr>
      </w:pPr>
      <w:r w:rsidRPr="00D03817">
        <w:rPr>
          <w:rFonts w:ascii="Times New Roman" w:hAnsi="Times New Roman"/>
          <w:i/>
          <w:iCs/>
          <w:szCs w:val="21"/>
        </w:rPr>
        <w:t xml:space="preserve">Table </w:t>
      </w:r>
      <w:r w:rsidR="00C875B4">
        <w:rPr>
          <w:rFonts w:ascii="Times New Roman" w:hAnsi="Times New Roman"/>
          <w:i/>
          <w:iCs/>
          <w:szCs w:val="21"/>
        </w:rPr>
        <w:t>3</w:t>
      </w:r>
      <w:r w:rsidRPr="00D03817">
        <w:rPr>
          <w:rFonts w:ascii="Times New Roman" w:hAnsi="Times New Roman"/>
          <w:i/>
          <w:iCs/>
          <w:szCs w:val="21"/>
        </w:rPr>
        <w:t xml:space="preserve"> dynamic range for local IAB-MT with 1m distance</w:t>
      </w:r>
    </w:p>
    <w:tbl>
      <w:tblPr>
        <w:tblW w:w="4442" w:type="pct"/>
        <w:jc w:val="center"/>
        <w:tblLook w:val="04A0" w:firstRow="1" w:lastRow="0" w:firstColumn="1" w:lastColumn="0" w:noHBand="0" w:noVBand="1"/>
      </w:tblPr>
      <w:tblGrid>
        <w:gridCol w:w="2524"/>
        <w:gridCol w:w="942"/>
        <w:gridCol w:w="825"/>
        <w:gridCol w:w="4358"/>
      </w:tblGrid>
      <w:tr w:rsidR="00265211" w:rsidRPr="005C6AE1" w:rsidTr="005C6AE1">
        <w:trPr>
          <w:trHeight w:val="285"/>
          <w:jc w:val="center"/>
        </w:trPr>
        <w:tc>
          <w:tcPr>
            <w:tcW w:w="14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c>
          <w:tcPr>
            <w:tcW w:w="546" w:type="pct"/>
            <w:tcBorders>
              <w:top w:val="single" w:sz="4" w:space="0" w:color="auto"/>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FR1</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FR2</w:t>
            </w:r>
          </w:p>
        </w:tc>
        <w:tc>
          <w:tcPr>
            <w:tcW w:w="2514" w:type="pct"/>
            <w:tcBorders>
              <w:top w:val="single" w:sz="4" w:space="0" w:color="auto"/>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note</w:t>
            </w:r>
          </w:p>
        </w:tc>
      </w:tr>
      <w:tr w:rsidR="00265211" w:rsidRPr="005C6AE1" w:rsidTr="005C6AE1">
        <w:trPr>
          <w:trHeight w:val="49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ISD/m</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200.00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200.00 </w:t>
            </w:r>
          </w:p>
        </w:tc>
        <w:tc>
          <w:tcPr>
            <w:tcW w:w="2514" w:type="pct"/>
            <w:tcBorders>
              <w:top w:val="nil"/>
              <w:left w:val="nil"/>
              <w:bottom w:val="single" w:sz="4" w:space="0" w:color="auto"/>
              <w:right w:val="single" w:sz="4" w:space="0" w:color="auto"/>
            </w:tcBorders>
            <w:shd w:val="clear" w:color="auto" w:fill="auto"/>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265211" w:rsidRPr="005C6AE1" w:rsidTr="005C6AE1">
        <w:trPr>
          <w:trHeight w:val="840"/>
          <w:jc w:val="center"/>
        </w:trPr>
        <w:tc>
          <w:tcPr>
            <w:tcW w:w="1461" w:type="pct"/>
            <w:tcBorders>
              <w:top w:val="nil"/>
              <w:left w:val="single" w:sz="4" w:space="0" w:color="auto"/>
              <w:bottom w:val="single" w:sz="4" w:space="0" w:color="auto"/>
              <w:right w:val="single" w:sz="4" w:space="0" w:color="auto"/>
            </w:tcBorders>
            <w:shd w:val="clear" w:color="auto" w:fill="auto"/>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distance between IAB-MT and IAB donor node</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1m distance between parent node and IAB-MT</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frequency/GHz</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4.90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26.00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265211" w:rsidRPr="005C6AE1" w:rsidTr="005C6AE1">
        <w:trPr>
          <w:trHeight w:val="1245"/>
          <w:jc w:val="center"/>
        </w:trPr>
        <w:tc>
          <w:tcPr>
            <w:tcW w:w="1461" w:type="pct"/>
            <w:tcBorders>
              <w:top w:val="nil"/>
              <w:left w:val="single" w:sz="4" w:space="0" w:color="auto"/>
              <w:bottom w:val="single" w:sz="4" w:space="0" w:color="auto"/>
              <w:right w:val="single" w:sz="4" w:space="0" w:color="auto"/>
            </w:tcBorders>
            <w:shd w:val="clear" w:color="auto" w:fill="auto"/>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min distance when calculating the UE minimum output power</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1.00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delta PL</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0.00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0.00 </w:t>
            </w:r>
          </w:p>
        </w:tc>
        <w:tc>
          <w:tcPr>
            <w:tcW w:w="2514" w:type="pct"/>
            <w:tcBorders>
              <w:top w:val="nil"/>
              <w:left w:val="nil"/>
              <w:bottom w:val="single" w:sz="4" w:space="0" w:color="auto"/>
              <w:right w:val="single" w:sz="4" w:space="0" w:color="auto"/>
            </w:tcBorders>
            <w:shd w:val="clear" w:color="auto" w:fill="auto"/>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free space</w:t>
            </w:r>
          </w:p>
        </w:tc>
      </w:tr>
      <w:tr w:rsidR="00265211" w:rsidRPr="005C6AE1" w:rsidTr="005C6AE1">
        <w:trPr>
          <w:trHeight w:val="390"/>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delta antenna gain</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8.00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8.00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0dBi for UE</w:t>
            </w:r>
          </w:p>
        </w:tc>
      </w:tr>
      <w:tr w:rsidR="00265211" w:rsidRPr="005C6AE1" w:rsidTr="005C6AE1">
        <w:trPr>
          <w:trHeight w:val="510"/>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minimum output power</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-41.00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-21.00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100MHz for FR1 and 400MHz for FR2</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SINR</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22.00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22.00 </w:t>
            </w:r>
          </w:p>
        </w:tc>
        <w:tc>
          <w:tcPr>
            <w:tcW w:w="2514" w:type="pct"/>
            <w:tcBorders>
              <w:top w:val="nil"/>
              <w:left w:val="nil"/>
              <w:bottom w:val="single" w:sz="4" w:space="0" w:color="auto"/>
              <w:right w:val="single" w:sz="4" w:space="0" w:color="auto"/>
            </w:tcBorders>
            <w:shd w:val="clear" w:color="auto" w:fill="auto"/>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64QAM</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RX</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-67.00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-55.98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5dBi NF for FR1 and 10dBi NR for FR2</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PL_IAB</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46.20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60.70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maximum output power</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-36.80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-11.28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r w:rsidR="00265211" w:rsidRPr="005C6AE1" w:rsidTr="005C6AE1">
        <w:trPr>
          <w:trHeight w:val="285"/>
          <w:jc w:val="center"/>
        </w:trPr>
        <w:tc>
          <w:tcPr>
            <w:tcW w:w="1461" w:type="pct"/>
            <w:tcBorders>
              <w:top w:val="nil"/>
              <w:left w:val="single" w:sz="4" w:space="0" w:color="auto"/>
              <w:bottom w:val="single" w:sz="4" w:space="0" w:color="auto"/>
              <w:right w:val="single" w:sz="4" w:space="0" w:color="auto"/>
            </w:tcBorders>
            <w:shd w:val="clear" w:color="auto" w:fill="auto"/>
            <w:noWrap/>
            <w:vAlign w:val="center"/>
            <w:hideMark/>
          </w:tcPr>
          <w:p w:rsidR="00D03817" w:rsidRPr="005C6AE1" w:rsidRDefault="00D03817" w:rsidP="00D03817">
            <w:pPr>
              <w:widowControl/>
              <w:jc w:val="left"/>
              <w:rPr>
                <w:rFonts w:ascii="Times New Roman" w:eastAsia="等线" w:hAnsi="Times New Roman"/>
                <w:color w:val="000000"/>
                <w:kern w:val="0"/>
                <w:sz w:val="22"/>
              </w:rPr>
            </w:pPr>
            <w:r w:rsidRPr="005C6AE1">
              <w:rPr>
                <w:rFonts w:ascii="Times New Roman" w:eastAsia="等线" w:hAnsi="Times New Roman"/>
                <w:color w:val="000000"/>
                <w:kern w:val="0"/>
                <w:sz w:val="22"/>
              </w:rPr>
              <w:t>dynamic range</w:t>
            </w:r>
          </w:p>
        </w:tc>
        <w:tc>
          <w:tcPr>
            <w:tcW w:w="546"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4.20 </w:t>
            </w:r>
          </w:p>
        </w:tc>
        <w:tc>
          <w:tcPr>
            <w:tcW w:w="478"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9.72 </w:t>
            </w:r>
          </w:p>
        </w:tc>
        <w:tc>
          <w:tcPr>
            <w:tcW w:w="2514" w:type="pct"/>
            <w:tcBorders>
              <w:top w:val="nil"/>
              <w:left w:val="nil"/>
              <w:bottom w:val="single" w:sz="4" w:space="0" w:color="auto"/>
              <w:right w:val="single" w:sz="4" w:space="0" w:color="auto"/>
            </w:tcBorders>
            <w:shd w:val="clear" w:color="auto" w:fill="auto"/>
            <w:noWrap/>
            <w:vAlign w:val="center"/>
            <w:hideMark/>
          </w:tcPr>
          <w:p w:rsidR="00D03817" w:rsidRPr="005C6AE1" w:rsidRDefault="00D03817" w:rsidP="00D03817">
            <w:pPr>
              <w:widowControl/>
              <w:jc w:val="center"/>
              <w:rPr>
                <w:rFonts w:ascii="Times New Roman" w:eastAsia="等线" w:hAnsi="Times New Roman"/>
                <w:color w:val="000000"/>
                <w:kern w:val="0"/>
                <w:sz w:val="22"/>
              </w:rPr>
            </w:pPr>
            <w:r w:rsidRPr="005C6AE1">
              <w:rPr>
                <w:rFonts w:ascii="Times New Roman" w:eastAsia="等线" w:hAnsi="Times New Roman"/>
                <w:color w:val="000000"/>
                <w:kern w:val="0"/>
                <w:sz w:val="22"/>
              </w:rPr>
              <w:t xml:space="preserve">　</w:t>
            </w:r>
          </w:p>
        </w:tc>
      </w:tr>
    </w:tbl>
    <w:p w:rsidR="00D03817" w:rsidRPr="00D03817" w:rsidRDefault="00D03817" w:rsidP="00D03817">
      <w:pPr>
        <w:tabs>
          <w:tab w:val="left" w:pos="491"/>
        </w:tabs>
        <w:spacing w:afterLines="50" w:after="156"/>
        <w:jc w:val="left"/>
        <w:rPr>
          <w:rFonts w:ascii="Times New Roman" w:hAnsi="Times New Roman"/>
          <w:szCs w:val="21"/>
        </w:rPr>
      </w:pPr>
    </w:p>
    <w:p w:rsidR="00F11A28" w:rsidRPr="00F11A28" w:rsidRDefault="00AF08DE" w:rsidP="005C6AE1">
      <w:pPr>
        <w:tabs>
          <w:tab w:val="left" w:pos="491"/>
        </w:tabs>
        <w:spacing w:afterLines="50" w:after="156"/>
        <w:rPr>
          <w:rFonts w:ascii="Times New Roman" w:hAnsi="Times New Roman"/>
          <w:szCs w:val="21"/>
        </w:rPr>
      </w:pPr>
      <w:r w:rsidRPr="00AE7326">
        <w:rPr>
          <w:rFonts w:ascii="Times New Roman" w:hAnsi="Times New Roman"/>
          <w:b/>
          <w:bCs/>
          <w:szCs w:val="21"/>
        </w:rPr>
        <w:t xml:space="preserve">Proposal 2: </w:t>
      </w:r>
      <w:r w:rsidR="00F92B7E" w:rsidRPr="00AE7326">
        <w:rPr>
          <w:rFonts w:ascii="Times New Roman" w:hAnsi="Times New Roman"/>
          <w:b/>
          <w:bCs/>
          <w:szCs w:val="21"/>
        </w:rPr>
        <w:t>The local area IAB-MT require</w:t>
      </w:r>
      <w:r w:rsidR="00246D29">
        <w:rPr>
          <w:rFonts w:ascii="Times New Roman" w:hAnsi="Times New Roman"/>
          <w:b/>
          <w:bCs/>
          <w:szCs w:val="21"/>
        </w:rPr>
        <w:t>s</w:t>
      </w:r>
      <w:r w:rsidR="00F92B7E" w:rsidRPr="00AE7326">
        <w:rPr>
          <w:rFonts w:ascii="Times New Roman" w:hAnsi="Times New Roman"/>
          <w:b/>
          <w:bCs/>
          <w:szCs w:val="21"/>
        </w:rPr>
        <w:t xml:space="preserve"> </w:t>
      </w:r>
      <w:r w:rsidR="00276210">
        <w:rPr>
          <w:rFonts w:ascii="Times New Roman" w:hAnsi="Times New Roman"/>
          <w:b/>
          <w:bCs/>
          <w:szCs w:val="21"/>
        </w:rPr>
        <w:t>5</w:t>
      </w:r>
      <w:r w:rsidR="00276210" w:rsidRPr="00AE7326">
        <w:rPr>
          <w:rFonts w:ascii="Times New Roman" w:hAnsi="Times New Roman"/>
          <w:b/>
          <w:bCs/>
          <w:szCs w:val="21"/>
        </w:rPr>
        <w:t xml:space="preserve"> </w:t>
      </w:r>
      <w:r w:rsidR="00F92B7E" w:rsidRPr="00AE7326">
        <w:rPr>
          <w:rFonts w:ascii="Times New Roman" w:hAnsi="Times New Roman"/>
          <w:b/>
          <w:bCs/>
          <w:szCs w:val="21"/>
        </w:rPr>
        <w:t xml:space="preserve">dB dynamic range for FR1 and </w:t>
      </w:r>
      <w:r w:rsidR="00276210">
        <w:rPr>
          <w:rFonts w:ascii="Times New Roman" w:hAnsi="Times New Roman"/>
          <w:b/>
          <w:bCs/>
          <w:szCs w:val="21"/>
        </w:rPr>
        <w:t xml:space="preserve">10dB dynamic range for </w:t>
      </w:r>
      <w:r w:rsidR="00F92B7E" w:rsidRPr="00AE7326">
        <w:rPr>
          <w:rFonts w:ascii="Times New Roman" w:hAnsi="Times New Roman"/>
          <w:b/>
          <w:bCs/>
          <w:szCs w:val="21"/>
        </w:rPr>
        <w:t>FR2</w:t>
      </w:r>
      <w:r w:rsidR="009F0C3A" w:rsidRPr="00AE7326">
        <w:rPr>
          <w:rFonts w:ascii="Times New Roman" w:hAnsi="Times New Roman"/>
          <w:b/>
          <w:bCs/>
          <w:szCs w:val="21"/>
        </w:rPr>
        <w:t>.</w:t>
      </w:r>
    </w:p>
    <w:p w:rsidR="00D5618B" w:rsidRDefault="00C41873" w:rsidP="00D5618B">
      <w:pPr>
        <w:pStyle w:val="Char"/>
        <w:tabs>
          <w:tab w:val="clear" w:pos="1985"/>
          <w:tab w:val="left" w:pos="567"/>
        </w:tabs>
        <w:adjustRightInd w:val="0"/>
        <w:ind w:left="510" w:hanging="510"/>
        <w:rPr>
          <w:rFonts w:ascii="Calibri" w:hAnsi="Calibri"/>
        </w:rPr>
      </w:pPr>
      <w:r>
        <w:lastRenderedPageBreak/>
        <w:t xml:space="preserve">3. </w:t>
      </w:r>
      <w:r w:rsidR="00D5618B">
        <w:t>Conclusions</w:t>
      </w:r>
    </w:p>
    <w:p w:rsidR="00D5618B" w:rsidRDefault="00D5618B" w:rsidP="004C0923">
      <w:pPr>
        <w:pStyle w:val="Style0"/>
        <w:spacing w:afterLines="50" w:after="156"/>
        <w:rPr>
          <w:rFonts w:ascii="Times New Roman" w:hAnsi="Times New Roman"/>
        </w:rPr>
      </w:pPr>
      <w:r>
        <w:rPr>
          <w:rFonts w:ascii="Times New Roman" w:hAnsi="Times New Roman"/>
        </w:rPr>
        <w:t xml:space="preserve">In this contribution, </w:t>
      </w:r>
      <w:r w:rsidR="00A334FE">
        <w:rPr>
          <w:rFonts w:ascii="Times New Roman" w:hAnsi="Times New Roman" w:hint="eastAsia"/>
        </w:rPr>
        <w:t>IAB</w:t>
      </w:r>
      <w:r w:rsidR="003A07B8">
        <w:rPr>
          <w:rFonts w:ascii="Times New Roman" w:hAnsi="Times New Roman"/>
        </w:rPr>
        <w:t xml:space="preserve">-MT dynamic range </w:t>
      </w:r>
      <w:r w:rsidR="00A334FE">
        <w:rPr>
          <w:rFonts w:ascii="Times New Roman" w:hAnsi="Times New Roman" w:hint="eastAsia"/>
        </w:rPr>
        <w:t>w</w:t>
      </w:r>
      <w:r w:rsidR="002370D6">
        <w:rPr>
          <w:rFonts w:ascii="Times New Roman" w:hAnsi="Times New Roman" w:hint="eastAsia"/>
        </w:rPr>
        <w:t xml:space="preserve">ere </w:t>
      </w:r>
      <w:r w:rsidR="00A334FE">
        <w:rPr>
          <w:rFonts w:ascii="Times New Roman" w:hAnsi="Times New Roman" w:hint="eastAsia"/>
        </w:rPr>
        <w:t>discussed</w:t>
      </w:r>
      <w:r w:rsidR="000F4F18">
        <w:rPr>
          <w:rFonts w:ascii="Times New Roman" w:hAnsi="Times New Roman" w:hint="eastAsia"/>
        </w:rPr>
        <w:t xml:space="preserve"> and corresponding </w:t>
      </w:r>
      <w:r w:rsidR="003A07B8">
        <w:rPr>
          <w:rFonts w:ascii="Times New Roman" w:hAnsi="Times New Roman"/>
        </w:rPr>
        <w:t>candidate value</w:t>
      </w:r>
      <w:r w:rsidR="00461E88">
        <w:rPr>
          <w:rFonts w:ascii="Times New Roman" w:hAnsi="Times New Roman"/>
        </w:rPr>
        <w:t>s</w:t>
      </w:r>
      <w:r w:rsidR="000F4F18">
        <w:rPr>
          <w:rFonts w:ascii="Times New Roman" w:hAnsi="Times New Roman" w:hint="eastAsia"/>
        </w:rPr>
        <w:t xml:space="preserve"> are provided.</w:t>
      </w:r>
    </w:p>
    <w:p w:rsidR="00717EE5" w:rsidRDefault="00246D29" w:rsidP="00717EE5">
      <w:pPr>
        <w:widowControl/>
        <w:overflowPunct w:val="0"/>
        <w:autoSpaceDE w:val="0"/>
        <w:autoSpaceDN w:val="0"/>
        <w:adjustRightInd w:val="0"/>
        <w:spacing w:after="180"/>
        <w:jc w:val="left"/>
        <w:textAlignment w:val="baseline"/>
        <w:rPr>
          <w:rFonts w:ascii="Times New Roman" w:hAnsi="Times New Roman"/>
          <w:b/>
          <w:szCs w:val="21"/>
          <w:lang w:val="en-GB"/>
        </w:rPr>
      </w:pPr>
      <w:r w:rsidRPr="00246D29">
        <w:rPr>
          <w:rFonts w:ascii="Times New Roman" w:hAnsi="Times New Roman"/>
          <w:b/>
          <w:szCs w:val="21"/>
          <w:lang w:val="en-GB"/>
        </w:rPr>
        <w:t>Observation 1: Different deployment scenarios will require different dynamic range capability</w:t>
      </w:r>
      <w:r w:rsidR="00D7102E" w:rsidRPr="00D7102E">
        <w:rPr>
          <w:rFonts w:ascii="Times New Roman" w:hAnsi="Times New Roman"/>
          <w:b/>
          <w:szCs w:val="21"/>
          <w:lang w:val="en-GB"/>
        </w:rPr>
        <w:t>.</w:t>
      </w:r>
    </w:p>
    <w:p w:rsidR="00514E78" w:rsidRDefault="00514E78" w:rsidP="00DB79E3">
      <w:pPr>
        <w:widowControl/>
        <w:overflowPunct w:val="0"/>
        <w:autoSpaceDE w:val="0"/>
        <w:autoSpaceDN w:val="0"/>
        <w:adjustRightInd w:val="0"/>
        <w:spacing w:after="180"/>
        <w:jc w:val="left"/>
        <w:textAlignment w:val="baseline"/>
        <w:rPr>
          <w:rFonts w:ascii="Times New Roman" w:hAnsi="Times New Roman"/>
          <w:b/>
          <w:bCs/>
          <w:szCs w:val="21"/>
        </w:rPr>
      </w:pPr>
      <w:r w:rsidRPr="00514E78">
        <w:rPr>
          <w:rFonts w:ascii="Times New Roman" w:hAnsi="Times New Roman"/>
          <w:b/>
          <w:bCs/>
          <w:szCs w:val="21"/>
        </w:rPr>
        <w:t>Observation 2: For the wide area IAB-MT, the relative dynamic range is calculated assuming the IAB-MT is deployed at the cell edge for coverage extension.</w:t>
      </w:r>
    </w:p>
    <w:p w:rsidR="00C76DCB" w:rsidRDefault="00C76DCB" w:rsidP="00DB79E3">
      <w:pPr>
        <w:widowControl/>
        <w:overflowPunct w:val="0"/>
        <w:autoSpaceDE w:val="0"/>
        <w:autoSpaceDN w:val="0"/>
        <w:adjustRightInd w:val="0"/>
        <w:spacing w:after="180"/>
        <w:jc w:val="left"/>
        <w:textAlignment w:val="baseline"/>
        <w:rPr>
          <w:rFonts w:ascii="Times New Roman" w:hAnsi="Times New Roman"/>
          <w:b/>
          <w:bCs/>
          <w:szCs w:val="21"/>
        </w:rPr>
      </w:pPr>
      <w:r w:rsidRPr="00C76DCB">
        <w:rPr>
          <w:rFonts w:ascii="Times New Roman" w:hAnsi="Times New Roman"/>
          <w:b/>
          <w:bCs/>
          <w:szCs w:val="21"/>
        </w:rPr>
        <w:t>Proposal 1: The wide area IAB-MT requires 17 dB dynamic range for FR1 and 23dB for FR2.</w:t>
      </w:r>
    </w:p>
    <w:p w:rsidR="006941CA" w:rsidRPr="009077D2" w:rsidRDefault="00C76DCB" w:rsidP="00C76DCB">
      <w:pPr>
        <w:widowControl/>
        <w:overflowPunct w:val="0"/>
        <w:autoSpaceDE w:val="0"/>
        <w:autoSpaceDN w:val="0"/>
        <w:adjustRightInd w:val="0"/>
        <w:spacing w:after="180"/>
        <w:jc w:val="left"/>
        <w:textAlignment w:val="baseline"/>
        <w:rPr>
          <w:rFonts w:ascii="Times New Roman" w:hAnsi="Times New Roman"/>
          <w:b/>
          <w:bCs/>
          <w:szCs w:val="21"/>
        </w:rPr>
      </w:pPr>
      <w:r w:rsidRPr="00C76DCB">
        <w:rPr>
          <w:rFonts w:ascii="Times New Roman" w:hAnsi="Times New Roman"/>
          <w:b/>
          <w:bCs/>
          <w:szCs w:val="21"/>
        </w:rPr>
        <w:t>Proposal 2: The local area IAB-MT requires 5 dB dynamic range for FR1 and 10dB dynamic range for FR2.</w:t>
      </w:r>
      <w:bookmarkStart w:id="1" w:name="_GoBack"/>
      <w:bookmarkEnd w:id="1"/>
    </w:p>
    <w:sectPr w:rsidR="006941CA" w:rsidRPr="009077D2"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48C" w:rsidRDefault="0014248C" w:rsidP="00D5618B">
      <w:r>
        <w:separator/>
      </w:r>
    </w:p>
  </w:endnote>
  <w:endnote w:type="continuationSeparator" w:id="0">
    <w:p w:rsidR="0014248C" w:rsidRDefault="0014248C"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48C" w:rsidRDefault="0014248C" w:rsidP="00D5618B">
      <w:r>
        <w:separator/>
      </w:r>
    </w:p>
  </w:footnote>
  <w:footnote w:type="continuationSeparator" w:id="0">
    <w:p w:rsidR="0014248C" w:rsidRDefault="0014248C"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14D" w:rsidRDefault="00A4314D">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84E3D"/>
    <w:multiLevelType w:val="singleLevel"/>
    <w:tmpl w:val="B45CE2C5"/>
    <w:lvl w:ilvl="0">
      <w:start w:val="1"/>
      <w:numFmt w:val="decimal"/>
      <w:suff w:val="space"/>
      <w:lvlText w:val="[%1]"/>
      <w:lvlJc w:val="left"/>
    </w:lvl>
  </w:abstractNum>
  <w:abstractNum w:abstractNumId="7"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3"/>
  </w:num>
  <w:num w:numId="4">
    <w:abstractNumId w:val="1"/>
  </w:num>
  <w:num w:numId="5">
    <w:abstractNumId w:val="9"/>
  </w:num>
  <w:num w:numId="6">
    <w:abstractNumId w:val="2"/>
  </w:num>
  <w:num w:numId="7">
    <w:abstractNumId w:val="6"/>
  </w:num>
  <w:num w:numId="8">
    <w:abstractNumId w:val="7"/>
  </w:num>
  <w:num w:numId="9">
    <w:abstractNumId w:val="11"/>
  </w:num>
  <w:num w:numId="10">
    <w:abstractNumId w:val="5"/>
  </w:num>
  <w:num w:numId="11">
    <w:abstractNumId w:val="4"/>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41CA"/>
    <w:rsid w:val="00005E84"/>
    <w:rsid w:val="00006196"/>
    <w:rsid w:val="00011927"/>
    <w:rsid w:val="00012C96"/>
    <w:rsid w:val="000138E6"/>
    <w:rsid w:val="00016BC2"/>
    <w:rsid w:val="00034492"/>
    <w:rsid w:val="00044652"/>
    <w:rsid w:val="000449E2"/>
    <w:rsid w:val="0004539C"/>
    <w:rsid w:val="0004616D"/>
    <w:rsid w:val="00050835"/>
    <w:rsid w:val="00051925"/>
    <w:rsid w:val="00052CB8"/>
    <w:rsid w:val="00052E16"/>
    <w:rsid w:val="000606D3"/>
    <w:rsid w:val="000660F4"/>
    <w:rsid w:val="0006714C"/>
    <w:rsid w:val="00075657"/>
    <w:rsid w:val="000803EE"/>
    <w:rsid w:val="000826EF"/>
    <w:rsid w:val="00084B99"/>
    <w:rsid w:val="00085D8F"/>
    <w:rsid w:val="00090A5D"/>
    <w:rsid w:val="000A01AE"/>
    <w:rsid w:val="000A0AE8"/>
    <w:rsid w:val="000A3424"/>
    <w:rsid w:val="000B032D"/>
    <w:rsid w:val="000B55D1"/>
    <w:rsid w:val="000B7D23"/>
    <w:rsid w:val="000C1407"/>
    <w:rsid w:val="000C2295"/>
    <w:rsid w:val="000C22BE"/>
    <w:rsid w:val="000C4A40"/>
    <w:rsid w:val="000C51A5"/>
    <w:rsid w:val="000C5B39"/>
    <w:rsid w:val="000D06F5"/>
    <w:rsid w:val="000D630F"/>
    <w:rsid w:val="000D6FD9"/>
    <w:rsid w:val="000E001B"/>
    <w:rsid w:val="000E4074"/>
    <w:rsid w:val="000E7F07"/>
    <w:rsid w:val="000F0B4E"/>
    <w:rsid w:val="000F115E"/>
    <w:rsid w:val="000F4F18"/>
    <w:rsid w:val="000F700F"/>
    <w:rsid w:val="000F70C1"/>
    <w:rsid w:val="00102B4D"/>
    <w:rsid w:val="001033DA"/>
    <w:rsid w:val="0010688E"/>
    <w:rsid w:val="0011154A"/>
    <w:rsid w:val="001137AE"/>
    <w:rsid w:val="001155D6"/>
    <w:rsid w:val="00116723"/>
    <w:rsid w:val="00122897"/>
    <w:rsid w:val="001229DE"/>
    <w:rsid w:val="00131B3F"/>
    <w:rsid w:val="001326C6"/>
    <w:rsid w:val="001330E3"/>
    <w:rsid w:val="0013477E"/>
    <w:rsid w:val="00137BE3"/>
    <w:rsid w:val="00140720"/>
    <w:rsid w:val="0014248C"/>
    <w:rsid w:val="00143F1D"/>
    <w:rsid w:val="00146ADC"/>
    <w:rsid w:val="00147B02"/>
    <w:rsid w:val="00150059"/>
    <w:rsid w:val="001502CC"/>
    <w:rsid w:val="001554DD"/>
    <w:rsid w:val="00155651"/>
    <w:rsid w:val="001560D6"/>
    <w:rsid w:val="00156DAC"/>
    <w:rsid w:val="001606D6"/>
    <w:rsid w:val="001611C4"/>
    <w:rsid w:val="00165020"/>
    <w:rsid w:val="00172290"/>
    <w:rsid w:val="00180913"/>
    <w:rsid w:val="00183E23"/>
    <w:rsid w:val="0018424B"/>
    <w:rsid w:val="001A08E2"/>
    <w:rsid w:val="001A22BD"/>
    <w:rsid w:val="001A32E3"/>
    <w:rsid w:val="001A43E9"/>
    <w:rsid w:val="001A4EEC"/>
    <w:rsid w:val="001A59A4"/>
    <w:rsid w:val="001C1A9A"/>
    <w:rsid w:val="001C4DFD"/>
    <w:rsid w:val="001C71A1"/>
    <w:rsid w:val="001C7A6D"/>
    <w:rsid w:val="001D5025"/>
    <w:rsid w:val="001D66E0"/>
    <w:rsid w:val="001D7806"/>
    <w:rsid w:val="001E1E04"/>
    <w:rsid w:val="001E7AE1"/>
    <w:rsid w:val="002068E6"/>
    <w:rsid w:val="00211F9F"/>
    <w:rsid w:val="00214B90"/>
    <w:rsid w:val="00215703"/>
    <w:rsid w:val="002211D8"/>
    <w:rsid w:val="00221F31"/>
    <w:rsid w:val="00222116"/>
    <w:rsid w:val="00224E27"/>
    <w:rsid w:val="00233587"/>
    <w:rsid w:val="00233B01"/>
    <w:rsid w:val="002370D6"/>
    <w:rsid w:val="002379D3"/>
    <w:rsid w:val="002408B1"/>
    <w:rsid w:val="00244DCD"/>
    <w:rsid w:val="002451EE"/>
    <w:rsid w:val="002452F2"/>
    <w:rsid w:val="00245C9B"/>
    <w:rsid w:val="00246D29"/>
    <w:rsid w:val="00253AF9"/>
    <w:rsid w:val="00264A81"/>
    <w:rsid w:val="00265211"/>
    <w:rsid w:val="00266120"/>
    <w:rsid w:val="00274A57"/>
    <w:rsid w:val="00276210"/>
    <w:rsid w:val="0028013D"/>
    <w:rsid w:val="00284E14"/>
    <w:rsid w:val="002922BF"/>
    <w:rsid w:val="002946D1"/>
    <w:rsid w:val="002A0026"/>
    <w:rsid w:val="002A09B6"/>
    <w:rsid w:val="002A62D7"/>
    <w:rsid w:val="002A75A5"/>
    <w:rsid w:val="002B241D"/>
    <w:rsid w:val="002C29FD"/>
    <w:rsid w:val="002C59C0"/>
    <w:rsid w:val="002C6F34"/>
    <w:rsid w:val="002D6388"/>
    <w:rsid w:val="002E1212"/>
    <w:rsid w:val="002E389B"/>
    <w:rsid w:val="002E4D43"/>
    <w:rsid w:val="002E767C"/>
    <w:rsid w:val="002F4B9F"/>
    <w:rsid w:val="002F7E7F"/>
    <w:rsid w:val="00302114"/>
    <w:rsid w:val="00305566"/>
    <w:rsid w:val="00306853"/>
    <w:rsid w:val="00310B4B"/>
    <w:rsid w:val="00314999"/>
    <w:rsid w:val="0031509D"/>
    <w:rsid w:val="003159FD"/>
    <w:rsid w:val="00316FE6"/>
    <w:rsid w:val="003202FD"/>
    <w:rsid w:val="003212EF"/>
    <w:rsid w:val="0032226D"/>
    <w:rsid w:val="00325EB5"/>
    <w:rsid w:val="003300C5"/>
    <w:rsid w:val="003316DF"/>
    <w:rsid w:val="003320BB"/>
    <w:rsid w:val="00333F99"/>
    <w:rsid w:val="00336C28"/>
    <w:rsid w:val="00337A7F"/>
    <w:rsid w:val="00340045"/>
    <w:rsid w:val="003420CF"/>
    <w:rsid w:val="003512E8"/>
    <w:rsid w:val="003542AC"/>
    <w:rsid w:val="00360585"/>
    <w:rsid w:val="00366467"/>
    <w:rsid w:val="0036723A"/>
    <w:rsid w:val="0036727B"/>
    <w:rsid w:val="003677FB"/>
    <w:rsid w:val="00371172"/>
    <w:rsid w:val="003779F7"/>
    <w:rsid w:val="003836CF"/>
    <w:rsid w:val="003916B5"/>
    <w:rsid w:val="00392BAD"/>
    <w:rsid w:val="003934F2"/>
    <w:rsid w:val="00394CDD"/>
    <w:rsid w:val="00395B8C"/>
    <w:rsid w:val="00397BAF"/>
    <w:rsid w:val="003A07B8"/>
    <w:rsid w:val="003B231E"/>
    <w:rsid w:val="003B4B56"/>
    <w:rsid w:val="003B5818"/>
    <w:rsid w:val="003B5E10"/>
    <w:rsid w:val="003C261C"/>
    <w:rsid w:val="003C28A5"/>
    <w:rsid w:val="003C347D"/>
    <w:rsid w:val="003C6A82"/>
    <w:rsid w:val="003C7B4D"/>
    <w:rsid w:val="003D3A57"/>
    <w:rsid w:val="003D3A7F"/>
    <w:rsid w:val="003E0160"/>
    <w:rsid w:val="003E10D8"/>
    <w:rsid w:val="003E5A30"/>
    <w:rsid w:val="003F2587"/>
    <w:rsid w:val="003F51E3"/>
    <w:rsid w:val="004017E5"/>
    <w:rsid w:val="00403E79"/>
    <w:rsid w:val="004111A1"/>
    <w:rsid w:val="004206E1"/>
    <w:rsid w:val="004220D7"/>
    <w:rsid w:val="00422DCE"/>
    <w:rsid w:val="0042784A"/>
    <w:rsid w:val="00427A81"/>
    <w:rsid w:val="00434E36"/>
    <w:rsid w:val="0044165B"/>
    <w:rsid w:val="00443A65"/>
    <w:rsid w:val="00443AA8"/>
    <w:rsid w:val="00450AB2"/>
    <w:rsid w:val="004541E1"/>
    <w:rsid w:val="00461E88"/>
    <w:rsid w:val="00461F16"/>
    <w:rsid w:val="0046682E"/>
    <w:rsid w:val="00471045"/>
    <w:rsid w:val="00473E19"/>
    <w:rsid w:val="0047689D"/>
    <w:rsid w:val="00477DED"/>
    <w:rsid w:val="004825C6"/>
    <w:rsid w:val="00484073"/>
    <w:rsid w:val="0048494B"/>
    <w:rsid w:val="00485F10"/>
    <w:rsid w:val="00490804"/>
    <w:rsid w:val="004922D4"/>
    <w:rsid w:val="0049231C"/>
    <w:rsid w:val="0049240C"/>
    <w:rsid w:val="004A4965"/>
    <w:rsid w:val="004B3ACD"/>
    <w:rsid w:val="004C046C"/>
    <w:rsid w:val="004C0923"/>
    <w:rsid w:val="004D6FD2"/>
    <w:rsid w:val="004E12A8"/>
    <w:rsid w:val="004E1789"/>
    <w:rsid w:val="004E2887"/>
    <w:rsid w:val="004E3A93"/>
    <w:rsid w:val="004E64DB"/>
    <w:rsid w:val="004E7582"/>
    <w:rsid w:val="004F0FC0"/>
    <w:rsid w:val="00503695"/>
    <w:rsid w:val="00504054"/>
    <w:rsid w:val="0050587B"/>
    <w:rsid w:val="00505AC8"/>
    <w:rsid w:val="0051054D"/>
    <w:rsid w:val="00514DEF"/>
    <w:rsid w:val="00514E78"/>
    <w:rsid w:val="005169B2"/>
    <w:rsid w:val="00521416"/>
    <w:rsid w:val="0052385C"/>
    <w:rsid w:val="005242FE"/>
    <w:rsid w:val="005247B7"/>
    <w:rsid w:val="005359F9"/>
    <w:rsid w:val="00540AFE"/>
    <w:rsid w:val="0054187F"/>
    <w:rsid w:val="00541A8D"/>
    <w:rsid w:val="00542EDC"/>
    <w:rsid w:val="005443B7"/>
    <w:rsid w:val="00546142"/>
    <w:rsid w:val="005507CB"/>
    <w:rsid w:val="00553635"/>
    <w:rsid w:val="005578A7"/>
    <w:rsid w:val="005641B8"/>
    <w:rsid w:val="00566223"/>
    <w:rsid w:val="005815B1"/>
    <w:rsid w:val="005826E8"/>
    <w:rsid w:val="005922E0"/>
    <w:rsid w:val="00592AD8"/>
    <w:rsid w:val="00593391"/>
    <w:rsid w:val="00594C77"/>
    <w:rsid w:val="005957E0"/>
    <w:rsid w:val="00596300"/>
    <w:rsid w:val="005A64C4"/>
    <w:rsid w:val="005B1AA8"/>
    <w:rsid w:val="005B32AA"/>
    <w:rsid w:val="005B368A"/>
    <w:rsid w:val="005C0DC7"/>
    <w:rsid w:val="005C6AE1"/>
    <w:rsid w:val="005D1D6D"/>
    <w:rsid w:val="005D1F83"/>
    <w:rsid w:val="005D2995"/>
    <w:rsid w:val="005D3E37"/>
    <w:rsid w:val="005D498C"/>
    <w:rsid w:val="005D6192"/>
    <w:rsid w:val="005D7F7F"/>
    <w:rsid w:val="005E318A"/>
    <w:rsid w:val="005E5317"/>
    <w:rsid w:val="005E5F43"/>
    <w:rsid w:val="005F0C6B"/>
    <w:rsid w:val="005F110B"/>
    <w:rsid w:val="005F22C2"/>
    <w:rsid w:val="00612000"/>
    <w:rsid w:val="00612375"/>
    <w:rsid w:val="00614CC8"/>
    <w:rsid w:val="00616292"/>
    <w:rsid w:val="00624355"/>
    <w:rsid w:val="00624FA9"/>
    <w:rsid w:val="00630129"/>
    <w:rsid w:val="0063090B"/>
    <w:rsid w:val="00630D0A"/>
    <w:rsid w:val="0063439D"/>
    <w:rsid w:val="00635C2B"/>
    <w:rsid w:val="00640FF0"/>
    <w:rsid w:val="00643A45"/>
    <w:rsid w:val="00645994"/>
    <w:rsid w:val="0064608F"/>
    <w:rsid w:val="00650061"/>
    <w:rsid w:val="00650BA3"/>
    <w:rsid w:val="00651903"/>
    <w:rsid w:val="00654517"/>
    <w:rsid w:val="00661508"/>
    <w:rsid w:val="00662241"/>
    <w:rsid w:val="00663B36"/>
    <w:rsid w:val="00667B90"/>
    <w:rsid w:val="0067312A"/>
    <w:rsid w:val="006758FA"/>
    <w:rsid w:val="00677828"/>
    <w:rsid w:val="006813C6"/>
    <w:rsid w:val="006941CA"/>
    <w:rsid w:val="00696996"/>
    <w:rsid w:val="006A0D75"/>
    <w:rsid w:val="006A571E"/>
    <w:rsid w:val="006A6B04"/>
    <w:rsid w:val="006C17CE"/>
    <w:rsid w:val="006C1FC4"/>
    <w:rsid w:val="006C2FE1"/>
    <w:rsid w:val="006D0155"/>
    <w:rsid w:val="006D5B25"/>
    <w:rsid w:val="006E0E47"/>
    <w:rsid w:val="006E3B58"/>
    <w:rsid w:val="006E4B0B"/>
    <w:rsid w:val="006E5911"/>
    <w:rsid w:val="006E5B04"/>
    <w:rsid w:val="006F0917"/>
    <w:rsid w:val="006F0C64"/>
    <w:rsid w:val="006F410A"/>
    <w:rsid w:val="007032BB"/>
    <w:rsid w:val="00704004"/>
    <w:rsid w:val="007048D3"/>
    <w:rsid w:val="00710904"/>
    <w:rsid w:val="007125BA"/>
    <w:rsid w:val="00712DB0"/>
    <w:rsid w:val="00714FA7"/>
    <w:rsid w:val="00715E9D"/>
    <w:rsid w:val="007164AB"/>
    <w:rsid w:val="007169C4"/>
    <w:rsid w:val="00716E29"/>
    <w:rsid w:val="00717EE5"/>
    <w:rsid w:val="007230FF"/>
    <w:rsid w:val="007309C0"/>
    <w:rsid w:val="007321B4"/>
    <w:rsid w:val="00732F2E"/>
    <w:rsid w:val="00742930"/>
    <w:rsid w:val="007535A2"/>
    <w:rsid w:val="007554A1"/>
    <w:rsid w:val="00757359"/>
    <w:rsid w:val="00757D2F"/>
    <w:rsid w:val="0076111D"/>
    <w:rsid w:val="007628E3"/>
    <w:rsid w:val="007655D8"/>
    <w:rsid w:val="0076776F"/>
    <w:rsid w:val="00767C58"/>
    <w:rsid w:val="00767E21"/>
    <w:rsid w:val="00770941"/>
    <w:rsid w:val="007811B6"/>
    <w:rsid w:val="0078267E"/>
    <w:rsid w:val="00783CF1"/>
    <w:rsid w:val="007848E9"/>
    <w:rsid w:val="00785624"/>
    <w:rsid w:val="007872D4"/>
    <w:rsid w:val="00791112"/>
    <w:rsid w:val="0079192F"/>
    <w:rsid w:val="007932ED"/>
    <w:rsid w:val="007940D7"/>
    <w:rsid w:val="00795B9A"/>
    <w:rsid w:val="007A0FF1"/>
    <w:rsid w:val="007A2714"/>
    <w:rsid w:val="007A6CF2"/>
    <w:rsid w:val="007B7303"/>
    <w:rsid w:val="007B7C4A"/>
    <w:rsid w:val="007C35E2"/>
    <w:rsid w:val="007C5671"/>
    <w:rsid w:val="007C5E63"/>
    <w:rsid w:val="007C6E1E"/>
    <w:rsid w:val="007D4B4F"/>
    <w:rsid w:val="007E43BA"/>
    <w:rsid w:val="007E44CC"/>
    <w:rsid w:val="007E555D"/>
    <w:rsid w:val="007E63C9"/>
    <w:rsid w:val="007F4113"/>
    <w:rsid w:val="007F69A1"/>
    <w:rsid w:val="007F6ADD"/>
    <w:rsid w:val="00803DC4"/>
    <w:rsid w:val="0080605A"/>
    <w:rsid w:val="00810598"/>
    <w:rsid w:val="00813619"/>
    <w:rsid w:val="00817449"/>
    <w:rsid w:val="00820630"/>
    <w:rsid w:val="008319F7"/>
    <w:rsid w:val="00834B97"/>
    <w:rsid w:val="008374B8"/>
    <w:rsid w:val="00842C6B"/>
    <w:rsid w:val="0087668A"/>
    <w:rsid w:val="00876BF1"/>
    <w:rsid w:val="00877612"/>
    <w:rsid w:val="0087762C"/>
    <w:rsid w:val="00880666"/>
    <w:rsid w:val="00884341"/>
    <w:rsid w:val="00893DD5"/>
    <w:rsid w:val="00895331"/>
    <w:rsid w:val="008A0A4A"/>
    <w:rsid w:val="008A285E"/>
    <w:rsid w:val="008A3D9C"/>
    <w:rsid w:val="008A675E"/>
    <w:rsid w:val="008B034E"/>
    <w:rsid w:val="008B1F6A"/>
    <w:rsid w:val="008C2ADE"/>
    <w:rsid w:val="008C3721"/>
    <w:rsid w:val="008C5F5F"/>
    <w:rsid w:val="008D2904"/>
    <w:rsid w:val="008D46CE"/>
    <w:rsid w:val="008E0ED1"/>
    <w:rsid w:val="008E2363"/>
    <w:rsid w:val="008E4462"/>
    <w:rsid w:val="008E6B18"/>
    <w:rsid w:val="008E7EE9"/>
    <w:rsid w:val="008F4E72"/>
    <w:rsid w:val="00907127"/>
    <w:rsid w:val="009077D2"/>
    <w:rsid w:val="00910214"/>
    <w:rsid w:val="0091086C"/>
    <w:rsid w:val="009133E6"/>
    <w:rsid w:val="00913F8E"/>
    <w:rsid w:val="00914261"/>
    <w:rsid w:val="009156D4"/>
    <w:rsid w:val="00915CD0"/>
    <w:rsid w:val="00921E24"/>
    <w:rsid w:val="00932F45"/>
    <w:rsid w:val="00944882"/>
    <w:rsid w:val="00945F2D"/>
    <w:rsid w:val="009533EA"/>
    <w:rsid w:val="009547EC"/>
    <w:rsid w:val="0096160D"/>
    <w:rsid w:val="0096366C"/>
    <w:rsid w:val="009701D3"/>
    <w:rsid w:val="0097597F"/>
    <w:rsid w:val="00976411"/>
    <w:rsid w:val="00984DB5"/>
    <w:rsid w:val="0098611E"/>
    <w:rsid w:val="009870E1"/>
    <w:rsid w:val="00995764"/>
    <w:rsid w:val="00995A7C"/>
    <w:rsid w:val="00996B36"/>
    <w:rsid w:val="009A0F15"/>
    <w:rsid w:val="009A35F1"/>
    <w:rsid w:val="009A775B"/>
    <w:rsid w:val="009B06DB"/>
    <w:rsid w:val="009B0F1D"/>
    <w:rsid w:val="009B23D6"/>
    <w:rsid w:val="009C74C7"/>
    <w:rsid w:val="009D1B3D"/>
    <w:rsid w:val="009D3546"/>
    <w:rsid w:val="009E0162"/>
    <w:rsid w:val="009E25C2"/>
    <w:rsid w:val="009E5CE7"/>
    <w:rsid w:val="009F0C3A"/>
    <w:rsid w:val="009F152E"/>
    <w:rsid w:val="009F3277"/>
    <w:rsid w:val="009F7435"/>
    <w:rsid w:val="00A01397"/>
    <w:rsid w:val="00A02067"/>
    <w:rsid w:val="00A07772"/>
    <w:rsid w:val="00A07F01"/>
    <w:rsid w:val="00A106F7"/>
    <w:rsid w:val="00A11BF7"/>
    <w:rsid w:val="00A13C9E"/>
    <w:rsid w:val="00A321D3"/>
    <w:rsid w:val="00A334FE"/>
    <w:rsid w:val="00A40346"/>
    <w:rsid w:val="00A41A8D"/>
    <w:rsid w:val="00A42CA4"/>
    <w:rsid w:val="00A4314D"/>
    <w:rsid w:val="00A52122"/>
    <w:rsid w:val="00A522AE"/>
    <w:rsid w:val="00A54B2D"/>
    <w:rsid w:val="00A55B66"/>
    <w:rsid w:val="00A62763"/>
    <w:rsid w:val="00A6349C"/>
    <w:rsid w:val="00A63861"/>
    <w:rsid w:val="00A65830"/>
    <w:rsid w:val="00A7270F"/>
    <w:rsid w:val="00A73990"/>
    <w:rsid w:val="00A74469"/>
    <w:rsid w:val="00A803F2"/>
    <w:rsid w:val="00A84F99"/>
    <w:rsid w:val="00A865C8"/>
    <w:rsid w:val="00A868BC"/>
    <w:rsid w:val="00A91436"/>
    <w:rsid w:val="00A91EDF"/>
    <w:rsid w:val="00A923A1"/>
    <w:rsid w:val="00A9286B"/>
    <w:rsid w:val="00A93FE7"/>
    <w:rsid w:val="00AA7C27"/>
    <w:rsid w:val="00AB5C94"/>
    <w:rsid w:val="00AB72EA"/>
    <w:rsid w:val="00AC15BB"/>
    <w:rsid w:val="00AC2905"/>
    <w:rsid w:val="00AC384E"/>
    <w:rsid w:val="00AD3B14"/>
    <w:rsid w:val="00AD4BEA"/>
    <w:rsid w:val="00AD7DE9"/>
    <w:rsid w:val="00AE12C0"/>
    <w:rsid w:val="00AE5335"/>
    <w:rsid w:val="00AE7326"/>
    <w:rsid w:val="00AF08DE"/>
    <w:rsid w:val="00AF4202"/>
    <w:rsid w:val="00B01F4E"/>
    <w:rsid w:val="00B02AC8"/>
    <w:rsid w:val="00B02E1E"/>
    <w:rsid w:val="00B058A5"/>
    <w:rsid w:val="00B12225"/>
    <w:rsid w:val="00B404AC"/>
    <w:rsid w:val="00B40727"/>
    <w:rsid w:val="00B42F70"/>
    <w:rsid w:val="00B44276"/>
    <w:rsid w:val="00B4766A"/>
    <w:rsid w:val="00B51FE3"/>
    <w:rsid w:val="00B5289C"/>
    <w:rsid w:val="00B559E5"/>
    <w:rsid w:val="00B5655E"/>
    <w:rsid w:val="00B61BB4"/>
    <w:rsid w:val="00B62881"/>
    <w:rsid w:val="00B639F9"/>
    <w:rsid w:val="00B63D4B"/>
    <w:rsid w:val="00B64BB8"/>
    <w:rsid w:val="00B67798"/>
    <w:rsid w:val="00B70686"/>
    <w:rsid w:val="00B70F53"/>
    <w:rsid w:val="00B7156D"/>
    <w:rsid w:val="00B71639"/>
    <w:rsid w:val="00B7311D"/>
    <w:rsid w:val="00B81D56"/>
    <w:rsid w:val="00B828DB"/>
    <w:rsid w:val="00B83F58"/>
    <w:rsid w:val="00B85EE0"/>
    <w:rsid w:val="00B9324B"/>
    <w:rsid w:val="00B95AA2"/>
    <w:rsid w:val="00BA3304"/>
    <w:rsid w:val="00BA4783"/>
    <w:rsid w:val="00BA4C4F"/>
    <w:rsid w:val="00BA5AF0"/>
    <w:rsid w:val="00BB6F22"/>
    <w:rsid w:val="00BD30C7"/>
    <w:rsid w:val="00BD3874"/>
    <w:rsid w:val="00BD7DD0"/>
    <w:rsid w:val="00BE1DA0"/>
    <w:rsid w:val="00BE2C95"/>
    <w:rsid w:val="00C02428"/>
    <w:rsid w:val="00C0617E"/>
    <w:rsid w:val="00C062FC"/>
    <w:rsid w:val="00C24D7D"/>
    <w:rsid w:val="00C24DA1"/>
    <w:rsid w:val="00C270E9"/>
    <w:rsid w:val="00C41873"/>
    <w:rsid w:val="00C42308"/>
    <w:rsid w:val="00C446D7"/>
    <w:rsid w:val="00C5342B"/>
    <w:rsid w:val="00C53434"/>
    <w:rsid w:val="00C558FE"/>
    <w:rsid w:val="00C63A08"/>
    <w:rsid w:val="00C64C4F"/>
    <w:rsid w:val="00C65985"/>
    <w:rsid w:val="00C74360"/>
    <w:rsid w:val="00C76DCB"/>
    <w:rsid w:val="00C81147"/>
    <w:rsid w:val="00C81770"/>
    <w:rsid w:val="00C85A9D"/>
    <w:rsid w:val="00C875B4"/>
    <w:rsid w:val="00C90163"/>
    <w:rsid w:val="00C90824"/>
    <w:rsid w:val="00C912D9"/>
    <w:rsid w:val="00CA1788"/>
    <w:rsid w:val="00CA1E69"/>
    <w:rsid w:val="00CA2A8B"/>
    <w:rsid w:val="00CA3D6F"/>
    <w:rsid w:val="00CA6209"/>
    <w:rsid w:val="00CB14F6"/>
    <w:rsid w:val="00CB6DD9"/>
    <w:rsid w:val="00CB7B20"/>
    <w:rsid w:val="00CC3CEF"/>
    <w:rsid w:val="00CC4CA8"/>
    <w:rsid w:val="00CC5EAF"/>
    <w:rsid w:val="00CD1906"/>
    <w:rsid w:val="00CE4474"/>
    <w:rsid w:val="00CF12B7"/>
    <w:rsid w:val="00CF3694"/>
    <w:rsid w:val="00D032DC"/>
    <w:rsid w:val="00D03817"/>
    <w:rsid w:val="00D053F4"/>
    <w:rsid w:val="00D07939"/>
    <w:rsid w:val="00D10683"/>
    <w:rsid w:val="00D1116E"/>
    <w:rsid w:val="00D139FA"/>
    <w:rsid w:val="00D145F2"/>
    <w:rsid w:val="00D14905"/>
    <w:rsid w:val="00D14C9F"/>
    <w:rsid w:val="00D156D6"/>
    <w:rsid w:val="00D15975"/>
    <w:rsid w:val="00D213B6"/>
    <w:rsid w:val="00D213E7"/>
    <w:rsid w:val="00D25C7F"/>
    <w:rsid w:val="00D25E40"/>
    <w:rsid w:val="00D26737"/>
    <w:rsid w:val="00D31C40"/>
    <w:rsid w:val="00D368B4"/>
    <w:rsid w:val="00D37333"/>
    <w:rsid w:val="00D3778F"/>
    <w:rsid w:val="00D37984"/>
    <w:rsid w:val="00D40F34"/>
    <w:rsid w:val="00D430FC"/>
    <w:rsid w:val="00D43B8D"/>
    <w:rsid w:val="00D4614A"/>
    <w:rsid w:val="00D47084"/>
    <w:rsid w:val="00D5344D"/>
    <w:rsid w:val="00D54E02"/>
    <w:rsid w:val="00D5596F"/>
    <w:rsid w:val="00D5618B"/>
    <w:rsid w:val="00D56DF2"/>
    <w:rsid w:val="00D57C5F"/>
    <w:rsid w:val="00D60341"/>
    <w:rsid w:val="00D614BA"/>
    <w:rsid w:val="00D655C4"/>
    <w:rsid w:val="00D7102E"/>
    <w:rsid w:val="00D72B83"/>
    <w:rsid w:val="00D731AC"/>
    <w:rsid w:val="00D752B5"/>
    <w:rsid w:val="00D754AF"/>
    <w:rsid w:val="00D86DD0"/>
    <w:rsid w:val="00D87F67"/>
    <w:rsid w:val="00D87FD3"/>
    <w:rsid w:val="00D909D1"/>
    <w:rsid w:val="00DA12BE"/>
    <w:rsid w:val="00DA279D"/>
    <w:rsid w:val="00DA6320"/>
    <w:rsid w:val="00DB0148"/>
    <w:rsid w:val="00DB56B3"/>
    <w:rsid w:val="00DB79E3"/>
    <w:rsid w:val="00DC0331"/>
    <w:rsid w:val="00DC26C8"/>
    <w:rsid w:val="00DC3ED9"/>
    <w:rsid w:val="00DC426E"/>
    <w:rsid w:val="00DC4529"/>
    <w:rsid w:val="00DC4DB1"/>
    <w:rsid w:val="00DC4E5F"/>
    <w:rsid w:val="00DC73B7"/>
    <w:rsid w:val="00DD28AB"/>
    <w:rsid w:val="00DD2E3C"/>
    <w:rsid w:val="00DD327E"/>
    <w:rsid w:val="00DE0658"/>
    <w:rsid w:val="00DE3F0D"/>
    <w:rsid w:val="00DE44D0"/>
    <w:rsid w:val="00DE6CB8"/>
    <w:rsid w:val="00DF2226"/>
    <w:rsid w:val="00DF2520"/>
    <w:rsid w:val="00DF5ADF"/>
    <w:rsid w:val="00E01421"/>
    <w:rsid w:val="00E05302"/>
    <w:rsid w:val="00E118C2"/>
    <w:rsid w:val="00E15630"/>
    <w:rsid w:val="00E20149"/>
    <w:rsid w:val="00E30B39"/>
    <w:rsid w:val="00E328B7"/>
    <w:rsid w:val="00E335AE"/>
    <w:rsid w:val="00E339AB"/>
    <w:rsid w:val="00E44955"/>
    <w:rsid w:val="00E45B0A"/>
    <w:rsid w:val="00E50D4D"/>
    <w:rsid w:val="00E555F4"/>
    <w:rsid w:val="00E5561E"/>
    <w:rsid w:val="00E603DC"/>
    <w:rsid w:val="00E62682"/>
    <w:rsid w:val="00E676CD"/>
    <w:rsid w:val="00E80066"/>
    <w:rsid w:val="00E81935"/>
    <w:rsid w:val="00E84F7F"/>
    <w:rsid w:val="00E85570"/>
    <w:rsid w:val="00E87009"/>
    <w:rsid w:val="00E931C3"/>
    <w:rsid w:val="00E96141"/>
    <w:rsid w:val="00E96623"/>
    <w:rsid w:val="00EA0371"/>
    <w:rsid w:val="00EA6E84"/>
    <w:rsid w:val="00EB1BF8"/>
    <w:rsid w:val="00EC2B1A"/>
    <w:rsid w:val="00EC5B92"/>
    <w:rsid w:val="00EC736A"/>
    <w:rsid w:val="00ED15DC"/>
    <w:rsid w:val="00ED3A27"/>
    <w:rsid w:val="00ED5A9D"/>
    <w:rsid w:val="00ED6F55"/>
    <w:rsid w:val="00ED7F11"/>
    <w:rsid w:val="00EE47CF"/>
    <w:rsid w:val="00EE4A57"/>
    <w:rsid w:val="00EE5413"/>
    <w:rsid w:val="00EE5772"/>
    <w:rsid w:val="00EE5E2C"/>
    <w:rsid w:val="00EE61B3"/>
    <w:rsid w:val="00EE63BF"/>
    <w:rsid w:val="00EF219B"/>
    <w:rsid w:val="00F00492"/>
    <w:rsid w:val="00F06F14"/>
    <w:rsid w:val="00F07359"/>
    <w:rsid w:val="00F07371"/>
    <w:rsid w:val="00F10655"/>
    <w:rsid w:val="00F106A5"/>
    <w:rsid w:val="00F11A28"/>
    <w:rsid w:val="00F15050"/>
    <w:rsid w:val="00F20637"/>
    <w:rsid w:val="00F3020D"/>
    <w:rsid w:val="00F30268"/>
    <w:rsid w:val="00F30FC5"/>
    <w:rsid w:val="00F37C3A"/>
    <w:rsid w:val="00F37FBB"/>
    <w:rsid w:val="00F4197B"/>
    <w:rsid w:val="00F42A4F"/>
    <w:rsid w:val="00F454F8"/>
    <w:rsid w:val="00F46BFD"/>
    <w:rsid w:val="00F506B6"/>
    <w:rsid w:val="00F513E4"/>
    <w:rsid w:val="00F51421"/>
    <w:rsid w:val="00F516CA"/>
    <w:rsid w:val="00F539A0"/>
    <w:rsid w:val="00F5634A"/>
    <w:rsid w:val="00F57131"/>
    <w:rsid w:val="00F60383"/>
    <w:rsid w:val="00F62A97"/>
    <w:rsid w:val="00F65E70"/>
    <w:rsid w:val="00F70206"/>
    <w:rsid w:val="00F722EE"/>
    <w:rsid w:val="00F75557"/>
    <w:rsid w:val="00F80D9A"/>
    <w:rsid w:val="00F87ABB"/>
    <w:rsid w:val="00F91174"/>
    <w:rsid w:val="00F9133B"/>
    <w:rsid w:val="00F92B7E"/>
    <w:rsid w:val="00FA11B5"/>
    <w:rsid w:val="00FA2022"/>
    <w:rsid w:val="00FA2EF8"/>
    <w:rsid w:val="00FA5E38"/>
    <w:rsid w:val="00FB1461"/>
    <w:rsid w:val="00FC5481"/>
    <w:rsid w:val="00FD0EC8"/>
    <w:rsid w:val="00FD319A"/>
    <w:rsid w:val="00FD4236"/>
    <w:rsid w:val="00FD5B4B"/>
    <w:rsid w:val="00FD7062"/>
    <w:rsid w:val="00FE5626"/>
    <w:rsid w:val="00FE5630"/>
    <w:rsid w:val="00FE5FD4"/>
    <w:rsid w:val="00FF0D78"/>
    <w:rsid w:val="00FF0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A6B6C"/>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EE5"/>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semiHidden/>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nhideWhenUsed/>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4</Pages>
  <Words>964</Words>
  <Characters>5496</Characters>
  <Application>Microsoft Office Word</Application>
  <DocSecurity>0</DocSecurity>
  <Lines>45</Lines>
  <Paragraphs>12</Paragraphs>
  <ScaleCrop>false</ScaleCrop>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2020-04-09T12:36:00Z</dcterms:created>
  <dcterms:modified xsi:type="dcterms:W3CDTF">2020-05-15T08:19:00Z</dcterms:modified>
</cp:coreProperties>
</file>