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CCE13" w14:textId="32CF2150" w:rsidR="00826466" w:rsidRDefault="00602A99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sz w:val="24"/>
          <w:szCs w:val="24"/>
          <w:lang w:val="en-US" w:eastAsia="ja-JP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rPr>
          <w:rFonts w:ascii="Arial" w:hAnsi="Arial" w:cs="Arial"/>
          <w:b/>
          <w:sz w:val="24"/>
          <w:szCs w:val="24"/>
          <w:lang w:val="en-US"/>
        </w:rPr>
        <w:t xml:space="preserve">3GPP TSG-RAN WG4 #94 Bis-e </w:t>
      </w:r>
      <w:r>
        <w:rPr>
          <w:rFonts w:ascii="Arial" w:hAnsi="Arial" w:cs="Arial"/>
          <w:b/>
          <w:sz w:val="24"/>
          <w:szCs w:val="24"/>
          <w:lang w:val="en-US"/>
        </w:rPr>
        <w:tab/>
        <w:t>R4-2</w:t>
      </w:r>
      <w:r w:rsidR="00DE7D7D">
        <w:rPr>
          <w:rFonts w:ascii="Arial" w:hAnsi="Arial" w:cs="Arial"/>
          <w:b/>
          <w:sz w:val="24"/>
          <w:szCs w:val="24"/>
          <w:lang w:val="en-US"/>
        </w:rPr>
        <w:t>005600</w:t>
      </w:r>
    </w:p>
    <w:p w14:paraId="4D7A61A1" w14:textId="77777777" w:rsidR="00826466" w:rsidRDefault="00602A99">
      <w:pPr>
        <w:pStyle w:val="Footer"/>
        <w:jc w:val="both"/>
        <w:rPr>
          <w:i w:val="0"/>
          <w:sz w:val="24"/>
          <w:szCs w:val="24"/>
        </w:rPr>
      </w:pPr>
      <w:r>
        <w:rPr>
          <w:rFonts w:eastAsia="SimSun"/>
          <w:i w:val="0"/>
          <w:sz w:val="24"/>
          <w:szCs w:val="24"/>
          <w:lang w:eastAsia="zh-CN"/>
        </w:rPr>
        <w:t>Online, 20th April – 30th April 2020</w:t>
      </w:r>
    </w:p>
    <w:p w14:paraId="6B003633" w14:textId="77777777" w:rsidR="00826466" w:rsidRDefault="00826466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022C4522" w14:textId="29E38673" w:rsidR="00826466" w:rsidRDefault="00602A99">
      <w:pPr>
        <w:spacing w:after="60" w:line="240" w:lineRule="auto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Draft </w:t>
      </w:r>
      <w:r w:rsidR="00DE7D7D" w:rsidRPr="00DE7D7D">
        <w:rPr>
          <w:rFonts w:ascii="Arial" w:hAnsi="Arial" w:cs="Arial"/>
        </w:rPr>
        <w:t xml:space="preserve"> LS on RAN4 IAB-MT feature list agreement</w:t>
      </w:r>
      <w:bookmarkStart w:id="6" w:name="_GoBack"/>
      <w:bookmarkEnd w:id="6"/>
    </w:p>
    <w:p w14:paraId="7764CD8A" w14:textId="77777777" w:rsidR="00826466" w:rsidRDefault="00602A99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712E1D12" w14:textId="77777777" w:rsidR="00826466" w:rsidRDefault="00602A99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NR_IAB-Core</w:t>
      </w:r>
    </w:p>
    <w:p w14:paraId="111E28B6" w14:textId="77777777" w:rsidR="00826466" w:rsidRDefault="00826466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4D0C9A9E" w14:textId="77777777" w:rsidR="00826466" w:rsidRDefault="00602A99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TSG RAN WG4</w:t>
      </w:r>
    </w:p>
    <w:p w14:paraId="77948AB1" w14:textId="77777777" w:rsidR="00826466" w:rsidRDefault="00602A99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 WG2, TSG RAN WG1</w:t>
      </w:r>
    </w:p>
    <w:p w14:paraId="1899ACB4" w14:textId="77777777" w:rsidR="00826466" w:rsidRDefault="00826466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5A83275E" w14:textId="77777777" w:rsidR="00826466" w:rsidRDefault="00602A99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48A20E7" w14:textId="77777777" w:rsidR="00826466" w:rsidRDefault="00602A99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Valentin Gheorghiu</w:t>
      </w:r>
    </w:p>
    <w:p w14:paraId="721D435D" w14:textId="77777777" w:rsidR="00826466" w:rsidRDefault="00602A99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>
        <w:rPr>
          <w:rFonts w:ascii="Arial" w:hAnsi="Arial" w:cs="Arial"/>
          <w:b/>
          <w:color w:val="0000FF"/>
        </w:rPr>
        <w:t>E-mail Address:</w:t>
      </w:r>
      <w:r>
        <w:rPr>
          <w:rFonts w:ascii="Arial" w:hAnsi="Arial" w:cs="Arial"/>
          <w:bCs/>
          <w:color w:val="0000FF"/>
        </w:rPr>
        <w:tab/>
      </w:r>
      <w:proofErr w:type="spellStart"/>
      <w:r>
        <w:rPr>
          <w:rFonts w:ascii="Arial" w:hAnsi="Arial" w:cs="Arial"/>
          <w:bCs/>
          <w:color w:val="0000FF"/>
        </w:rPr>
        <w:t>vgheorgh</w:t>
      </w:r>
      <w:proofErr w:type="spellEnd"/>
      <w:r>
        <w:rPr>
          <w:rFonts w:ascii="Arial" w:hAnsi="Arial" w:cs="Arial"/>
          <w:bCs/>
          <w:color w:val="0000FF"/>
        </w:rPr>
        <w:t xml:space="preserve"> [AT] </w:t>
      </w:r>
      <w:proofErr w:type="spellStart"/>
      <w:r>
        <w:rPr>
          <w:rFonts w:ascii="Arial" w:hAnsi="Arial" w:cs="Arial"/>
          <w:bCs/>
          <w:color w:val="0000FF"/>
        </w:rPr>
        <w:t>qti</w:t>
      </w:r>
      <w:proofErr w:type="spellEnd"/>
      <w:r>
        <w:rPr>
          <w:rFonts w:ascii="Arial" w:hAnsi="Arial" w:cs="Arial"/>
          <w:bCs/>
          <w:color w:val="0000FF"/>
        </w:rPr>
        <w:t>.[DOT]</w:t>
      </w:r>
      <w:proofErr w:type="spellStart"/>
      <w:r>
        <w:rPr>
          <w:rFonts w:ascii="Arial" w:hAnsi="Arial" w:cs="Arial"/>
          <w:bCs/>
          <w:color w:val="0000FF"/>
        </w:rPr>
        <w:t>qualcomm</w:t>
      </w:r>
      <w:proofErr w:type="spellEnd"/>
      <w:r>
        <w:rPr>
          <w:rFonts w:ascii="Arial" w:hAnsi="Arial" w:cs="Arial"/>
          <w:bCs/>
          <w:color w:val="0000FF"/>
        </w:rPr>
        <w:t xml:space="preserve"> [DOT] com</w:t>
      </w:r>
    </w:p>
    <w:p w14:paraId="67AE33F4" w14:textId="77777777" w:rsidR="00826466" w:rsidRDefault="00602A99">
      <w:pPr>
        <w:pStyle w:val="Heading1"/>
      </w:pPr>
      <w:r>
        <w:t>1</w:t>
      </w:r>
      <w:r>
        <w:tab/>
        <w:t>Overall description</w:t>
      </w:r>
    </w:p>
    <w:p w14:paraId="210C0A82" w14:textId="77777777" w:rsidR="00826466" w:rsidRDefault="00602A99">
      <w:pPr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R</w:t>
      </w:r>
      <w:r>
        <w:rPr>
          <w:rFonts w:eastAsia="游明朝"/>
          <w:lang w:eastAsia="ja-JP"/>
        </w:rPr>
        <w:t>AN4 has discussed the support of Rel.15 UE features by the IAB-MT. RAN4 would like to inform RAN1 and RAN2 about the following agreements and seek feedback on the following issues:</w:t>
      </w:r>
    </w:p>
    <w:p w14:paraId="65FBE229" w14:textId="77777777" w:rsidR="00826466" w:rsidRDefault="00602A99">
      <w:pPr>
        <w:jc w:val="both"/>
        <w:rPr>
          <w:rFonts w:eastAsia="游明朝"/>
          <w:b/>
          <w:bCs/>
          <w:u w:val="single"/>
          <w:lang w:eastAsia="ja-JP"/>
        </w:rPr>
      </w:pPr>
      <w:r>
        <w:rPr>
          <w:rFonts w:eastAsia="游明朝" w:hint="eastAsia"/>
          <w:b/>
          <w:bCs/>
          <w:u w:val="single"/>
          <w:lang w:eastAsia="ja-JP"/>
        </w:rPr>
        <w:t>T</w:t>
      </w:r>
      <w:r>
        <w:rPr>
          <w:rFonts w:eastAsia="游明朝"/>
          <w:b/>
          <w:bCs/>
          <w:u w:val="single"/>
          <w:lang w:eastAsia="ja-JP"/>
        </w:rPr>
        <w:t>o RAN2:</w:t>
      </w:r>
    </w:p>
    <w:p w14:paraId="0B201CEF" w14:textId="134D1DA6" w:rsidR="00826466" w:rsidRDefault="00602A99">
      <w:pPr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R</w:t>
      </w:r>
      <w:r>
        <w:rPr>
          <w:rFonts w:eastAsia="游明朝"/>
          <w:lang w:eastAsia="ja-JP"/>
        </w:rPr>
        <w:t xml:space="preserve">AN4 found that some of the Rel. 15 UE features are not applicable to the IAB-MT, hence, they would not be supported. RAN4 would like to inform RAN2 about these agreements such that they are be </w:t>
      </w:r>
      <w:proofErr w:type="gramStart"/>
      <w:r>
        <w:rPr>
          <w:rFonts w:eastAsia="游明朝"/>
          <w:lang w:eastAsia="ja-JP"/>
        </w:rPr>
        <w:t>taken into account</w:t>
      </w:r>
      <w:proofErr w:type="gramEnd"/>
      <w:r>
        <w:rPr>
          <w:rFonts w:eastAsia="游明朝"/>
          <w:lang w:eastAsia="ja-JP"/>
        </w:rPr>
        <w:t xml:space="preserve"> when RAN2 designs the signalling framework. </w:t>
      </w:r>
    </w:p>
    <w:p w14:paraId="6A02AEB9" w14:textId="235E17BB" w:rsidR="00826466" w:rsidRDefault="00602A99">
      <w:pPr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T</w:t>
      </w:r>
      <w:r>
        <w:rPr>
          <w:rFonts w:eastAsia="游明朝"/>
          <w:lang w:eastAsia="ja-JP"/>
        </w:rPr>
        <w:t xml:space="preserve">he list </w:t>
      </w:r>
      <w:r w:rsidR="004B4228">
        <w:rPr>
          <w:rFonts w:eastAsia="游明朝"/>
          <w:lang w:eastAsia="ja-JP"/>
        </w:rPr>
        <w:t>with</w:t>
      </w:r>
      <w:r>
        <w:rPr>
          <w:rFonts w:eastAsia="游明朝"/>
          <w:lang w:eastAsia="ja-JP"/>
        </w:rPr>
        <w:t xml:space="preserve"> these features can be found in the WF on IAB-MT RAN4 features agreed in R4-2005483 [1] and attached to this LS. The </w:t>
      </w:r>
      <w:proofErr w:type="spellStart"/>
      <w:r>
        <w:rPr>
          <w:rFonts w:eastAsia="游明朝"/>
          <w:lang w:eastAsia="ja-JP"/>
        </w:rPr>
        <w:t>featuresmarked</w:t>
      </w:r>
      <w:proofErr w:type="spellEnd"/>
      <w:r>
        <w:rPr>
          <w:rFonts w:eastAsia="游明朝"/>
          <w:lang w:eastAsia="ja-JP"/>
        </w:rPr>
        <w:t xml:space="preserve"> as not supported or FFS</w:t>
      </w:r>
      <w:r>
        <w:rPr>
          <w:rFonts w:eastAsia="SimSun" w:hint="eastAsia"/>
          <w:lang w:val="en-US" w:eastAsia="zh-CN"/>
        </w:rPr>
        <w:t xml:space="preserve"> or different from Rel 15 NR UE capability should be </w:t>
      </w:r>
      <w:proofErr w:type="gramStart"/>
      <w:r>
        <w:rPr>
          <w:rFonts w:eastAsia="SimSun" w:hint="eastAsia"/>
          <w:lang w:val="en-US" w:eastAsia="zh-CN"/>
        </w:rPr>
        <w:t>taken into account</w:t>
      </w:r>
      <w:proofErr w:type="gramEnd"/>
      <w:r>
        <w:rPr>
          <w:rFonts w:eastAsia="游明朝"/>
          <w:lang w:eastAsia="ja-JP"/>
        </w:rPr>
        <w:t>.</w:t>
      </w:r>
    </w:p>
    <w:p w14:paraId="03F5EE5D" w14:textId="77777777" w:rsidR="00826466" w:rsidRDefault="00602A99">
      <w:pPr>
        <w:jc w:val="both"/>
        <w:rPr>
          <w:rFonts w:eastAsia="游明朝"/>
          <w:b/>
          <w:u w:val="single"/>
          <w:lang w:eastAsia="ja-JP"/>
        </w:rPr>
      </w:pPr>
      <w:r>
        <w:rPr>
          <w:rFonts w:eastAsia="游明朝"/>
          <w:b/>
          <w:u w:val="single"/>
          <w:lang w:eastAsia="ja-JP"/>
        </w:rPr>
        <w:t>To RAN1 and RAN2:</w:t>
      </w:r>
    </w:p>
    <w:p w14:paraId="0CC622A1" w14:textId="6B58195F" w:rsidR="00826466" w:rsidRDefault="00602A99">
      <w:pPr>
        <w:jc w:val="both"/>
        <w:rPr>
          <w:lang w:eastAsia="ja-JP"/>
        </w:rPr>
      </w:pPr>
      <w:r>
        <w:rPr>
          <w:rFonts w:eastAsia="游明朝"/>
          <w:lang w:eastAsia="ja-JP"/>
        </w:rPr>
        <w:t xml:space="preserve">RAN4 has agreed that </w:t>
      </w:r>
      <w:r w:rsidR="00055174">
        <w:rPr>
          <w:rFonts w:eastAsia="游明朝" w:hint="eastAsia"/>
          <w:lang w:eastAsia="ja-JP"/>
        </w:rPr>
        <w:t>n</w:t>
      </w:r>
      <w:r w:rsidR="00055174">
        <w:rPr>
          <w:rFonts w:eastAsia="游明朝"/>
          <w:lang w:eastAsia="ja-JP"/>
        </w:rPr>
        <w:t xml:space="preserve">o requirement will be defined for </w:t>
      </w:r>
      <w:r>
        <w:rPr>
          <w:rFonts w:eastAsia="游明朝"/>
          <w:lang w:eastAsia="ja-JP"/>
        </w:rPr>
        <w:t>feature 1-8(BWP switching delay defined for DCI based BWP switching) for the IAB-MT RAN4 is asking RAN1 and RAN2 to kindly reply whether there would be any issue with initial access of the IAB-MT if this feature is not supported.</w:t>
      </w:r>
    </w:p>
    <w:p w14:paraId="282B40D9" w14:textId="0EE3341F" w:rsidR="00826466" w:rsidRDefault="00602A99">
      <w:pPr>
        <w:jc w:val="both"/>
        <w:rPr>
          <w:b/>
        </w:rPr>
      </w:pPr>
      <w:r>
        <w:t xml:space="preserve">RAN4 is also discussing whether features 1-2(64QAM modulation for FR2 PDSCH), 1-3 (64QAM for PUSCH) 1-4 for FR1 (256QAM for PDSCH for FR1), which were mandatory without capability for UEs in Rel.15, can be changed to optional (based on manufacturer declaration), or remain mandatory for IAB-MTs. RAN4 would like feedback from RAN1 and RAN2 on whether there would be any issues with IAB-MT initial access if the </w:t>
      </w:r>
      <w:proofErr w:type="spellStart"/>
      <w:r>
        <w:t>gNB</w:t>
      </w:r>
      <w:proofErr w:type="spellEnd"/>
      <w:r>
        <w:t xml:space="preserve"> is not aware whether these modulations are supported.</w:t>
      </w:r>
    </w:p>
    <w:p w14:paraId="1E638DD1" w14:textId="77777777" w:rsidR="00826466" w:rsidRDefault="00602A99">
      <w:pPr>
        <w:pStyle w:val="Heading1"/>
      </w:pPr>
      <w:r>
        <w:t>2</w:t>
      </w:r>
      <w:r>
        <w:tab/>
        <w:t xml:space="preserve">Actions </w:t>
      </w:r>
    </w:p>
    <w:p w14:paraId="6C443B41" w14:textId="77777777" w:rsidR="00826466" w:rsidRDefault="00602A99">
      <w:r>
        <w:t>Actions to RAN 2 and RAN1:</w:t>
      </w:r>
    </w:p>
    <w:p w14:paraId="10A20C86" w14:textId="77777777" w:rsidR="00826466" w:rsidRDefault="00602A99">
      <w:pPr>
        <w:rPr>
          <w:b/>
        </w:rPr>
      </w:pPr>
      <w:r>
        <w:t>RAN4 respectfully asks RAN2 and RAN1 to take into consideration the above RAN4 agreements and reply to the questions about IAB-MT initial access.</w:t>
      </w:r>
    </w:p>
    <w:p w14:paraId="33C73757" w14:textId="77777777" w:rsidR="00826466" w:rsidRDefault="00602A99">
      <w:pPr>
        <w:pStyle w:val="Heading1"/>
      </w:pPr>
      <w:r>
        <w:t>3</w:t>
      </w:r>
      <w:r>
        <w:tab/>
        <w:t>Date of Next RAN4 Meetings:</w:t>
      </w:r>
    </w:p>
    <w:p w14:paraId="7CA2C318" w14:textId="77777777" w:rsidR="00826466" w:rsidRDefault="00602A99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游明朝"/>
          <w:bCs/>
          <w:sz w:val="21"/>
          <w:szCs w:val="22"/>
          <w:lang w:eastAsia="ja-JP"/>
        </w:rPr>
      </w:pPr>
      <w:r>
        <w:rPr>
          <w:rFonts w:eastAsia="游明朝"/>
          <w:bCs/>
          <w:sz w:val="21"/>
          <w:szCs w:val="22"/>
          <w:lang w:eastAsia="ja-JP"/>
        </w:rPr>
        <w:t>RAN4 Meeting #95e</w:t>
      </w:r>
      <w:r>
        <w:rPr>
          <w:rFonts w:eastAsia="SimSun" w:hint="eastAsia"/>
          <w:bCs/>
          <w:sz w:val="21"/>
          <w:szCs w:val="22"/>
          <w:lang w:eastAsia="zh-CN"/>
        </w:rPr>
        <w:tab/>
      </w:r>
      <w:r>
        <w:rPr>
          <w:rFonts w:eastAsia="游明朝" w:hint="eastAsia"/>
          <w:bCs/>
          <w:sz w:val="21"/>
          <w:szCs w:val="22"/>
          <w:lang w:eastAsia="ja-JP"/>
        </w:rPr>
        <w:t>25 May</w:t>
      </w:r>
      <w:r>
        <w:rPr>
          <w:rFonts w:eastAsia="游明朝"/>
          <w:bCs/>
          <w:sz w:val="21"/>
          <w:szCs w:val="22"/>
          <w:lang w:eastAsia="ja-JP"/>
        </w:rPr>
        <w:t xml:space="preserve"> – </w:t>
      </w:r>
      <w:r>
        <w:rPr>
          <w:rFonts w:eastAsia="游明朝" w:hint="eastAsia"/>
          <w:bCs/>
          <w:sz w:val="21"/>
          <w:szCs w:val="22"/>
          <w:lang w:eastAsia="ja-JP"/>
        </w:rPr>
        <w:t>05</w:t>
      </w:r>
      <w:r>
        <w:rPr>
          <w:rFonts w:eastAsia="游明朝"/>
          <w:bCs/>
          <w:sz w:val="21"/>
          <w:szCs w:val="22"/>
          <w:lang w:eastAsia="ja-JP"/>
        </w:rPr>
        <w:t xml:space="preserve"> </w:t>
      </w:r>
      <w:r>
        <w:rPr>
          <w:rFonts w:eastAsia="游明朝" w:hint="eastAsia"/>
          <w:bCs/>
          <w:sz w:val="21"/>
          <w:szCs w:val="22"/>
          <w:lang w:eastAsia="ja-JP"/>
        </w:rPr>
        <w:t>June</w:t>
      </w:r>
      <w:r>
        <w:rPr>
          <w:rFonts w:eastAsia="游明朝"/>
          <w:bCs/>
          <w:sz w:val="21"/>
          <w:szCs w:val="22"/>
          <w:lang w:eastAsia="ja-JP"/>
        </w:rPr>
        <w:t xml:space="preserve"> 2020</w:t>
      </w:r>
      <w:r>
        <w:rPr>
          <w:rFonts w:eastAsia="游明朝"/>
          <w:bCs/>
          <w:sz w:val="21"/>
          <w:szCs w:val="22"/>
          <w:lang w:eastAsia="ja-JP"/>
        </w:rPr>
        <w:tab/>
      </w:r>
      <w:r>
        <w:rPr>
          <w:rFonts w:eastAsia="游明朝" w:hint="eastAsia"/>
          <w:bCs/>
          <w:sz w:val="21"/>
          <w:szCs w:val="22"/>
          <w:lang w:eastAsia="ja-JP"/>
        </w:rPr>
        <w:t>E-meeting</w:t>
      </w:r>
    </w:p>
    <w:p w14:paraId="0B235C4B" w14:textId="77777777" w:rsidR="00826466" w:rsidRDefault="00602A99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游明朝"/>
          <w:bCs/>
          <w:sz w:val="21"/>
          <w:szCs w:val="22"/>
          <w:lang w:eastAsia="ja-JP"/>
        </w:rPr>
      </w:pPr>
      <w:r>
        <w:rPr>
          <w:rFonts w:eastAsia="游明朝"/>
          <w:bCs/>
          <w:sz w:val="21"/>
          <w:szCs w:val="22"/>
          <w:lang w:eastAsia="ja-JP"/>
        </w:rPr>
        <w:t>RAN4 Meeting #9</w:t>
      </w:r>
      <w:r>
        <w:rPr>
          <w:rFonts w:eastAsia="游明朝" w:hint="eastAsia"/>
          <w:bCs/>
          <w:sz w:val="21"/>
          <w:szCs w:val="22"/>
          <w:lang w:eastAsia="ja-JP"/>
        </w:rPr>
        <w:t>6</w:t>
      </w:r>
      <w:r>
        <w:rPr>
          <w:rFonts w:eastAsia="SimSun" w:hint="eastAsia"/>
          <w:bCs/>
          <w:sz w:val="21"/>
          <w:szCs w:val="22"/>
          <w:lang w:eastAsia="zh-CN"/>
        </w:rPr>
        <w:tab/>
      </w:r>
      <w:r>
        <w:rPr>
          <w:rFonts w:eastAsia="SimSun" w:hint="eastAsia"/>
          <w:bCs/>
          <w:sz w:val="21"/>
          <w:szCs w:val="22"/>
          <w:lang w:eastAsia="zh-CN"/>
        </w:rPr>
        <w:tab/>
      </w:r>
      <w:r>
        <w:rPr>
          <w:rFonts w:eastAsia="游明朝" w:hint="eastAsia"/>
          <w:bCs/>
          <w:sz w:val="21"/>
          <w:szCs w:val="22"/>
          <w:lang w:eastAsia="ja-JP"/>
        </w:rPr>
        <w:t>24</w:t>
      </w:r>
      <w:r>
        <w:rPr>
          <w:rFonts w:eastAsia="游明朝"/>
          <w:bCs/>
          <w:sz w:val="21"/>
          <w:szCs w:val="22"/>
          <w:lang w:eastAsia="ja-JP"/>
        </w:rPr>
        <w:t xml:space="preserve"> – 2</w:t>
      </w:r>
      <w:r>
        <w:rPr>
          <w:rFonts w:eastAsia="游明朝" w:hint="eastAsia"/>
          <w:bCs/>
          <w:sz w:val="21"/>
          <w:szCs w:val="22"/>
          <w:lang w:eastAsia="ja-JP"/>
        </w:rPr>
        <w:t>8</w:t>
      </w:r>
      <w:r>
        <w:rPr>
          <w:rFonts w:eastAsia="游明朝"/>
          <w:bCs/>
          <w:sz w:val="21"/>
          <w:szCs w:val="22"/>
          <w:lang w:eastAsia="ja-JP"/>
        </w:rPr>
        <w:t xml:space="preserve"> </w:t>
      </w:r>
      <w:r>
        <w:rPr>
          <w:rFonts w:eastAsia="游明朝" w:hint="eastAsia"/>
          <w:bCs/>
          <w:sz w:val="21"/>
          <w:szCs w:val="22"/>
          <w:lang w:eastAsia="ja-JP"/>
        </w:rPr>
        <w:t>Aug.</w:t>
      </w:r>
      <w:r>
        <w:rPr>
          <w:rFonts w:eastAsia="游明朝"/>
          <w:bCs/>
          <w:sz w:val="21"/>
          <w:szCs w:val="22"/>
          <w:lang w:eastAsia="ja-JP"/>
        </w:rPr>
        <w:t xml:space="preserve"> 2020</w:t>
      </w:r>
      <w:r>
        <w:rPr>
          <w:rFonts w:eastAsia="游明朝"/>
          <w:bCs/>
          <w:sz w:val="21"/>
          <w:szCs w:val="22"/>
          <w:lang w:eastAsia="ja-JP"/>
        </w:rPr>
        <w:tab/>
      </w:r>
      <w:r>
        <w:rPr>
          <w:rFonts w:eastAsia="游明朝"/>
          <w:bCs/>
          <w:sz w:val="21"/>
          <w:szCs w:val="22"/>
          <w:lang w:eastAsia="ja-JP"/>
        </w:rPr>
        <w:tab/>
        <w:t>Toulouse, FR</w:t>
      </w:r>
    </w:p>
    <w:p w14:paraId="6698645D" w14:textId="77777777" w:rsidR="00826466" w:rsidRDefault="00826466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SimSun"/>
          <w:strike/>
          <w:sz w:val="21"/>
          <w:szCs w:val="22"/>
          <w:lang w:eastAsia="zh-CN"/>
        </w:rPr>
      </w:pPr>
    </w:p>
    <w:p w14:paraId="7F4F29AF" w14:textId="77777777" w:rsidR="00826466" w:rsidRDefault="00602A99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SimSun"/>
          <w:b/>
          <w:bCs/>
          <w:sz w:val="28"/>
          <w:szCs w:val="32"/>
          <w:lang w:eastAsia="zh-CN"/>
        </w:rPr>
      </w:pPr>
      <w:r>
        <w:rPr>
          <w:rFonts w:eastAsia="SimSun"/>
          <w:b/>
          <w:bCs/>
          <w:sz w:val="28"/>
          <w:szCs w:val="32"/>
          <w:lang w:eastAsia="zh-CN"/>
        </w:rPr>
        <w:lastRenderedPageBreak/>
        <w:t>References</w:t>
      </w:r>
    </w:p>
    <w:p w14:paraId="1AFF1FFA" w14:textId="77777777" w:rsidR="00826466" w:rsidRDefault="00602A9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80" w:after="0" w:line="360" w:lineRule="auto"/>
        <w:jc w:val="both"/>
        <w:textAlignment w:val="baseline"/>
        <w:rPr>
          <w:rFonts w:eastAsia="SimSun"/>
          <w:lang w:eastAsia="zh-CN"/>
        </w:rPr>
      </w:pPr>
      <w:r>
        <w:rPr>
          <w:rFonts w:eastAsia="游明朝"/>
          <w:lang w:eastAsia="ja-JP"/>
        </w:rPr>
        <w:t>R4-205483, “WF on IAB-MT RAN4 Features”</w:t>
      </w:r>
    </w:p>
    <w:p w14:paraId="487A87F8" w14:textId="77777777" w:rsidR="00826466" w:rsidRDefault="00826466"/>
    <w:bookmarkEnd w:id="0"/>
    <w:bookmarkEnd w:id="1"/>
    <w:bookmarkEnd w:id="2"/>
    <w:bookmarkEnd w:id="3"/>
    <w:bookmarkEnd w:id="4"/>
    <w:bookmarkEnd w:id="5"/>
    <w:p w14:paraId="1FBF203E" w14:textId="77777777" w:rsidR="00826466" w:rsidRDefault="00826466"/>
    <w:sectPr w:rsidR="0082646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511CF"/>
    <w:multiLevelType w:val="multilevel"/>
    <w:tmpl w:val="0A5511CF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C2A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275F2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53E"/>
    <w:rsid w:val="000406D5"/>
    <w:rsid w:val="00041938"/>
    <w:rsid w:val="00042E7A"/>
    <w:rsid w:val="00043408"/>
    <w:rsid w:val="00043F8D"/>
    <w:rsid w:val="000445F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174"/>
    <w:rsid w:val="0005589D"/>
    <w:rsid w:val="00055C34"/>
    <w:rsid w:val="000567AB"/>
    <w:rsid w:val="00056A4B"/>
    <w:rsid w:val="0005730F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584E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221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2A45"/>
    <w:rsid w:val="00113211"/>
    <w:rsid w:val="0011358A"/>
    <w:rsid w:val="00113FED"/>
    <w:rsid w:val="00114E60"/>
    <w:rsid w:val="00115F71"/>
    <w:rsid w:val="00116356"/>
    <w:rsid w:val="00116911"/>
    <w:rsid w:val="00117C29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4C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3B5E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68D8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DBA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06714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6F0A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BAB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678C"/>
    <w:rsid w:val="002A67AD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2B09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AE0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999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780"/>
    <w:rsid w:val="00376896"/>
    <w:rsid w:val="00376A5D"/>
    <w:rsid w:val="003807D8"/>
    <w:rsid w:val="00380E4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409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B0A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26CC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566B"/>
    <w:rsid w:val="003F6104"/>
    <w:rsid w:val="003F6931"/>
    <w:rsid w:val="003F6A1C"/>
    <w:rsid w:val="003F7236"/>
    <w:rsid w:val="003F7328"/>
    <w:rsid w:val="003F7A2B"/>
    <w:rsid w:val="00400059"/>
    <w:rsid w:val="004007B4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01E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4228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5C15"/>
    <w:rsid w:val="004E5CF3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AC7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3895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00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2A99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A8E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57FBB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2CC2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D94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51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1B95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A96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0F71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4210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1F1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2EC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0A2C"/>
    <w:rsid w:val="008016A9"/>
    <w:rsid w:val="00801B26"/>
    <w:rsid w:val="00802188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3D2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6466"/>
    <w:rsid w:val="00827220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5D57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4C5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2EE8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69CE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6AE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E7EF3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389B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258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17F13"/>
    <w:rsid w:val="00921AB4"/>
    <w:rsid w:val="00922375"/>
    <w:rsid w:val="00923056"/>
    <w:rsid w:val="009232FB"/>
    <w:rsid w:val="009243CA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25B2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2F5D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668E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5C0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0E3A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29C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05F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1C59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6E2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065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0D7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42"/>
    <w:rsid w:val="00AA179C"/>
    <w:rsid w:val="00AA20AF"/>
    <w:rsid w:val="00AA3C01"/>
    <w:rsid w:val="00AA3EFD"/>
    <w:rsid w:val="00AA4F43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08C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399C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569"/>
    <w:rsid w:val="00BF1822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563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1AE4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91D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CF6766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5A13"/>
    <w:rsid w:val="00D167AF"/>
    <w:rsid w:val="00D16D10"/>
    <w:rsid w:val="00D17A38"/>
    <w:rsid w:val="00D20207"/>
    <w:rsid w:val="00D2064F"/>
    <w:rsid w:val="00D219F9"/>
    <w:rsid w:val="00D21BBA"/>
    <w:rsid w:val="00D22269"/>
    <w:rsid w:val="00D229F8"/>
    <w:rsid w:val="00D238CF"/>
    <w:rsid w:val="00D23B43"/>
    <w:rsid w:val="00D24D99"/>
    <w:rsid w:val="00D25104"/>
    <w:rsid w:val="00D25347"/>
    <w:rsid w:val="00D25421"/>
    <w:rsid w:val="00D25A50"/>
    <w:rsid w:val="00D25ABA"/>
    <w:rsid w:val="00D260D9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1930"/>
    <w:rsid w:val="00D624E1"/>
    <w:rsid w:val="00D643AB"/>
    <w:rsid w:val="00D653C6"/>
    <w:rsid w:val="00D66C11"/>
    <w:rsid w:val="00D7062C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531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7F0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28D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E7C74"/>
    <w:rsid w:val="00DE7D7D"/>
    <w:rsid w:val="00DF1ED5"/>
    <w:rsid w:val="00DF2B1F"/>
    <w:rsid w:val="00DF3138"/>
    <w:rsid w:val="00DF3ADD"/>
    <w:rsid w:val="00DF3FD0"/>
    <w:rsid w:val="00DF491D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0849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C748E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749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443F"/>
    <w:rsid w:val="00EF4F5F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01C7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57A3"/>
    <w:rsid w:val="00F26279"/>
    <w:rsid w:val="00F2694B"/>
    <w:rsid w:val="00F30A04"/>
    <w:rsid w:val="00F30B2E"/>
    <w:rsid w:val="00F30D1B"/>
    <w:rsid w:val="00F31924"/>
    <w:rsid w:val="00F32828"/>
    <w:rsid w:val="00F329CC"/>
    <w:rsid w:val="00F3337A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4E2E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110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E32"/>
    <w:rsid w:val="00F67F50"/>
    <w:rsid w:val="00F70FA7"/>
    <w:rsid w:val="00F711F6"/>
    <w:rsid w:val="00F73345"/>
    <w:rsid w:val="00F73566"/>
    <w:rsid w:val="00F73D0E"/>
    <w:rsid w:val="00F73E99"/>
    <w:rsid w:val="00F7453D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12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11A8B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2170144"/>
    <w:rsid w:val="56D35429"/>
    <w:rsid w:val="5C756EEE"/>
    <w:rsid w:val="5DC90E16"/>
    <w:rsid w:val="602D4E73"/>
    <w:rsid w:val="60CB27E1"/>
    <w:rsid w:val="646F3CBC"/>
    <w:rsid w:val="64AD23CC"/>
    <w:rsid w:val="657226D8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B84646"/>
  <w15:docId w15:val="{3070EA91-0439-524A-A7F5-28520599E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line="259" w:lineRule="auto"/>
    </w:pPr>
    <w:rPr>
      <w:rFonts w:ascii="Courier New" w:eastAsia="Times New Roman" w:hAnsi="Courier New"/>
      <w:sz w:val="16"/>
      <w:lang w:val="en-GB" w:eastAsia="sv-SE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lang w:val="en-GB"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ＭＳ 明朝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ＭＳ 明朝" w:hAnsi="Arial"/>
      <w:b/>
      <w:szCs w:val="24"/>
      <w:lang w:eastAsia="en-GB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Pr>
      <w:lang w:eastAsia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Revision2">
    <w:name w:val="Revision2"/>
    <w:hidden/>
    <w:uiPriority w:val="99"/>
    <w:semiHidden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43b567adc0fb7267566a71594281c7f1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88f309decb0f3d3129a05d17a73fdbd6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9A74A-CDE2-4300-8FC9-FF94F2F88C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53935-6C84-49CB-ABD3-CEFC28B23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A82156-EEE9-45B3-9088-FE6339972C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E9BEC73-C315-4C08-8AF0-FF3F338BB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Valentin Gheorghiu</cp:lastModifiedBy>
  <cp:revision>2</cp:revision>
  <cp:lastPrinted>2017-05-08T11:55:00Z</cp:lastPrinted>
  <dcterms:created xsi:type="dcterms:W3CDTF">2020-04-29T16:53:00Z</dcterms:created>
  <dcterms:modified xsi:type="dcterms:W3CDTF">2020-04-29T16:53:00Z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2052-10.8.2.6613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  <property fmtid="{D5CDD505-2E9C-101B-9397-08002B2CF9AE}" pid="12" name="_NewReviewCycle">
    <vt:lpwstr/>
  </property>
  <property fmtid="{D5CDD505-2E9C-101B-9397-08002B2CF9AE}" pid="13" name="ContentTypeId">
    <vt:lpwstr>0x010100EB28163D68FE8E4D9361964FDD814FC4</vt:lpwstr>
  </property>
</Properties>
</file>