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Pr>
          <w:rFonts w:ascii="Arial" w:hAnsi="Arial" w:cs="Arial"/>
          <w:b/>
          <w:bCs/>
          <w:sz w:val="32"/>
          <w:szCs w:val="32"/>
          <w:lang w:val="en-US"/>
        </w:rPr>
        <w:t>R4-</w:t>
      </w:r>
      <w:bookmarkStart w:id="0" w:name="_GoBack"/>
      <w:bookmarkEnd w:id="0"/>
      <w:r w:rsidR="00F00A3A" w:rsidRPr="00F00A3A">
        <w:rPr>
          <w:rFonts w:ascii="Arial" w:hAnsi="Arial" w:cs="Arial"/>
          <w:b/>
          <w:bCs/>
          <w:sz w:val="32"/>
          <w:szCs w:val="32"/>
          <w:lang w:val="en-US"/>
        </w:rPr>
        <w:t>1914636</w:t>
      </w:r>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proofErr w:type="gramStart"/>
      <w:r>
        <w:rPr>
          <w:rFonts w:ascii="Arial" w:hAnsi="Arial" w:cs="Arial"/>
          <w:b/>
          <w:bCs/>
          <w:sz w:val="24"/>
          <w:szCs w:val="24"/>
        </w:rPr>
        <w:t>November,</w:t>
      </w:r>
      <w:proofErr w:type="gramEnd"/>
      <w:r>
        <w:rPr>
          <w:rFonts w:ascii="Arial" w:hAnsi="Arial" w:cs="Arial"/>
          <w:b/>
          <w:bCs/>
          <w:sz w:val="24"/>
          <w:szCs w:val="24"/>
        </w:rPr>
        <w:t xml:space="preserve"> 2019</w:t>
      </w:r>
      <w:r>
        <w:rPr>
          <w:b/>
          <w:bCs/>
        </w:rPr>
        <w:t xml:space="preserve">        </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057D9" w:rsidRPr="00C057D9">
        <w:rPr>
          <w:rFonts w:ascii="Arial" w:hAnsi="Arial" w:cs="Arial"/>
          <w:sz w:val="24"/>
          <w:lang w:val="en-US" w:eastAsia="zh-CN"/>
        </w:rPr>
        <w:t xml:space="preserve">Discussion on </w:t>
      </w:r>
      <w:r w:rsidR="00737673">
        <w:rPr>
          <w:rFonts w:ascii="Arial" w:hAnsi="Arial" w:cs="Arial"/>
          <w:sz w:val="24"/>
          <w:lang w:val="en-US" w:eastAsia="zh-CN"/>
        </w:rPr>
        <w:t xml:space="preserve">simultaneous RX-TX handover </w:t>
      </w:r>
      <w:r w:rsidR="00C057D9" w:rsidRPr="00C057D9">
        <w:rPr>
          <w:rFonts w:ascii="Arial" w:hAnsi="Arial" w:cs="Arial"/>
          <w:sz w:val="24"/>
          <w:lang w:val="en-US" w:eastAsia="zh-CN"/>
        </w:rPr>
        <w:t>requirements</w:t>
      </w:r>
      <w:r w:rsidR="005B2B9D">
        <w:rPr>
          <w:rFonts w:ascii="Arial" w:hAnsi="Arial" w:cs="Arial"/>
          <w:sz w:val="24"/>
          <w:lang w:val="en-US" w:eastAsia="zh-CN"/>
        </w:rPr>
        <w:t xml:space="preserve"> for NR</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F1EB7">
        <w:rPr>
          <w:rFonts w:ascii="Arial" w:hAnsi="Arial" w:cs="Arial"/>
          <w:sz w:val="24"/>
          <w:lang w:val="en-US" w:eastAsia="zh-CN"/>
        </w:rPr>
        <w:t>9.3.2.1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45388" w:rsidRPr="0065502B" w:rsidRDefault="00076136" w:rsidP="00645388">
      <w:r>
        <w:t xml:space="preserve">In RAN4#92bis, the way forward for conditional handover was agreed 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076136" w:rsidTr="00015A56">
        <w:tc>
          <w:tcPr>
            <w:tcW w:w="10763" w:type="dxa"/>
            <w:shd w:val="clear" w:color="auto" w:fill="auto"/>
          </w:tcPr>
          <w:p w:rsidR="00737673" w:rsidRPr="00737673" w:rsidRDefault="00737673" w:rsidP="00737673">
            <w:pPr>
              <w:numPr>
                <w:ilvl w:val="0"/>
                <w:numId w:val="37"/>
              </w:numPr>
            </w:pPr>
            <w:r w:rsidRPr="00737673">
              <w:rPr>
                <w:lang w:val="en-US"/>
              </w:rPr>
              <w:t>Definition of HO delay will be split into two parts:</w:t>
            </w:r>
          </w:p>
          <w:p w:rsidR="00737673" w:rsidRPr="00737673" w:rsidRDefault="00737673" w:rsidP="00737673">
            <w:pPr>
              <w:numPr>
                <w:ilvl w:val="0"/>
                <w:numId w:val="37"/>
              </w:numPr>
            </w:pPr>
            <w:r w:rsidRPr="00737673">
              <w:rPr>
                <w:u w:val="single"/>
                <w:lang w:val="en-US"/>
              </w:rPr>
              <w:t xml:space="preserve">Delay (1): </w:t>
            </w:r>
            <w:r w:rsidRPr="00737673">
              <w:rPr>
                <w:lang w:val="en-US"/>
              </w:rPr>
              <w:t>from HO command to PRACH preamble transmission</w:t>
            </w:r>
          </w:p>
          <w:p w:rsidR="00737673" w:rsidRPr="00737673" w:rsidRDefault="00737673" w:rsidP="00737673">
            <w:pPr>
              <w:numPr>
                <w:ilvl w:val="0"/>
                <w:numId w:val="37"/>
              </w:numPr>
            </w:pPr>
            <w:r w:rsidRPr="00737673">
              <w:rPr>
                <w:i/>
                <w:iCs/>
                <w:lang w:val="en-US"/>
              </w:rPr>
              <w:t>D</w:t>
            </w:r>
            <w:r w:rsidRPr="00737673">
              <w:rPr>
                <w:i/>
                <w:iCs/>
                <w:vertAlign w:val="subscript"/>
                <w:lang w:val="en-US"/>
              </w:rPr>
              <w:t>1</w:t>
            </w:r>
            <w:r w:rsidRPr="00737673">
              <w:rPr>
                <w:i/>
                <w:iCs/>
                <w:lang w:val="en-US"/>
              </w:rPr>
              <w:t xml:space="preserve"> = T</w:t>
            </w:r>
            <w:r w:rsidRPr="00737673">
              <w:rPr>
                <w:i/>
                <w:iCs/>
                <w:vertAlign w:val="subscript"/>
                <w:lang w:val="en-US"/>
              </w:rPr>
              <w:t>RRC_procedure</w:t>
            </w:r>
            <w:r w:rsidRPr="00737673">
              <w:rPr>
                <w:i/>
                <w:iCs/>
                <w:lang w:val="en-US"/>
              </w:rPr>
              <w:t xml:space="preserve"> + T</w:t>
            </w:r>
            <w:r w:rsidRPr="00737673">
              <w:rPr>
                <w:i/>
                <w:iCs/>
                <w:vertAlign w:val="subscript"/>
                <w:lang w:val="en-US"/>
              </w:rPr>
              <w:t>search</w:t>
            </w:r>
            <w:r w:rsidRPr="00737673">
              <w:rPr>
                <w:i/>
                <w:iCs/>
                <w:lang w:val="en-US"/>
              </w:rPr>
              <w:t xml:space="preserve"> + T</w:t>
            </w:r>
            <w:r w:rsidRPr="00737673">
              <w:rPr>
                <w:i/>
                <w:iCs/>
                <w:vertAlign w:val="subscript"/>
                <w:lang w:val="en-US"/>
              </w:rPr>
              <w:t>IU</w:t>
            </w:r>
            <w:r w:rsidRPr="00737673">
              <w:rPr>
                <w:i/>
                <w:iCs/>
                <w:lang w:val="en-US"/>
              </w:rPr>
              <w:t xml:space="preserve"> + T</w:t>
            </w:r>
            <w:r w:rsidRPr="00737673">
              <w:rPr>
                <w:i/>
                <w:iCs/>
                <w:vertAlign w:val="subscript"/>
                <w:lang w:val="en-US"/>
              </w:rPr>
              <w:t>UE_process</w:t>
            </w:r>
            <w:r w:rsidRPr="00737673">
              <w:rPr>
                <w:i/>
                <w:iCs/>
                <w:lang w:val="en-US"/>
              </w:rPr>
              <w:t xml:space="preserve"> + T</w:t>
            </w:r>
            <w:r w:rsidRPr="00737673">
              <w:rPr>
                <w:i/>
                <w:iCs/>
                <w:vertAlign w:val="subscript"/>
                <w:lang w:val="en-US"/>
              </w:rPr>
              <w:t>∆</w:t>
            </w:r>
          </w:p>
          <w:p w:rsidR="00737673" w:rsidRPr="00737673" w:rsidRDefault="00737673" w:rsidP="00737673">
            <w:pPr>
              <w:numPr>
                <w:ilvl w:val="0"/>
                <w:numId w:val="37"/>
              </w:numPr>
            </w:pPr>
            <w:r w:rsidRPr="00737673">
              <w:rPr>
                <w:lang w:val="en-US"/>
              </w:rPr>
              <w:t>Definitions of each term is same as that in the existing handover RRM requirements. Corresponding interruption in delay (1):</w:t>
            </w:r>
          </w:p>
          <w:p w:rsidR="00737673" w:rsidRPr="00737673" w:rsidRDefault="00737673" w:rsidP="00737673">
            <w:pPr>
              <w:numPr>
                <w:ilvl w:val="0"/>
                <w:numId w:val="37"/>
              </w:numPr>
            </w:pPr>
            <w:r w:rsidRPr="00737673">
              <w:rPr>
                <w:lang w:val="en-US"/>
              </w:rPr>
              <w:t xml:space="preserve">For intra-frequency: </w:t>
            </w:r>
          </w:p>
          <w:p w:rsidR="00737673" w:rsidRPr="00737673" w:rsidRDefault="00737673" w:rsidP="00737673">
            <w:pPr>
              <w:numPr>
                <w:ilvl w:val="0"/>
                <w:numId w:val="37"/>
              </w:numPr>
            </w:pPr>
            <w:r w:rsidRPr="00737673">
              <w:rPr>
                <w:lang w:val="en-US"/>
              </w:rPr>
              <w:t>Case 1 (BW</w:t>
            </w:r>
            <w:r w:rsidRPr="00737673">
              <w:rPr>
                <w:vertAlign w:val="subscript"/>
                <w:lang w:val="en-US"/>
              </w:rPr>
              <w:t>source</w:t>
            </w:r>
            <w:r w:rsidRPr="00737673">
              <w:rPr>
                <w:lang w:val="en-US"/>
              </w:rPr>
              <w:t xml:space="preserve"> ≠ BW</w:t>
            </w:r>
            <w:r w:rsidRPr="00737673">
              <w:rPr>
                <w:vertAlign w:val="subscript"/>
                <w:lang w:val="en-US"/>
              </w:rPr>
              <w:t>target</w:t>
            </w:r>
            <w:r w:rsidRPr="00737673">
              <w:rPr>
                <w:lang w:val="en-US"/>
              </w:rPr>
              <w:t>): FFS and reuse existing [DCI based BWP switching delay] requirement as starting point. Companies are encouraged to provide analysis on interruption time associated with different UE Rx/Tx architecture.</w:t>
            </w:r>
          </w:p>
          <w:p w:rsidR="00737673" w:rsidRPr="00737673" w:rsidRDefault="00737673" w:rsidP="00AF5CC3">
            <w:pPr>
              <w:numPr>
                <w:ilvl w:val="0"/>
                <w:numId w:val="37"/>
              </w:numPr>
            </w:pPr>
            <w:r w:rsidRPr="00737673">
              <w:rPr>
                <w:lang w:val="en-US"/>
              </w:rPr>
              <w:t>Case 2 (BW</w:t>
            </w:r>
            <w:r w:rsidRPr="00737673">
              <w:rPr>
                <w:vertAlign w:val="subscript"/>
                <w:lang w:val="en-US"/>
              </w:rPr>
              <w:t>source</w:t>
            </w:r>
            <w:r w:rsidRPr="00737673">
              <w:rPr>
                <w:lang w:val="en-US"/>
              </w:rPr>
              <w:t xml:space="preserve"> = BW</w:t>
            </w:r>
            <w:r w:rsidRPr="00737673">
              <w:rPr>
                <w:vertAlign w:val="subscript"/>
                <w:lang w:val="en-US"/>
              </w:rPr>
              <w:t>target</w:t>
            </w:r>
            <w:r w:rsidRPr="00737673">
              <w:rPr>
                <w:lang w:val="en-US"/>
              </w:rPr>
              <w:t xml:space="preserve">): FFS </w:t>
            </w:r>
          </w:p>
          <w:p w:rsidR="00737673" w:rsidRPr="00737673" w:rsidRDefault="00737673" w:rsidP="00737673">
            <w:pPr>
              <w:numPr>
                <w:ilvl w:val="0"/>
                <w:numId w:val="37"/>
              </w:numPr>
            </w:pPr>
            <w:r w:rsidRPr="00737673">
              <w:rPr>
                <w:lang w:val="en-US"/>
              </w:rPr>
              <w:t>For inter-frequency: reuse existing NR PSCell/SCell addition interruption requirement, i.e. follow Table 8.2.4.2.1-1 for inter-band synchronous and Table 8.2.4.2.1-2 for intra-band synchronous (1 additional slot is allowed for asynchronous case in inter-band asynchronous ).</w:t>
            </w:r>
          </w:p>
          <w:p w:rsidR="00737673" w:rsidRPr="00737673" w:rsidRDefault="00737673" w:rsidP="00737673">
            <w:pPr>
              <w:numPr>
                <w:ilvl w:val="0"/>
                <w:numId w:val="37"/>
              </w:numPr>
            </w:pPr>
            <w:r w:rsidRPr="00737673">
              <w:rPr>
                <w:u w:val="single"/>
                <w:lang w:val="en-US"/>
              </w:rPr>
              <w:t xml:space="preserve">Delay (2) </w:t>
            </w:r>
            <w:r w:rsidRPr="00737673">
              <w:rPr>
                <w:lang w:val="en-US"/>
              </w:rPr>
              <w:t>on source release: Start point is FFS. Pending RAN2, existing PSCell release requirement can be reused if this is triggered by RRC</w:t>
            </w:r>
          </w:p>
          <w:p w:rsidR="00737673" w:rsidRPr="00737673" w:rsidRDefault="00737673" w:rsidP="00737673">
            <w:pPr>
              <w:numPr>
                <w:ilvl w:val="0"/>
                <w:numId w:val="37"/>
              </w:numPr>
            </w:pPr>
            <w:r w:rsidRPr="00737673">
              <w:rPr>
                <w:lang w:val="en-US"/>
              </w:rPr>
              <w:t>UE is not required to perform mobility purpose measurement after receiving HO command and before the source release is complete</w:t>
            </w:r>
          </w:p>
          <w:p w:rsidR="00076136" w:rsidRDefault="00076136" w:rsidP="00737673"/>
        </w:tc>
      </w:tr>
    </w:tbl>
    <w:p w:rsidR="00DE0401" w:rsidRPr="0065502B" w:rsidRDefault="00DE0401" w:rsidP="0065502B"/>
    <w:p w:rsidR="00902595" w:rsidRDefault="00902595" w:rsidP="00902595">
      <w:pPr>
        <w:pStyle w:val="Heading1"/>
        <w:jc w:val="both"/>
        <w:rPr>
          <w:rFonts w:eastAsia="SimSun"/>
          <w:lang w:val="en-US" w:eastAsia="zh-CN"/>
        </w:rPr>
      </w:pPr>
      <w:r>
        <w:rPr>
          <w:rFonts w:eastAsia="SimSun"/>
          <w:lang w:val="en-US" w:eastAsia="zh-CN"/>
        </w:rPr>
        <w:t>Discussion</w:t>
      </w:r>
    </w:p>
    <w:p w:rsidR="00276361" w:rsidRPr="00276361" w:rsidRDefault="00276361" w:rsidP="00276361">
      <w:pPr>
        <w:pStyle w:val="Heading2"/>
        <w:rPr>
          <w:lang w:val="en-US" w:eastAsia="zh-CN"/>
        </w:rPr>
      </w:pPr>
      <w:r>
        <w:rPr>
          <w:lang w:val="en-US" w:eastAsia="zh-CN"/>
        </w:rPr>
        <w:t>Discussion of delay(1)</w:t>
      </w:r>
    </w:p>
    <w:p w:rsidR="00BC3922" w:rsidRDefault="00276361" w:rsidP="006B6666">
      <w:pPr>
        <w:rPr>
          <w:lang w:val="en-US" w:eastAsia="zh-CN"/>
        </w:rPr>
      </w:pPr>
      <w:r w:rsidRPr="00276361">
        <w:rPr>
          <w:lang w:val="en-US" w:eastAsia="zh-CN"/>
        </w:rPr>
        <w:t>The de</w:t>
      </w:r>
      <w:r>
        <w:rPr>
          <w:lang w:val="en-US" w:eastAsia="zh-CN"/>
        </w:rPr>
        <w:t xml:space="preserve">finition of delay(1) seems rather clear from the way forward, and indeed delay(1) is numerically identical to legacy handover requirement. Although delay(1) has the same value as legacy handover delay, there are some </w:t>
      </w:r>
      <w:r w:rsidR="002E799E">
        <w:rPr>
          <w:lang w:val="en-US" w:eastAsia="zh-CN"/>
        </w:rPr>
        <w:t>differences</w:t>
      </w:r>
      <w:r w:rsidR="00936973">
        <w:rPr>
          <w:lang w:val="en-US" w:eastAsia="zh-CN"/>
        </w:rPr>
        <w:t xml:space="preserve"> that can be observed</w:t>
      </w:r>
    </w:p>
    <w:p w:rsidR="00936973" w:rsidRDefault="00936973" w:rsidP="00936973">
      <w:pPr>
        <w:pStyle w:val="ListParagraph"/>
        <w:numPr>
          <w:ilvl w:val="0"/>
          <w:numId w:val="45"/>
        </w:numPr>
        <w:rPr>
          <w:sz w:val="20"/>
          <w:szCs w:val="20"/>
          <w:lang w:val="en-US" w:eastAsia="zh-CN"/>
        </w:rPr>
      </w:pPr>
      <w:r w:rsidRPr="00936973">
        <w:rPr>
          <w:sz w:val="20"/>
          <w:szCs w:val="20"/>
          <w:lang w:val="en-US" w:eastAsia="zh-CN"/>
        </w:rPr>
        <w:t>Interruption</w:t>
      </w:r>
      <w:r>
        <w:rPr>
          <w:sz w:val="20"/>
          <w:szCs w:val="20"/>
          <w:lang w:val="en-US" w:eastAsia="zh-CN"/>
        </w:rPr>
        <w:t xml:space="preserve"> during delay(1) : There should be much shorter interruption during delay(1) since the UE does not stop receiving from the source cell. We provide views on interruption for the different cases discussed in RAN4#92bis</w:t>
      </w:r>
    </w:p>
    <w:p w:rsidR="00936973" w:rsidRDefault="00936973" w:rsidP="00936973">
      <w:pPr>
        <w:pStyle w:val="ListParagraph"/>
        <w:numPr>
          <w:ilvl w:val="1"/>
          <w:numId w:val="45"/>
        </w:numPr>
        <w:rPr>
          <w:sz w:val="20"/>
          <w:szCs w:val="20"/>
          <w:lang w:val="en-US" w:eastAsia="zh-CN"/>
        </w:rPr>
      </w:pPr>
      <w:r>
        <w:rPr>
          <w:sz w:val="20"/>
          <w:szCs w:val="20"/>
          <w:lang w:val="en-US" w:eastAsia="zh-CN"/>
        </w:rPr>
        <w:t>Case 1</w:t>
      </w:r>
      <w:r w:rsidRPr="00936973">
        <w:rPr>
          <w:rFonts w:hint="eastAsia"/>
          <w:sz w:val="20"/>
          <w:szCs w:val="20"/>
          <w:lang w:val="en-US" w:eastAsia="zh-CN"/>
        </w:rPr>
        <w:t>(BWsource ≠ BWtarget):</w:t>
      </w:r>
      <w:r w:rsidR="002E799E">
        <w:rPr>
          <w:sz w:val="20"/>
          <w:szCs w:val="20"/>
          <w:lang w:val="en-US" w:eastAsia="zh-CN"/>
        </w:rPr>
        <w:t xml:space="preserve"> The way forward indicates that this should be based on DCI based BWP switching delay as a starting point. The BWP switching delay requirement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E799E" w:rsidRPr="00DD3199" w:rsidTr="00996F33">
        <w:trPr>
          <w:trHeight w:val="305"/>
          <w:jc w:val="center"/>
        </w:trPr>
        <w:tc>
          <w:tcPr>
            <w:tcW w:w="649" w:type="dxa"/>
            <w:vMerge w:val="restart"/>
            <w:shd w:val="clear" w:color="auto" w:fill="auto"/>
            <w:vAlign w:val="center"/>
          </w:tcPr>
          <w:p w:rsidR="002E799E" w:rsidRPr="00DD3199" w:rsidRDefault="002E799E" w:rsidP="00996F33">
            <w:pPr>
              <w:pStyle w:val="TAH"/>
            </w:pPr>
            <w:r w:rsidRPr="00DD3199">
              <w:rPr>
                <w:noProof/>
                <w:lang w:val="en-US" w:eastAsia="zh-CN"/>
              </w:rPr>
              <w:lastRenderedPageBreak/>
              <w:drawing>
                <wp:inline distT="0" distB="0" distL="0" distR="0" wp14:anchorId="52BC8E51" wp14:editId="26AC885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2E799E" w:rsidRPr="00DD3199" w:rsidRDefault="002E799E" w:rsidP="00996F33">
            <w:pPr>
              <w:pStyle w:val="TAH"/>
            </w:pPr>
            <w:r w:rsidRPr="00DD3199">
              <w:t>NR Slot length (ms)</w:t>
            </w:r>
          </w:p>
        </w:tc>
        <w:tc>
          <w:tcPr>
            <w:tcW w:w="3938" w:type="dxa"/>
            <w:gridSpan w:val="2"/>
          </w:tcPr>
          <w:p w:rsidR="002E799E" w:rsidRPr="00DD3199" w:rsidRDefault="002E799E" w:rsidP="00996F33">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2E799E" w:rsidRPr="00DD3199" w:rsidTr="00996F33">
        <w:trPr>
          <w:trHeight w:val="306"/>
          <w:jc w:val="center"/>
        </w:trPr>
        <w:tc>
          <w:tcPr>
            <w:tcW w:w="649" w:type="dxa"/>
            <w:vMerge/>
            <w:shd w:val="clear" w:color="auto" w:fill="auto"/>
            <w:vAlign w:val="center"/>
          </w:tcPr>
          <w:p w:rsidR="002E799E" w:rsidRPr="00DD3199" w:rsidRDefault="002E799E" w:rsidP="00996F33">
            <w:pPr>
              <w:pStyle w:val="TAH"/>
            </w:pPr>
          </w:p>
        </w:tc>
        <w:tc>
          <w:tcPr>
            <w:tcW w:w="992" w:type="dxa"/>
            <w:vMerge/>
          </w:tcPr>
          <w:p w:rsidR="002E799E" w:rsidRPr="00DD3199" w:rsidRDefault="002E799E" w:rsidP="00996F33">
            <w:pPr>
              <w:pStyle w:val="TAH"/>
            </w:pPr>
          </w:p>
        </w:tc>
        <w:tc>
          <w:tcPr>
            <w:tcW w:w="1969" w:type="dxa"/>
          </w:tcPr>
          <w:p w:rsidR="002E799E" w:rsidRPr="00DD3199" w:rsidRDefault="002E799E" w:rsidP="00996F33">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2E799E" w:rsidRPr="00DD3199" w:rsidRDefault="002E799E" w:rsidP="00996F33">
            <w:pPr>
              <w:pStyle w:val="TAH"/>
              <w:rPr>
                <w:vertAlign w:val="superscript"/>
                <w:lang w:eastAsia="zh-CN"/>
              </w:rPr>
            </w:pPr>
            <w:r w:rsidRPr="00DD3199">
              <w:rPr>
                <w:lang w:eastAsia="zh-CN"/>
              </w:rPr>
              <w:t>Type 2</w:t>
            </w:r>
            <w:r w:rsidRPr="00DD3199">
              <w:rPr>
                <w:vertAlign w:val="superscript"/>
                <w:lang w:eastAsia="zh-CN"/>
              </w:rPr>
              <w:t>Note 1</w:t>
            </w:r>
          </w:p>
        </w:tc>
      </w:tr>
      <w:tr w:rsidR="002E799E" w:rsidRPr="00DD3199" w:rsidTr="00996F33">
        <w:trPr>
          <w:jc w:val="center"/>
        </w:trPr>
        <w:tc>
          <w:tcPr>
            <w:tcW w:w="649" w:type="dxa"/>
            <w:shd w:val="clear" w:color="auto" w:fill="auto"/>
          </w:tcPr>
          <w:p w:rsidR="002E799E" w:rsidRPr="00DD3199" w:rsidRDefault="002E799E" w:rsidP="00996F33">
            <w:pPr>
              <w:pStyle w:val="TAC"/>
            </w:pPr>
            <w:r w:rsidRPr="00DD3199">
              <w:t>0</w:t>
            </w:r>
          </w:p>
        </w:tc>
        <w:tc>
          <w:tcPr>
            <w:tcW w:w="992" w:type="dxa"/>
          </w:tcPr>
          <w:p w:rsidR="002E799E" w:rsidRPr="00DD3199" w:rsidRDefault="002E799E" w:rsidP="00996F33">
            <w:pPr>
              <w:pStyle w:val="TAC"/>
            </w:pPr>
            <w:r w:rsidRPr="00DD3199">
              <w:t>1</w:t>
            </w:r>
          </w:p>
        </w:tc>
        <w:tc>
          <w:tcPr>
            <w:tcW w:w="1969" w:type="dxa"/>
            <w:shd w:val="clear" w:color="auto" w:fill="auto"/>
          </w:tcPr>
          <w:p w:rsidR="002E799E" w:rsidRPr="00DD3199" w:rsidRDefault="002E799E" w:rsidP="00996F33">
            <w:pPr>
              <w:pStyle w:val="TAC"/>
            </w:pPr>
            <w:r w:rsidRPr="00DD3199">
              <w:t>1</w:t>
            </w:r>
            <w:r>
              <w:t xml:space="preserve"> (1ms)</w:t>
            </w:r>
          </w:p>
        </w:tc>
        <w:tc>
          <w:tcPr>
            <w:tcW w:w="1969" w:type="dxa"/>
          </w:tcPr>
          <w:p w:rsidR="002E799E" w:rsidRPr="00DD3199" w:rsidRDefault="002E799E" w:rsidP="00996F33">
            <w:pPr>
              <w:pStyle w:val="TAC"/>
            </w:pPr>
            <w:r w:rsidRPr="00DD3199">
              <w:t>3</w:t>
            </w:r>
            <w:r>
              <w:t xml:space="preserve"> (3ms)</w:t>
            </w:r>
          </w:p>
        </w:tc>
      </w:tr>
      <w:tr w:rsidR="002E799E" w:rsidRPr="00DD3199" w:rsidTr="00996F33">
        <w:trPr>
          <w:jc w:val="center"/>
        </w:trPr>
        <w:tc>
          <w:tcPr>
            <w:tcW w:w="649" w:type="dxa"/>
            <w:shd w:val="clear" w:color="auto" w:fill="auto"/>
          </w:tcPr>
          <w:p w:rsidR="002E799E" w:rsidRPr="00DD3199" w:rsidRDefault="002E799E" w:rsidP="00996F33">
            <w:pPr>
              <w:pStyle w:val="TAC"/>
            </w:pPr>
            <w:r w:rsidRPr="00DD3199">
              <w:t>1</w:t>
            </w:r>
          </w:p>
        </w:tc>
        <w:tc>
          <w:tcPr>
            <w:tcW w:w="992" w:type="dxa"/>
          </w:tcPr>
          <w:p w:rsidR="002E799E" w:rsidRPr="00DD3199" w:rsidRDefault="002E799E" w:rsidP="00996F33">
            <w:pPr>
              <w:pStyle w:val="TAC"/>
            </w:pPr>
            <w:r w:rsidRPr="00DD3199">
              <w:t>0.5</w:t>
            </w:r>
          </w:p>
        </w:tc>
        <w:tc>
          <w:tcPr>
            <w:tcW w:w="1969" w:type="dxa"/>
            <w:shd w:val="clear" w:color="auto" w:fill="auto"/>
          </w:tcPr>
          <w:p w:rsidR="002E799E" w:rsidRPr="00DD3199" w:rsidRDefault="002E799E" w:rsidP="00996F33">
            <w:pPr>
              <w:pStyle w:val="TAC"/>
            </w:pPr>
            <w:r w:rsidRPr="00DD3199">
              <w:t>2</w:t>
            </w:r>
            <w:r>
              <w:t xml:space="preserve"> (1ms)</w:t>
            </w:r>
          </w:p>
        </w:tc>
        <w:tc>
          <w:tcPr>
            <w:tcW w:w="1969" w:type="dxa"/>
          </w:tcPr>
          <w:p w:rsidR="002E799E" w:rsidRPr="00DD3199" w:rsidRDefault="002E799E" w:rsidP="00996F33">
            <w:pPr>
              <w:pStyle w:val="TAC"/>
            </w:pPr>
            <w:r w:rsidRPr="00DD3199">
              <w:t>5</w:t>
            </w:r>
            <w:r>
              <w:t xml:space="preserve"> (2.5ms)</w:t>
            </w:r>
          </w:p>
        </w:tc>
      </w:tr>
      <w:tr w:rsidR="002E799E" w:rsidRPr="00DD3199" w:rsidTr="00996F33">
        <w:trPr>
          <w:jc w:val="center"/>
        </w:trPr>
        <w:tc>
          <w:tcPr>
            <w:tcW w:w="649" w:type="dxa"/>
            <w:shd w:val="clear" w:color="auto" w:fill="auto"/>
          </w:tcPr>
          <w:p w:rsidR="002E799E" w:rsidRPr="00DD3199" w:rsidRDefault="002E799E" w:rsidP="00996F33">
            <w:pPr>
              <w:pStyle w:val="TAC"/>
            </w:pPr>
            <w:r w:rsidRPr="00DD3199">
              <w:t>2</w:t>
            </w:r>
          </w:p>
        </w:tc>
        <w:tc>
          <w:tcPr>
            <w:tcW w:w="992" w:type="dxa"/>
          </w:tcPr>
          <w:p w:rsidR="002E799E" w:rsidRPr="00DD3199" w:rsidRDefault="002E799E" w:rsidP="00996F33">
            <w:pPr>
              <w:pStyle w:val="TAC"/>
            </w:pPr>
            <w:r w:rsidRPr="00DD3199">
              <w:t>0.25</w:t>
            </w:r>
          </w:p>
        </w:tc>
        <w:tc>
          <w:tcPr>
            <w:tcW w:w="1969" w:type="dxa"/>
            <w:shd w:val="clear" w:color="auto" w:fill="auto"/>
          </w:tcPr>
          <w:p w:rsidR="002E799E" w:rsidRPr="00DD3199" w:rsidRDefault="002E799E" w:rsidP="00996F33">
            <w:pPr>
              <w:pStyle w:val="TAC"/>
            </w:pPr>
            <w:r w:rsidRPr="00DD3199">
              <w:t>3</w:t>
            </w:r>
            <w:r>
              <w:t xml:space="preserve"> (0.75ms)</w:t>
            </w:r>
          </w:p>
        </w:tc>
        <w:tc>
          <w:tcPr>
            <w:tcW w:w="1969" w:type="dxa"/>
          </w:tcPr>
          <w:p w:rsidR="002E799E" w:rsidRPr="00DD3199" w:rsidRDefault="002E799E" w:rsidP="00996F33">
            <w:pPr>
              <w:pStyle w:val="TAC"/>
            </w:pPr>
            <w:r w:rsidRPr="00DD3199">
              <w:t>9</w:t>
            </w:r>
            <w:r>
              <w:t xml:space="preserve"> (2.25ms)</w:t>
            </w:r>
          </w:p>
        </w:tc>
      </w:tr>
      <w:tr w:rsidR="002E799E" w:rsidRPr="00DD3199" w:rsidTr="00996F33">
        <w:trPr>
          <w:jc w:val="center"/>
        </w:trPr>
        <w:tc>
          <w:tcPr>
            <w:tcW w:w="649" w:type="dxa"/>
            <w:shd w:val="clear" w:color="auto" w:fill="auto"/>
          </w:tcPr>
          <w:p w:rsidR="002E799E" w:rsidRPr="00DD3199" w:rsidRDefault="002E799E" w:rsidP="00996F33">
            <w:pPr>
              <w:pStyle w:val="TAC"/>
            </w:pPr>
            <w:r w:rsidRPr="00DD3199">
              <w:t>3</w:t>
            </w:r>
          </w:p>
        </w:tc>
        <w:tc>
          <w:tcPr>
            <w:tcW w:w="992" w:type="dxa"/>
          </w:tcPr>
          <w:p w:rsidR="002E799E" w:rsidRPr="00DD3199" w:rsidRDefault="002E799E" w:rsidP="00996F33">
            <w:pPr>
              <w:pStyle w:val="TAC"/>
            </w:pPr>
            <w:r w:rsidRPr="00DD3199">
              <w:t>0.125</w:t>
            </w:r>
          </w:p>
        </w:tc>
        <w:tc>
          <w:tcPr>
            <w:tcW w:w="1969" w:type="dxa"/>
            <w:shd w:val="clear" w:color="auto" w:fill="auto"/>
          </w:tcPr>
          <w:p w:rsidR="002E799E" w:rsidRPr="00DD3199" w:rsidRDefault="002E799E" w:rsidP="00996F33">
            <w:pPr>
              <w:pStyle w:val="TAC"/>
            </w:pPr>
            <w:r w:rsidRPr="00DD3199">
              <w:t>6</w:t>
            </w:r>
            <w:r>
              <w:t xml:space="preserve"> (0.75ms)</w:t>
            </w:r>
          </w:p>
        </w:tc>
        <w:tc>
          <w:tcPr>
            <w:tcW w:w="1969" w:type="dxa"/>
          </w:tcPr>
          <w:p w:rsidR="002E799E" w:rsidRPr="00DD3199" w:rsidRDefault="002E799E" w:rsidP="00996F33">
            <w:pPr>
              <w:pStyle w:val="TAC"/>
            </w:pPr>
            <w:r w:rsidRPr="00DD3199">
              <w:t>18</w:t>
            </w:r>
            <w:r>
              <w:t xml:space="preserve"> (2.25ms)</w:t>
            </w:r>
          </w:p>
        </w:tc>
      </w:tr>
      <w:tr w:rsidR="002E799E" w:rsidRPr="00DD3199" w:rsidTr="00996F33">
        <w:trPr>
          <w:jc w:val="center"/>
        </w:trPr>
        <w:tc>
          <w:tcPr>
            <w:tcW w:w="5579" w:type="dxa"/>
            <w:gridSpan w:val="4"/>
            <w:shd w:val="clear" w:color="auto" w:fill="auto"/>
          </w:tcPr>
          <w:p w:rsidR="002E799E" w:rsidRPr="00DD3199" w:rsidRDefault="002E799E" w:rsidP="00996F33">
            <w:pPr>
              <w:pStyle w:val="TAN"/>
            </w:pPr>
            <w:r w:rsidRPr="00DD3199">
              <w:t>Note 1:</w:t>
            </w:r>
            <w:r w:rsidRPr="00DD3199">
              <w:tab/>
              <w:t>Depends on UE capability.</w:t>
            </w:r>
          </w:p>
          <w:p w:rsidR="002E799E" w:rsidRPr="00DD3199" w:rsidRDefault="002E799E" w:rsidP="00996F33">
            <w:pPr>
              <w:pStyle w:val="TAN"/>
            </w:pPr>
            <w:r w:rsidRPr="00DD3199">
              <w:t>Note 2:</w:t>
            </w:r>
            <w:r w:rsidRPr="00DD3199">
              <w:tab/>
              <w:t>If the BWP switch involves changing of SCS, the BWP switch delay is determined by the larger one between the SCS before BWP switch and the SCS after BWP switch.</w:t>
            </w:r>
          </w:p>
        </w:tc>
      </w:tr>
    </w:tbl>
    <w:p w:rsidR="005F09C4" w:rsidRDefault="005F09C4" w:rsidP="002E799E">
      <w:pPr>
        <w:pStyle w:val="ListParagraph"/>
        <w:ind w:left="1440"/>
        <w:rPr>
          <w:sz w:val="20"/>
          <w:szCs w:val="20"/>
          <w:lang w:val="en-US" w:eastAsia="zh-CN"/>
        </w:rPr>
      </w:pPr>
    </w:p>
    <w:p w:rsidR="002E799E" w:rsidRDefault="005F09C4" w:rsidP="002E799E">
      <w:pPr>
        <w:pStyle w:val="ListParagraph"/>
        <w:ind w:left="1440"/>
        <w:rPr>
          <w:sz w:val="20"/>
          <w:szCs w:val="20"/>
          <w:lang w:val="en-US" w:eastAsia="zh-CN"/>
        </w:rPr>
      </w:pPr>
      <w:r>
        <w:rPr>
          <w:sz w:val="20"/>
          <w:szCs w:val="20"/>
          <w:lang w:val="en-US" w:eastAsia="zh-CN"/>
        </w:rPr>
        <w:t>Legacy handover involves an interruption which is many orders of magnitude larger, on the other hand it is unlikely that the network would continue to schedule the UE during a legacy handover, whereas the network will expect to schedule the UE during a simultaneous RX/TX handover. Hence it seems appropriate to minimize interruption and there does not seem to be much justification for a longer interruption than in BWP switching delay. Hence we propose</w:t>
      </w:r>
    </w:p>
    <w:p w:rsidR="005F09C4" w:rsidRDefault="005F09C4" w:rsidP="002E799E">
      <w:pPr>
        <w:pStyle w:val="ListParagraph"/>
        <w:ind w:left="1440"/>
        <w:rPr>
          <w:b/>
          <w:sz w:val="20"/>
          <w:szCs w:val="20"/>
          <w:lang w:val="en-US" w:eastAsia="zh-CN"/>
        </w:rPr>
      </w:pPr>
      <w:r>
        <w:rPr>
          <w:b/>
          <w:sz w:val="20"/>
          <w:szCs w:val="20"/>
          <w:lang w:val="en-US" w:eastAsia="zh-CN"/>
        </w:rPr>
        <w:t xml:space="preserve">Proposal 1: The existing (R15) type1/2 capability also indicates the interruption capability during a simultaneous RX/TX intrafrequency </w:t>
      </w:r>
      <w:r w:rsidR="00AF5CC3">
        <w:rPr>
          <w:b/>
          <w:sz w:val="20"/>
          <w:szCs w:val="20"/>
          <w:lang w:val="en-US" w:eastAsia="zh-CN"/>
        </w:rPr>
        <w:t>case 1 handover for</w:t>
      </w:r>
      <w:r>
        <w:rPr>
          <w:b/>
          <w:sz w:val="20"/>
          <w:szCs w:val="20"/>
          <w:lang w:val="en-US" w:eastAsia="zh-CN"/>
        </w:rPr>
        <w:t xml:space="preserve"> UE which support simultaneous RX/TX handover</w:t>
      </w:r>
    </w:p>
    <w:p w:rsidR="00F71556" w:rsidRDefault="00F71556" w:rsidP="002E799E">
      <w:pPr>
        <w:pStyle w:val="ListParagraph"/>
        <w:ind w:left="1440"/>
        <w:rPr>
          <w:b/>
          <w:sz w:val="20"/>
          <w:szCs w:val="20"/>
          <w:lang w:val="en-US" w:eastAsia="zh-CN"/>
        </w:rPr>
      </w:pPr>
    </w:p>
    <w:p w:rsidR="00F71556" w:rsidRDefault="00F71556" w:rsidP="002E799E">
      <w:pPr>
        <w:pStyle w:val="ListParagraph"/>
        <w:ind w:left="1440"/>
        <w:rPr>
          <w:b/>
          <w:sz w:val="20"/>
          <w:szCs w:val="20"/>
          <w:lang w:val="en-US" w:eastAsia="zh-CN"/>
        </w:rPr>
      </w:pPr>
      <w:r>
        <w:rPr>
          <w:b/>
          <w:sz w:val="20"/>
          <w:szCs w:val="20"/>
          <w:lang w:val="en-US" w:eastAsia="zh-CN"/>
        </w:rPr>
        <w:t xml:space="preserve">Proposal 2: The requirements for interruption </w:t>
      </w:r>
      <w:r w:rsidR="00AF5CC3">
        <w:rPr>
          <w:b/>
          <w:sz w:val="20"/>
          <w:szCs w:val="20"/>
          <w:lang w:val="en-US" w:eastAsia="zh-CN"/>
        </w:rPr>
        <w:t xml:space="preserve">in case 1 </w:t>
      </w:r>
      <w:r>
        <w:rPr>
          <w:b/>
          <w:sz w:val="20"/>
          <w:szCs w:val="20"/>
          <w:lang w:val="en-US" w:eastAsia="zh-CN"/>
        </w:rPr>
        <w:t>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71556" w:rsidRPr="00DD3199" w:rsidTr="00996F33">
        <w:trPr>
          <w:trHeight w:val="305"/>
          <w:jc w:val="center"/>
        </w:trPr>
        <w:tc>
          <w:tcPr>
            <w:tcW w:w="649" w:type="dxa"/>
            <w:vMerge w:val="restart"/>
            <w:shd w:val="clear" w:color="auto" w:fill="auto"/>
            <w:vAlign w:val="center"/>
          </w:tcPr>
          <w:p w:rsidR="00F71556" w:rsidRPr="00DD3199" w:rsidRDefault="00F71556" w:rsidP="00996F33">
            <w:pPr>
              <w:pStyle w:val="TAH"/>
            </w:pPr>
            <w:r w:rsidRPr="00DD3199">
              <w:rPr>
                <w:noProof/>
                <w:lang w:val="en-US" w:eastAsia="zh-CN"/>
              </w:rPr>
              <w:drawing>
                <wp:inline distT="0" distB="0" distL="0" distR="0" wp14:anchorId="32B028B0" wp14:editId="2B15BAA9">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F71556" w:rsidRPr="00DD3199" w:rsidRDefault="00F71556" w:rsidP="00996F33">
            <w:pPr>
              <w:pStyle w:val="TAH"/>
            </w:pPr>
            <w:r w:rsidRPr="00DD3199">
              <w:t>NR Slot length (ms)</w:t>
            </w:r>
          </w:p>
        </w:tc>
        <w:tc>
          <w:tcPr>
            <w:tcW w:w="3938" w:type="dxa"/>
            <w:gridSpan w:val="2"/>
          </w:tcPr>
          <w:p w:rsidR="00F71556" w:rsidRPr="00DD3199" w:rsidRDefault="00F71556" w:rsidP="00996F33">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F71556" w:rsidRPr="00DD3199" w:rsidTr="00996F33">
        <w:trPr>
          <w:trHeight w:val="306"/>
          <w:jc w:val="center"/>
        </w:trPr>
        <w:tc>
          <w:tcPr>
            <w:tcW w:w="649" w:type="dxa"/>
            <w:vMerge/>
            <w:shd w:val="clear" w:color="auto" w:fill="auto"/>
            <w:vAlign w:val="center"/>
          </w:tcPr>
          <w:p w:rsidR="00F71556" w:rsidRPr="00DD3199" w:rsidRDefault="00F71556" w:rsidP="00996F33">
            <w:pPr>
              <w:pStyle w:val="TAH"/>
            </w:pPr>
          </w:p>
        </w:tc>
        <w:tc>
          <w:tcPr>
            <w:tcW w:w="992" w:type="dxa"/>
            <w:vMerge/>
          </w:tcPr>
          <w:p w:rsidR="00F71556" w:rsidRPr="00DD3199" w:rsidRDefault="00F71556" w:rsidP="00996F33">
            <w:pPr>
              <w:pStyle w:val="TAH"/>
            </w:pPr>
          </w:p>
        </w:tc>
        <w:tc>
          <w:tcPr>
            <w:tcW w:w="1969" w:type="dxa"/>
          </w:tcPr>
          <w:p w:rsidR="00F71556" w:rsidRPr="00DD3199" w:rsidRDefault="00F71556" w:rsidP="00996F33">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F71556" w:rsidRPr="00DD3199" w:rsidRDefault="00F71556" w:rsidP="00996F33">
            <w:pPr>
              <w:pStyle w:val="TAH"/>
              <w:rPr>
                <w:vertAlign w:val="superscript"/>
                <w:lang w:eastAsia="zh-CN"/>
              </w:rPr>
            </w:pPr>
            <w:r w:rsidRPr="00DD3199">
              <w:rPr>
                <w:lang w:eastAsia="zh-CN"/>
              </w:rPr>
              <w:t>Type 2</w:t>
            </w:r>
            <w:r w:rsidRPr="00DD3199">
              <w:rPr>
                <w:vertAlign w:val="superscript"/>
                <w:lang w:eastAsia="zh-CN"/>
              </w:rPr>
              <w:t>Note 1</w:t>
            </w:r>
          </w:p>
        </w:tc>
      </w:tr>
      <w:tr w:rsidR="00F71556" w:rsidRPr="00DD3199" w:rsidTr="00996F33">
        <w:trPr>
          <w:jc w:val="center"/>
        </w:trPr>
        <w:tc>
          <w:tcPr>
            <w:tcW w:w="649" w:type="dxa"/>
            <w:shd w:val="clear" w:color="auto" w:fill="auto"/>
          </w:tcPr>
          <w:p w:rsidR="00F71556" w:rsidRPr="00DD3199" w:rsidRDefault="00F71556" w:rsidP="00996F33">
            <w:pPr>
              <w:pStyle w:val="TAC"/>
            </w:pPr>
            <w:r w:rsidRPr="00DD3199">
              <w:t>0</w:t>
            </w:r>
          </w:p>
        </w:tc>
        <w:tc>
          <w:tcPr>
            <w:tcW w:w="992" w:type="dxa"/>
          </w:tcPr>
          <w:p w:rsidR="00F71556" w:rsidRPr="00DD3199" w:rsidRDefault="00F71556" w:rsidP="00996F33">
            <w:pPr>
              <w:pStyle w:val="TAC"/>
            </w:pPr>
            <w:r w:rsidRPr="00DD3199">
              <w:t>1</w:t>
            </w:r>
          </w:p>
        </w:tc>
        <w:tc>
          <w:tcPr>
            <w:tcW w:w="1969" w:type="dxa"/>
            <w:shd w:val="clear" w:color="auto" w:fill="auto"/>
          </w:tcPr>
          <w:p w:rsidR="00F71556" w:rsidRPr="00DD3199" w:rsidRDefault="00F71556" w:rsidP="00996F33">
            <w:pPr>
              <w:pStyle w:val="TAC"/>
            </w:pPr>
            <w:r w:rsidRPr="00DD3199">
              <w:t>1</w:t>
            </w:r>
            <w:r>
              <w:t xml:space="preserve"> </w:t>
            </w:r>
          </w:p>
        </w:tc>
        <w:tc>
          <w:tcPr>
            <w:tcW w:w="1969" w:type="dxa"/>
          </w:tcPr>
          <w:p w:rsidR="00F71556" w:rsidRPr="00DD3199" w:rsidRDefault="00F71556" w:rsidP="00996F33">
            <w:pPr>
              <w:pStyle w:val="TAC"/>
            </w:pPr>
            <w:r w:rsidRPr="00DD3199">
              <w:t>3</w:t>
            </w:r>
          </w:p>
        </w:tc>
      </w:tr>
      <w:tr w:rsidR="00F71556" w:rsidRPr="00DD3199" w:rsidTr="00996F33">
        <w:trPr>
          <w:jc w:val="center"/>
        </w:trPr>
        <w:tc>
          <w:tcPr>
            <w:tcW w:w="649" w:type="dxa"/>
            <w:shd w:val="clear" w:color="auto" w:fill="auto"/>
          </w:tcPr>
          <w:p w:rsidR="00F71556" w:rsidRPr="00DD3199" w:rsidRDefault="00F71556" w:rsidP="00996F33">
            <w:pPr>
              <w:pStyle w:val="TAC"/>
            </w:pPr>
            <w:r w:rsidRPr="00DD3199">
              <w:t>1</w:t>
            </w:r>
          </w:p>
        </w:tc>
        <w:tc>
          <w:tcPr>
            <w:tcW w:w="992" w:type="dxa"/>
          </w:tcPr>
          <w:p w:rsidR="00F71556" w:rsidRPr="00DD3199" w:rsidRDefault="00F71556" w:rsidP="00996F33">
            <w:pPr>
              <w:pStyle w:val="TAC"/>
            </w:pPr>
            <w:r w:rsidRPr="00DD3199">
              <w:t>0.5</w:t>
            </w:r>
          </w:p>
        </w:tc>
        <w:tc>
          <w:tcPr>
            <w:tcW w:w="1969" w:type="dxa"/>
            <w:shd w:val="clear" w:color="auto" w:fill="auto"/>
          </w:tcPr>
          <w:p w:rsidR="00F71556" w:rsidRPr="00DD3199" w:rsidRDefault="00F71556" w:rsidP="00996F33">
            <w:pPr>
              <w:pStyle w:val="TAC"/>
            </w:pPr>
            <w:r w:rsidRPr="00DD3199">
              <w:t>2</w:t>
            </w:r>
            <w:r>
              <w:t xml:space="preserve"> </w:t>
            </w:r>
          </w:p>
        </w:tc>
        <w:tc>
          <w:tcPr>
            <w:tcW w:w="1969" w:type="dxa"/>
          </w:tcPr>
          <w:p w:rsidR="00F71556" w:rsidRPr="00DD3199" w:rsidRDefault="00F71556" w:rsidP="00996F33">
            <w:pPr>
              <w:pStyle w:val="TAC"/>
            </w:pPr>
            <w:r w:rsidRPr="00DD3199">
              <w:t>5</w:t>
            </w:r>
          </w:p>
        </w:tc>
      </w:tr>
      <w:tr w:rsidR="00F71556" w:rsidRPr="00DD3199" w:rsidTr="00996F33">
        <w:trPr>
          <w:jc w:val="center"/>
        </w:trPr>
        <w:tc>
          <w:tcPr>
            <w:tcW w:w="649" w:type="dxa"/>
            <w:shd w:val="clear" w:color="auto" w:fill="auto"/>
          </w:tcPr>
          <w:p w:rsidR="00F71556" w:rsidRPr="00DD3199" w:rsidRDefault="00F71556" w:rsidP="00996F33">
            <w:pPr>
              <w:pStyle w:val="TAC"/>
            </w:pPr>
            <w:r w:rsidRPr="00DD3199">
              <w:t>2</w:t>
            </w:r>
          </w:p>
        </w:tc>
        <w:tc>
          <w:tcPr>
            <w:tcW w:w="992" w:type="dxa"/>
          </w:tcPr>
          <w:p w:rsidR="00F71556" w:rsidRPr="00DD3199" w:rsidRDefault="00F71556" w:rsidP="00996F33">
            <w:pPr>
              <w:pStyle w:val="TAC"/>
            </w:pPr>
            <w:r w:rsidRPr="00DD3199">
              <w:t>0.25</w:t>
            </w:r>
          </w:p>
        </w:tc>
        <w:tc>
          <w:tcPr>
            <w:tcW w:w="1969" w:type="dxa"/>
            <w:shd w:val="clear" w:color="auto" w:fill="auto"/>
          </w:tcPr>
          <w:p w:rsidR="00F71556" w:rsidRPr="00DD3199" w:rsidRDefault="00F71556" w:rsidP="00996F33">
            <w:pPr>
              <w:pStyle w:val="TAC"/>
            </w:pPr>
            <w:r w:rsidRPr="00DD3199">
              <w:t>3</w:t>
            </w:r>
            <w:r>
              <w:t xml:space="preserve"> </w:t>
            </w:r>
          </w:p>
        </w:tc>
        <w:tc>
          <w:tcPr>
            <w:tcW w:w="1969" w:type="dxa"/>
          </w:tcPr>
          <w:p w:rsidR="00F71556" w:rsidRPr="00DD3199" w:rsidRDefault="00F71556" w:rsidP="00996F33">
            <w:pPr>
              <w:pStyle w:val="TAC"/>
            </w:pPr>
            <w:r w:rsidRPr="00DD3199">
              <w:t>9</w:t>
            </w:r>
          </w:p>
        </w:tc>
      </w:tr>
      <w:tr w:rsidR="00F71556" w:rsidRPr="00DD3199" w:rsidTr="00996F33">
        <w:trPr>
          <w:jc w:val="center"/>
        </w:trPr>
        <w:tc>
          <w:tcPr>
            <w:tcW w:w="649" w:type="dxa"/>
            <w:shd w:val="clear" w:color="auto" w:fill="auto"/>
          </w:tcPr>
          <w:p w:rsidR="00F71556" w:rsidRPr="00DD3199" w:rsidRDefault="00F71556" w:rsidP="00996F33">
            <w:pPr>
              <w:pStyle w:val="TAC"/>
            </w:pPr>
            <w:r w:rsidRPr="00DD3199">
              <w:t>3</w:t>
            </w:r>
          </w:p>
        </w:tc>
        <w:tc>
          <w:tcPr>
            <w:tcW w:w="992" w:type="dxa"/>
          </w:tcPr>
          <w:p w:rsidR="00F71556" w:rsidRPr="00DD3199" w:rsidRDefault="00F71556" w:rsidP="00996F33">
            <w:pPr>
              <w:pStyle w:val="TAC"/>
            </w:pPr>
            <w:r w:rsidRPr="00DD3199">
              <w:t>0.125</w:t>
            </w:r>
          </w:p>
        </w:tc>
        <w:tc>
          <w:tcPr>
            <w:tcW w:w="1969" w:type="dxa"/>
            <w:shd w:val="clear" w:color="auto" w:fill="auto"/>
          </w:tcPr>
          <w:p w:rsidR="00F71556" w:rsidRPr="00DD3199" w:rsidRDefault="00F71556" w:rsidP="00996F33">
            <w:pPr>
              <w:pStyle w:val="TAC"/>
            </w:pPr>
            <w:r w:rsidRPr="00DD3199">
              <w:t>6</w:t>
            </w:r>
            <w:r>
              <w:t xml:space="preserve"> </w:t>
            </w:r>
          </w:p>
        </w:tc>
        <w:tc>
          <w:tcPr>
            <w:tcW w:w="1969" w:type="dxa"/>
          </w:tcPr>
          <w:p w:rsidR="00F71556" w:rsidRPr="00DD3199" w:rsidRDefault="00F71556" w:rsidP="00996F33">
            <w:pPr>
              <w:pStyle w:val="TAC"/>
            </w:pPr>
            <w:r w:rsidRPr="00DD3199">
              <w:t>18</w:t>
            </w:r>
          </w:p>
        </w:tc>
      </w:tr>
      <w:tr w:rsidR="00F71556" w:rsidRPr="00DD3199" w:rsidTr="00996F33">
        <w:trPr>
          <w:jc w:val="center"/>
        </w:trPr>
        <w:tc>
          <w:tcPr>
            <w:tcW w:w="5579" w:type="dxa"/>
            <w:gridSpan w:val="4"/>
            <w:shd w:val="clear" w:color="auto" w:fill="auto"/>
          </w:tcPr>
          <w:p w:rsidR="00F71556" w:rsidRPr="00DD3199" w:rsidRDefault="00F71556" w:rsidP="00996F33">
            <w:pPr>
              <w:pStyle w:val="TAN"/>
            </w:pPr>
            <w:r w:rsidRPr="00DD3199">
              <w:t>Note 1:</w:t>
            </w:r>
            <w:r w:rsidRPr="00DD3199">
              <w:tab/>
              <w:t>Depends on UE capability.</w:t>
            </w:r>
          </w:p>
          <w:p w:rsidR="00F71556" w:rsidRPr="00DD3199" w:rsidRDefault="00F71556" w:rsidP="00996F33">
            <w:pPr>
              <w:pStyle w:val="TAN"/>
            </w:pPr>
            <w:r w:rsidRPr="00DD3199">
              <w:t>Note 2:</w:t>
            </w:r>
            <w:r w:rsidRPr="00DD3199">
              <w:tab/>
              <w:t>If the BWP switch involves changing of SCS, the BWP switch delay is determined by the larger one between the SCS before BWP switch and the SCS after BWP switch.</w:t>
            </w:r>
          </w:p>
        </w:tc>
      </w:tr>
    </w:tbl>
    <w:p w:rsidR="00F71556" w:rsidRDefault="00F71556" w:rsidP="002E799E">
      <w:pPr>
        <w:pStyle w:val="ListParagraph"/>
        <w:ind w:left="1440"/>
        <w:rPr>
          <w:b/>
          <w:sz w:val="20"/>
          <w:szCs w:val="20"/>
          <w:lang w:val="en-US" w:eastAsia="zh-CN"/>
        </w:rPr>
      </w:pPr>
    </w:p>
    <w:p w:rsidR="00F71556" w:rsidRDefault="00AF5CC3" w:rsidP="00AF5CC3">
      <w:pPr>
        <w:pStyle w:val="ListParagraph"/>
        <w:numPr>
          <w:ilvl w:val="1"/>
          <w:numId w:val="45"/>
        </w:numPr>
        <w:rPr>
          <w:sz w:val="20"/>
          <w:szCs w:val="20"/>
          <w:lang w:val="en-US" w:eastAsia="zh-CN"/>
        </w:rPr>
      </w:pPr>
      <w:r w:rsidRPr="00AF5CC3">
        <w:rPr>
          <w:sz w:val="20"/>
          <w:szCs w:val="20"/>
          <w:lang w:val="en-US" w:eastAsia="zh-CN"/>
        </w:rPr>
        <w:t>Case 2</w:t>
      </w:r>
      <w:r>
        <w:rPr>
          <w:sz w:val="20"/>
          <w:szCs w:val="20"/>
          <w:lang w:val="en-US" w:eastAsia="zh-CN"/>
        </w:rPr>
        <w:t xml:space="preserve"> : Our view is that there should be no interruption for case 2 (source BW = target BW)</w:t>
      </w:r>
    </w:p>
    <w:p w:rsidR="00AF5CC3" w:rsidRDefault="00AF5CC3" w:rsidP="00AF5CC3">
      <w:pPr>
        <w:pStyle w:val="ListParagraph"/>
        <w:ind w:left="1440"/>
        <w:rPr>
          <w:b/>
          <w:sz w:val="20"/>
          <w:szCs w:val="20"/>
          <w:lang w:val="en-US" w:eastAsia="zh-CN"/>
        </w:rPr>
      </w:pPr>
      <w:r>
        <w:rPr>
          <w:b/>
          <w:sz w:val="20"/>
          <w:szCs w:val="20"/>
          <w:lang w:val="en-US" w:eastAsia="zh-CN"/>
        </w:rPr>
        <w:t>Proposal 3: No interruption is allowed for case 2 handover (source BW=target BW)</w:t>
      </w:r>
    </w:p>
    <w:p w:rsidR="00AF5CC3" w:rsidRPr="00AF5CC3" w:rsidRDefault="00AF5CC3" w:rsidP="00AF5CC3">
      <w:pPr>
        <w:pStyle w:val="ListParagraph"/>
        <w:numPr>
          <w:ilvl w:val="1"/>
          <w:numId w:val="45"/>
        </w:numPr>
        <w:rPr>
          <w:sz w:val="20"/>
          <w:szCs w:val="20"/>
          <w:lang w:val="en-US" w:eastAsia="zh-CN"/>
        </w:rPr>
      </w:pPr>
      <w:r>
        <w:rPr>
          <w:sz w:val="20"/>
          <w:szCs w:val="20"/>
          <w:lang w:val="en-US" w:eastAsia="zh-CN"/>
        </w:rPr>
        <w:t>Interfrequency HO interruptions are already agreed in the way forward so no additional agreement seems necessary</w:t>
      </w:r>
    </w:p>
    <w:p w:rsidR="00AF5CC3" w:rsidRPr="00276361" w:rsidRDefault="00AF5CC3" w:rsidP="00AF5CC3">
      <w:pPr>
        <w:pStyle w:val="Heading2"/>
        <w:rPr>
          <w:lang w:val="en-US" w:eastAsia="zh-CN"/>
        </w:rPr>
      </w:pPr>
      <w:r>
        <w:rPr>
          <w:lang w:val="en-US" w:eastAsia="zh-CN"/>
        </w:rPr>
        <w:t>Discussion of delay(2)</w:t>
      </w:r>
    </w:p>
    <w:p w:rsidR="00AF5CC3" w:rsidRDefault="00AF5CC3" w:rsidP="00AF5CC3">
      <w:pPr>
        <w:rPr>
          <w:lang w:val="en-US" w:eastAsia="zh-CN"/>
        </w:rPr>
      </w:pPr>
      <w:r>
        <w:rPr>
          <w:lang w:val="en-US" w:eastAsia="zh-CN"/>
        </w:rPr>
        <w:t xml:space="preserve">Delay(2) is a duration for which the UE monitors the source cell. The purpose of specifying delay(2) is to ensure that the UE does not drop the source cell too early, so the requirement which could apply during delay(2) is that the UE can be scheduled by the source cell. Since there may be an interruption during delay(1) a natural starting point for delay(2) is at the end of delay(1) although it could also be specified that delay(2) starts from the beginning of the RRC procedure delay provided that a similar allowance was made for interruption in delay(1) and delay(2). </w:t>
      </w:r>
    </w:p>
    <w:p w:rsidR="00AF5CC3" w:rsidRPr="00AF5CC3" w:rsidRDefault="00AF5CC3" w:rsidP="00AF5CC3">
      <w:pPr>
        <w:rPr>
          <w:b/>
          <w:lang w:val="en-US" w:eastAsia="zh-CN"/>
        </w:rPr>
      </w:pPr>
      <w:r w:rsidRPr="00AF5CC3">
        <w:rPr>
          <w:b/>
          <w:lang w:val="en-US" w:eastAsia="zh-CN"/>
        </w:rPr>
        <w:t xml:space="preserve">Proposal 4: The requirement during delay(2) </w:t>
      </w:r>
      <w:r>
        <w:rPr>
          <w:b/>
          <w:lang w:val="en-US" w:eastAsia="zh-CN"/>
        </w:rPr>
        <w:t>is that the UE may still be scheduled on the source cell</w:t>
      </w:r>
    </w:p>
    <w:p w:rsidR="00AF5CC3" w:rsidRDefault="00AF5CC3" w:rsidP="00AF5CC3">
      <w:pPr>
        <w:rPr>
          <w:b/>
          <w:lang w:val="en-US" w:eastAsia="zh-CN"/>
        </w:rPr>
      </w:pPr>
      <w:r>
        <w:rPr>
          <w:b/>
          <w:lang w:val="en-US" w:eastAsia="zh-CN"/>
        </w:rPr>
        <w:t xml:space="preserve">Proposal 5: Delay(2) starts from the end of delay(1) </w:t>
      </w:r>
      <w:r w:rsidR="00EF1EB7">
        <w:rPr>
          <w:b/>
          <w:lang w:val="en-US" w:eastAsia="zh-CN"/>
        </w:rPr>
        <w:t>i.e.</w:t>
      </w:r>
      <w:r>
        <w:rPr>
          <w:b/>
          <w:lang w:val="en-US" w:eastAsia="zh-CN"/>
        </w:rPr>
        <w:t xml:space="preserve"> the time that UE sends PRACH preamble to the target cell</w:t>
      </w:r>
    </w:p>
    <w:p w:rsidR="00AF5CC3" w:rsidRPr="00857978" w:rsidRDefault="00857978" w:rsidP="00AF5CC3">
      <w:pPr>
        <w:rPr>
          <w:lang w:val="en-US" w:eastAsia="zh-CN"/>
        </w:rPr>
      </w:pPr>
      <w:r w:rsidRPr="00857978">
        <w:rPr>
          <w:lang w:val="en-US" w:eastAsia="zh-CN"/>
        </w:rPr>
        <w:t>For</w:t>
      </w:r>
      <w:r>
        <w:rPr>
          <w:lang w:val="en-US" w:eastAsia="zh-CN"/>
        </w:rPr>
        <w:t xml:space="preserve"> the ending point of delay(2), this should be the point where the source cell is released. RAN2 has not agreed this yet, discussing that it could be when the RRC reconfiguration complete message is acknowledged, or source cell could be autonomously released by the UE, possibly with an indication sent to the network. Until this topic is concluded by RAN2 it does not make sense to discuss or define the ending point of delay(2) in RAN4</w:t>
      </w:r>
    </w:p>
    <w:p w:rsidR="00AF5CC3" w:rsidRPr="00AF5CC3" w:rsidRDefault="00AF5CC3" w:rsidP="00AF5CC3">
      <w:pPr>
        <w:rPr>
          <w:b/>
          <w:lang w:val="en-US" w:eastAsia="zh-CN"/>
        </w:rPr>
      </w:pPr>
    </w:p>
    <w:p w:rsidR="00AF5CC3" w:rsidRPr="00AF5CC3" w:rsidRDefault="00AF5CC3" w:rsidP="00AF5CC3">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lastRenderedPageBreak/>
        <w:t>Conclusions</w:t>
      </w:r>
    </w:p>
    <w:p w:rsidR="00857978" w:rsidRPr="00857978" w:rsidRDefault="00857978" w:rsidP="00857978">
      <w:pPr>
        <w:rPr>
          <w:b/>
          <w:lang w:val="en-US" w:eastAsia="zh-CN"/>
        </w:rPr>
      </w:pPr>
      <w:r w:rsidRPr="00857978">
        <w:rPr>
          <w:b/>
          <w:lang w:val="en-US" w:eastAsia="zh-CN"/>
        </w:rPr>
        <w:t>Proposal 1: The existing (R15) type1/2 capability also indicates the interruption capability during a simultaneous RX/TX intrafrequency case 1 handover for UE which support simultaneous RX/TX handover</w:t>
      </w:r>
    </w:p>
    <w:p w:rsidR="00857978" w:rsidRDefault="00857978" w:rsidP="00857978">
      <w:pPr>
        <w:pStyle w:val="ListParagraph"/>
        <w:ind w:left="1440"/>
        <w:rPr>
          <w:b/>
          <w:sz w:val="20"/>
          <w:szCs w:val="20"/>
          <w:lang w:val="en-US" w:eastAsia="zh-CN"/>
        </w:rPr>
      </w:pPr>
    </w:p>
    <w:p w:rsidR="00857978" w:rsidRPr="00857978" w:rsidRDefault="00857978" w:rsidP="00857978">
      <w:pPr>
        <w:rPr>
          <w:b/>
          <w:lang w:val="en-US" w:eastAsia="zh-CN"/>
        </w:rPr>
      </w:pPr>
      <w:r w:rsidRPr="00857978">
        <w:rPr>
          <w:b/>
          <w:lang w:val="en-US" w:eastAsia="zh-CN"/>
        </w:rPr>
        <w:t>Proposal 2: The requirements for interruption in case 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57978" w:rsidRPr="00DD3199" w:rsidTr="00996F33">
        <w:trPr>
          <w:trHeight w:val="305"/>
          <w:jc w:val="center"/>
        </w:trPr>
        <w:tc>
          <w:tcPr>
            <w:tcW w:w="649" w:type="dxa"/>
            <w:vMerge w:val="restart"/>
            <w:shd w:val="clear" w:color="auto" w:fill="auto"/>
            <w:vAlign w:val="center"/>
          </w:tcPr>
          <w:p w:rsidR="00857978" w:rsidRPr="00DD3199" w:rsidRDefault="00857978" w:rsidP="00996F33">
            <w:pPr>
              <w:pStyle w:val="TAH"/>
            </w:pPr>
            <w:r w:rsidRPr="00DD3199">
              <w:rPr>
                <w:noProof/>
                <w:lang w:val="en-US" w:eastAsia="zh-CN"/>
              </w:rPr>
              <w:drawing>
                <wp:inline distT="0" distB="0" distL="0" distR="0" wp14:anchorId="10839E26" wp14:editId="2456E043">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57978" w:rsidRPr="00DD3199" w:rsidRDefault="00857978" w:rsidP="00996F33">
            <w:pPr>
              <w:pStyle w:val="TAH"/>
            </w:pPr>
            <w:r w:rsidRPr="00DD3199">
              <w:t>NR Slot length (ms)</w:t>
            </w:r>
          </w:p>
        </w:tc>
        <w:tc>
          <w:tcPr>
            <w:tcW w:w="3938" w:type="dxa"/>
            <w:gridSpan w:val="2"/>
          </w:tcPr>
          <w:p w:rsidR="00857978" w:rsidRPr="00DD3199" w:rsidRDefault="00857978" w:rsidP="00996F33">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857978" w:rsidRPr="00DD3199" w:rsidTr="00996F33">
        <w:trPr>
          <w:trHeight w:val="306"/>
          <w:jc w:val="center"/>
        </w:trPr>
        <w:tc>
          <w:tcPr>
            <w:tcW w:w="649" w:type="dxa"/>
            <w:vMerge/>
            <w:shd w:val="clear" w:color="auto" w:fill="auto"/>
            <w:vAlign w:val="center"/>
          </w:tcPr>
          <w:p w:rsidR="00857978" w:rsidRPr="00DD3199" w:rsidRDefault="00857978" w:rsidP="00996F33">
            <w:pPr>
              <w:pStyle w:val="TAH"/>
            </w:pPr>
          </w:p>
        </w:tc>
        <w:tc>
          <w:tcPr>
            <w:tcW w:w="992" w:type="dxa"/>
            <w:vMerge/>
          </w:tcPr>
          <w:p w:rsidR="00857978" w:rsidRPr="00DD3199" w:rsidRDefault="00857978" w:rsidP="00996F33">
            <w:pPr>
              <w:pStyle w:val="TAH"/>
            </w:pPr>
          </w:p>
        </w:tc>
        <w:tc>
          <w:tcPr>
            <w:tcW w:w="1969" w:type="dxa"/>
          </w:tcPr>
          <w:p w:rsidR="00857978" w:rsidRPr="00DD3199" w:rsidRDefault="00857978" w:rsidP="00996F33">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857978" w:rsidRPr="00DD3199" w:rsidRDefault="00857978" w:rsidP="00996F33">
            <w:pPr>
              <w:pStyle w:val="TAH"/>
              <w:rPr>
                <w:vertAlign w:val="superscript"/>
                <w:lang w:eastAsia="zh-CN"/>
              </w:rPr>
            </w:pPr>
            <w:r w:rsidRPr="00DD3199">
              <w:rPr>
                <w:lang w:eastAsia="zh-CN"/>
              </w:rPr>
              <w:t>Type 2</w:t>
            </w:r>
            <w:r w:rsidRPr="00DD3199">
              <w:rPr>
                <w:vertAlign w:val="superscript"/>
                <w:lang w:eastAsia="zh-CN"/>
              </w:rPr>
              <w:t>Note 1</w:t>
            </w:r>
          </w:p>
        </w:tc>
      </w:tr>
      <w:tr w:rsidR="00857978" w:rsidRPr="00DD3199" w:rsidTr="00996F33">
        <w:trPr>
          <w:jc w:val="center"/>
        </w:trPr>
        <w:tc>
          <w:tcPr>
            <w:tcW w:w="649" w:type="dxa"/>
            <w:shd w:val="clear" w:color="auto" w:fill="auto"/>
          </w:tcPr>
          <w:p w:rsidR="00857978" w:rsidRPr="00DD3199" w:rsidRDefault="00857978" w:rsidP="00996F33">
            <w:pPr>
              <w:pStyle w:val="TAC"/>
            </w:pPr>
            <w:r w:rsidRPr="00DD3199">
              <w:t>0</w:t>
            </w:r>
          </w:p>
        </w:tc>
        <w:tc>
          <w:tcPr>
            <w:tcW w:w="992" w:type="dxa"/>
          </w:tcPr>
          <w:p w:rsidR="00857978" w:rsidRPr="00DD3199" w:rsidRDefault="00857978" w:rsidP="00996F33">
            <w:pPr>
              <w:pStyle w:val="TAC"/>
            </w:pPr>
            <w:r w:rsidRPr="00DD3199">
              <w:t>1</w:t>
            </w:r>
          </w:p>
        </w:tc>
        <w:tc>
          <w:tcPr>
            <w:tcW w:w="1969" w:type="dxa"/>
            <w:shd w:val="clear" w:color="auto" w:fill="auto"/>
          </w:tcPr>
          <w:p w:rsidR="00857978" w:rsidRPr="00DD3199" w:rsidRDefault="00857978" w:rsidP="00996F33">
            <w:pPr>
              <w:pStyle w:val="TAC"/>
            </w:pPr>
            <w:r w:rsidRPr="00DD3199">
              <w:t>1</w:t>
            </w:r>
            <w:r>
              <w:t xml:space="preserve"> </w:t>
            </w:r>
          </w:p>
        </w:tc>
        <w:tc>
          <w:tcPr>
            <w:tcW w:w="1969" w:type="dxa"/>
          </w:tcPr>
          <w:p w:rsidR="00857978" w:rsidRPr="00DD3199" w:rsidRDefault="00857978" w:rsidP="00996F33">
            <w:pPr>
              <w:pStyle w:val="TAC"/>
            </w:pPr>
            <w:r w:rsidRPr="00DD3199">
              <w:t>3</w:t>
            </w:r>
          </w:p>
        </w:tc>
      </w:tr>
      <w:tr w:rsidR="00857978" w:rsidRPr="00DD3199" w:rsidTr="00996F33">
        <w:trPr>
          <w:jc w:val="center"/>
        </w:trPr>
        <w:tc>
          <w:tcPr>
            <w:tcW w:w="649" w:type="dxa"/>
            <w:shd w:val="clear" w:color="auto" w:fill="auto"/>
          </w:tcPr>
          <w:p w:rsidR="00857978" w:rsidRPr="00DD3199" w:rsidRDefault="00857978" w:rsidP="00996F33">
            <w:pPr>
              <w:pStyle w:val="TAC"/>
            </w:pPr>
            <w:r w:rsidRPr="00DD3199">
              <w:t>1</w:t>
            </w:r>
          </w:p>
        </w:tc>
        <w:tc>
          <w:tcPr>
            <w:tcW w:w="992" w:type="dxa"/>
          </w:tcPr>
          <w:p w:rsidR="00857978" w:rsidRPr="00DD3199" w:rsidRDefault="00857978" w:rsidP="00996F33">
            <w:pPr>
              <w:pStyle w:val="TAC"/>
            </w:pPr>
            <w:r w:rsidRPr="00DD3199">
              <w:t>0.5</w:t>
            </w:r>
          </w:p>
        </w:tc>
        <w:tc>
          <w:tcPr>
            <w:tcW w:w="1969" w:type="dxa"/>
            <w:shd w:val="clear" w:color="auto" w:fill="auto"/>
          </w:tcPr>
          <w:p w:rsidR="00857978" w:rsidRPr="00DD3199" w:rsidRDefault="00857978" w:rsidP="00996F33">
            <w:pPr>
              <w:pStyle w:val="TAC"/>
            </w:pPr>
            <w:r w:rsidRPr="00DD3199">
              <w:t>2</w:t>
            </w:r>
            <w:r>
              <w:t xml:space="preserve"> </w:t>
            </w:r>
          </w:p>
        </w:tc>
        <w:tc>
          <w:tcPr>
            <w:tcW w:w="1969" w:type="dxa"/>
          </w:tcPr>
          <w:p w:rsidR="00857978" w:rsidRPr="00DD3199" w:rsidRDefault="00857978" w:rsidP="00996F33">
            <w:pPr>
              <w:pStyle w:val="TAC"/>
            </w:pPr>
            <w:r w:rsidRPr="00DD3199">
              <w:t>5</w:t>
            </w:r>
          </w:p>
        </w:tc>
      </w:tr>
      <w:tr w:rsidR="00857978" w:rsidRPr="00DD3199" w:rsidTr="00996F33">
        <w:trPr>
          <w:jc w:val="center"/>
        </w:trPr>
        <w:tc>
          <w:tcPr>
            <w:tcW w:w="649" w:type="dxa"/>
            <w:shd w:val="clear" w:color="auto" w:fill="auto"/>
          </w:tcPr>
          <w:p w:rsidR="00857978" w:rsidRPr="00DD3199" w:rsidRDefault="00857978" w:rsidP="00996F33">
            <w:pPr>
              <w:pStyle w:val="TAC"/>
            </w:pPr>
            <w:r w:rsidRPr="00DD3199">
              <w:t>2</w:t>
            </w:r>
          </w:p>
        </w:tc>
        <w:tc>
          <w:tcPr>
            <w:tcW w:w="992" w:type="dxa"/>
          </w:tcPr>
          <w:p w:rsidR="00857978" w:rsidRPr="00DD3199" w:rsidRDefault="00857978" w:rsidP="00996F33">
            <w:pPr>
              <w:pStyle w:val="TAC"/>
            </w:pPr>
            <w:r w:rsidRPr="00DD3199">
              <w:t>0.25</w:t>
            </w:r>
          </w:p>
        </w:tc>
        <w:tc>
          <w:tcPr>
            <w:tcW w:w="1969" w:type="dxa"/>
            <w:shd w:val="clear" w:color="auto" w:fill="auto"/>
          </w:tcPr>
          <w:p w:rsidR="00857978" w:rsidRPr="00DD3199" w:rsidRDefault="00857978" w:rsidP="00996F33">
            <w:pPr>
              <w:pStyle w:val="TAC"/>
            </w:pPr>
            <w:r w:rsidRPr="00DD3199">
              <w:t>3</w:t>
            </w:r>
            <w:r>
              <w:t xml:space="preserve"> </w:t>
            </w:r>
          </w:p>
        </w:tc>
        <w:tc>
          <w:tcPr>
            <w:tcW w:w="1969" w:type="dxa"/>
          </w:tcPr>
          <w:p w:rsidR="00857978" w:rsidRPr="00DD3199" w:rsidRDefault="00857978" w:rsidP="00996F33">
            <w:pPr>
              <w:pStyle w:val="TAC"/>
            </w:pPr>
            <w:r w:rsidRPr="00DD3199">
              <w:t>9</w:t>
            </w:r>
          </w:p>
        </w:tc>
      </w:tr>
      <w:tr w:rsidR="00857978" w:rsidRPr="00DD3199" w:rsidTr="00996F33">
        <w:trPr>
          <w:jc w:val="center"/>
        </w:trPr>
        <w:tc>
          <w:tcPr>
            <w:tcW w:w="649" w:type="dxa"/>
            <w:shd w:val="clear" w:color="auto" w:fill="auto"/>
          </w:tcPr>
          <w:p w:rsidR="00857978" w:rsidRPr="00DD3199" w:rsidRDefault="00857978" w:rsidP="00996F33">
            <w:pPr>
              <w:pStyle w:val="TAC"/>
            </w:pPr>
            <w:r w:rsidRPr="00DD3199">
              <w:t>3</w:t>
            </w:r>
          </w:p>
        </w:tc>
        <w:tc>
          <w:tcPr>
            <w:tcW w:w="992" w:type="dxa"/>
          </w:tcPr>
          <w:p w:rsidR="00857978" w:rsidRPr="00DD3199" w:rsidRDefault="00857978" w:rsidP="00996F33">
            <w:pPr>
              <w:pStyle w:val="TAC"/>
            </w:pPr>
            <w:r w:rsidRPr="00DD3199">
              <w:t>0.125</w:t>
            </w:r>
          </w:p>
        </w:tc>
        <w:tc>
          <w:tcPr>
            <w:tcW w:w="1969" w:type="dxa"/>
            <w:shd w:val="clear" w:color="auto" w:fill="auto"/>
          </w:tcPr>
          <w:p w:rsidR="00857978" w:rsidRPr="00DD3199" w:rsidRDefault="00857978" w:rsidP="00996F33">
            <w:pPr>
              <w:pStyle w:val="TAC"/>
            </w:pPr>
            <w:r w:rsidRPr="00DD3199">
              <w:t>6</w:t>
            </w:r>
            <w:r>
              <w:t xml:space="preserve"> </w:t>
            </w:r>
          </w:p>
        </w:tc>
        <w:tc>
          <w:tcPr>
            <w:tcW w:w="1969" w:type="dxa"/>
          </w:tcPr>
          <w:p w:rsidR="00857978" w:rsidRPr="00DD3199" w:rsidRDefault="00857978" w:rsidP="00996F33">
            <w:pPr>
              <w:pStyle w:val="TAC"/>
            </w:pPr>
            <w:r w:rsidRPr="00DD3199">
              <w:t>18</w:t>
            </w:r>
          </w:p>
        </w:tc>
      </w:tr>
      <w:tr w:rsidR="00857978" w:rsidRPr="00DD3199" w:rsidTr="00996F33">
        <w:trPr>
          <w:jc w:val="center"/>
        </w:trPr>
        <w:tc>
          <w:tcPr>
            <w:tcW w:w="5579" w:type="dxa"/>
            <w:gridSpan w:val="4"/>
            <w:shd w:val="clear" w:color="auto" w:fill="auto"/>
          </w:tcPr>
          <w:p w:rsidR="00857978" w:rsidRPr="00DD3199" w:rsidRDefault="00857978" w:rsidP="00996F33">
            <w:pPr>
              <w:pStyle w:val="TAN"/>
            </w:pPr>
            <w:r w:rsidRPr="00DD3199">
              <w:t>Note 1:</w:t>
            </w:r>
            <w:r w:rsidRPr="00DD3199">
              <w:tab/>
              <w:t>Depends on UE capability.</w:t>
            </w:r>
          </w:p>
          <w:p w:rsidR="00857978" w:rsidRPr="00DD3199" w:rsidRDefault="00857978" w:rsidP="00996F33">
            <w:pPr>
              <w:pStyle w:val="TAN"/>
            </w:pPr>
            <w:r w:rsidRPr="00DD3199">
              <w:t>Note 2:</w:t>
            </w:r>
            <w:r w:rsidRPr="00DD3199">
              <w:tab/>
              <w:t>If the BWP switch involves changing of SCS, the BWP switch delay is determined by the larger one between the SCS before BWP switch and the SCS after BWP switch.</w:t>
            </w:r>
          </w:p>
        </w:tc>
      </w:tr>
    </w:tbl>
    <w:p w:rsidR="00857978" w:rsidRDefault="00857978" w:rsidP="00857978">
      <w:pPr>
        <w:pStyle w:val="ListParagraph"/>
        <w:ind w:left="1440"/>
        <w:rPr>
          <w:b/>
          <w:sz w:val="20"/>
          <w:szCs w:val="20"/>
          <w:lang w:val="en-US" w:eastAsia="zh-CN"/>
        </w:rPr>
      </w:pPr>
    </w:p>
    <w:p w:rsidR="00857978" w:rsidRPr="00857978" w:rsidRDefault="00857978" w:rsidP="00857978">
      <w:pPr>
        <w:rPr>
          <w:b/>
          <w:lang w:val="en-US" w:eastAsia="zh-CN"/>
        </w:rPr>
      </w:pPr>
      <w:r w:rsidRPr="00857978">
        <w:rPr>
          <w:b/>
          <w:lang w:val="en-US" w:eastAsia="zh-CN"/>
        </w:rPr>
        <w:t>Proposal 3: No interruption is allowed for case 2 handover (source BW=target BW)</w:t>
      </w:r>
    </w:p>
    <w:p w:rsidR="00857978" w:rsidRPr="00AF5CC3" w:rsidRDefault="00857978" w:rsidP="00857978">
      <w:pPr>
        <w:rPr>
          <w:b/>
          <w:lang w:val="en-US" w:eastAsia="zh-CN"/>
        </w:rPr>
      </w:pPr>
      <w:r w:rsidRPr="00AF5CC3">
        <w:rPr>
          <w:b/>
          <w:lang w:val="en-US" w:eastAsia="zh-CN"/>
        </w:rPr>
        <w:t xml:space="preserve">Proposal 4: The requirement during delay(2) </w:t>
      </w:r>
      <w:r>
        <w:rPr>
          <w:b/>
          <w:lang w:val="en-US" w:eastAsia="zh-CN"/>
        </w:rPr>
        <w:t>is that the UE may still be scheduled on the source cell</w:t>
      </w:r>
    </w:p>
    <w:p w:rsidR="00857978" w:rsidRDefault="00857978" w:rsidP="00857978">
      <w:pPr>
        <w:rPr>
          <w:b/>
          <w:lang w:val="en-US" w:eastAsia="zh-CN"/>
        </w:rPr>
      </w:pPr>
      <w:r>
        <w:rPr>
          <w:b/>
          <w:lang w:val="en-US" w:eastAsia="zh-CN"/>
        </w:rPr>
        <w:t xml:space="preserve">Proposal 5: Delay(2) starts from the end of delay(1) </w:t>
      </w:r>
      <w:r w:rsidR="00EF1EB7">
        <w:rPr>
          <w:b/>
          <w:lang w:val="en-US" w:eastAsia="zh-CN"/>
        </w:rPr>
        <w:t>i.e.</w:t>
      </w:r>
      <w:r>
        <w:rPr>
          <w:b/>
          <w:lang w:val="en-US" w:eastAsia="zh-CN"/>
        </w:rPr>
        <w:t xml:space="preserve"> the time that UE sends PRACH preamble to the target cell</w:t>
      </w:r>
    </w:p>
    <w:p w:rsidR="00367330" w:rsidRPr="00857978" w:rsidRDefault="00857978" w:rsidP="00367330">
      <w:pPr>
        <w:rPr>
          <w:lang w:val="en-US" w:eastAsia="zh-CN"/>
        </w:rPr>
      </w:pPr>
      <w:r w:rsidRPr="00857978">
        <w:rPr>
          <w:lang w:val="en-US" w:eastAsia="zh-CN"/>
        </w:rPr>
        <w:t>As RAN2</w:t>
      </w:r>
      <w:r>
        <w:rPr>
          <w:lang w:val="en-US" w:eastAsia="zh-CN"/>
        </w:rPr>
        <w:t xml:space="preserve"> has not decided the condition for source cell release, it does not make sense to discuss the ending point of delay(2) in RAN4.</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076136" w:rsidP="000E35CC">
      <w:pPr>
        <w:pStyle w:val="3GPPNormalText"/>
        <w:numPr>
          <w:ilvl w:val="0"/>
          <w:numId w:val="5"/>
        </w:numPr>
        <w:rPr>
          <w:szCs w:val="20"/>
          <w:lang w:eastAsia="zh-CN"/>
        </w:rPr>
      </w:pPr>
      <w:r>
        <w:rPr>
          <w:szCs w:val="20"/>
          <w:lang w:eastAsia="zh-CN"/>
        </w:rPr>
        <w:t>R4-1911041, “</w:t>
      </w:r>
      <w:r w:rsidRPr="00076136">
        <w:rPr>
          <w:szCs w:val="20"/>
          <w:lang w:val="en-GB" w:eastAsia="zh-CN"/>
        </w:rPr>
        <w:t>Way forward on NR mobility enhancement</w:t>
      </w:r>
      <w:r>
        <w:rPr>
          <w:szCs w:val="20"/>
          <w:lang w:eastAsia="zh-CN"/>
        </w:rPr>
        <w:t>”, Intel</w:t>
      </w:r>
    </w:p>
    <w:sectPr w:rsidR="003F08E6"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2D7" w:rsidRDefault="00C652D7">
      <w:r>
        <w:separator/>
      </w:r>
    </w:p>
  </w:endnote>
  <w:endnote w:type="continuationSeparator" w:id="0">
    <w:p w:rsidR="00C652D7" w:rsidRDefault="00C6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2D7" w:rsidRDefault="00C652D7">
      <w:r>
        <w:separator/>
      </w:r>
    </w:p>
  </w:footnote>
  <w:footnote w:type="continuationSeparator" w:id="0">
    <w:p w:rsidR="00C652D7" w:rsidRDefault="00C65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013BB"/>
    <w:multiLevelType w:val="hybridMultilevel"/>
    <w:tmpl w:val="46B4E766"/>
    <w:lvl w:ilvl="0" w:tplc="F08E4144">
      <w:start w:val="1"/>
      <w:numFmt w:val="bullet"/>
      <w:lvlText w:val="•"/>
      <w:lvlJc w:val="left"/>
      <w:pPr>
        <w:tabs>
          <w:tab w:val="num" w:pos="720"/>
        </w:tabs>
        <w:ind w:left="720" w:hanging="360"/>
      </w:pPr>
      <w:rPr>
        <w:rFonts w:ascii="Arial" w:hAnsi="Arial" w:hint="default"/>
      </w:rPr>
    </w:lvl>
    <w:lvl w:ilvl="1" w:tplc="46966FDC" w:tentative="1">
      <w:start w:val="1"/>
      <w:numFmt w:val="bullet"/>
      <w:lvlText w:val="•"/>
      <w:lvlJc w:val="left"/>
      <w:pPr>
        <w:tabs>
          <w:tab w:val="num" w:pos="1440"/>
        </w:tabs>
        <w:ind w:left="1440" w:hanging="360"/>
      </w:pPr>
      <w:rPr>
        <w:rFonts w:ascii="Arial" w:hAnsi="Arial" w:hint="default"/>
      </w:rPr>
    </w:lvl>
    <w:lvl w:ilvl="2" w:tplc="A598439E" w:tentative="1">
      <w:start w:val="1"/>
      <w:numFmt w:val="bullet"/>
      <w:lvlText w:val="•"/>
      <w:lvlJc w:val="left"/>
      <w:pPr>
        <w:tabs>
          <w:tab w:val="num" w:pos="2160"/>
        </w:tabs>
        <w:ind w:left="2160" w:hanging="360"/>
      </w:pPr>
      <w:rPr>
        <w:rFonts w:ascii="Arial" w:hAnsi="Arial" w:hint="default"/>
      </w:rPr>
    </w:lvl>
    <w:lvl w:ilvl="3" w:tplc="65749DFC" w:tentative="1">
      <w:start w:val="1"/>
      <w:numFmt w:val="bullet"/>
      <w:lvlText w:val="•"/>
      <w:lvlJc w:val="left"/>
      <w:pPr>
        <w:tabs>
          <w:tab w:val="num" w:pos="2880"/>
        </w:tabs>
        <w:ind w:left="2880" w:hanging="360"/>
      </w:pPr>
      <w:rPr>
        <w:rFonts w:ascii="Arial" w:hAnsi="Arial" w:hint="default"/>
      </w:rPr>
    </w:lvl>
    <w:lvl w:ilvl="4" w:tplc="5D7E465E" w:tentative="1">
      <w:start w:val="1"/>
      <w:numFmt w:val="bullet"/>
      <w:lvlText w:val="•"/>
      <w:lvlJc w:val="left"/>
      <w:pPr>
        <w:tabs>
          <w:tab w:val="num" w:pos="3600"/>
        </w:tabs>
        <w:ind w:left="3600" w:hanging="360"/>
      </w:pPr>
      <w:rPr>
        <w:rFonts w:ascii="Arial" w:hAnsi="Arial" w:hint="default"/>
      </w:rPr>
    </w:lvl>
    <w:lvl w:ilvl="5" w:tplc="16C85334" w:tentative="1">
      <w:start w:val="1"/>
      <w:numFmt w:val="bullet"/>
      <w:lvlText w:val="•"/>
      <w:lvlJc w:val="left"/>
      <w:pPr>
        <w:tabs>
          <w:tab w:val="num" w:pos="4320"/>
        </w:tabs>
        <w:ind w:left="4320" w:hanging="360"/>
      </w:pPr>
      <w:rPr>
        <w:rFonts w:ascii="Arial" w:hAnsi="Arial" w:hint="default"/>
      </w:rPr>
    </w:lvl>
    <w:lvl w:ilvl="6" w:tplc="52E81C90" w:tentative="1">
      <w:start w:val="1"/>
      <w:numFmt w:val="bullet"/>
      <w:lvlText w:val="•"/>
      <w:lvlJc w:val="left"/>
      <w:pPr>
        <w:tabs>
          <w:tab w:val="num" w:pos="5040"/>
        </w:tabs>
        <w:ind w:left="5040" w:hanging="360"/>
      </w:pPr>
      <w:rPr>
        <w:rFonts w:ascii="Arial" w:hAnsi="Arial" w:hint="default"/>
      </w:rPr>
    </w:lvl>
    <w:lvl w:ilvl="7" w:tplc="42202036" w:tentative="1">
      <w:start w:val="1"/>
      <w:numFmt w:val="bullet"/>
      <w:lvlText w:val="•"/>
      <w:lvlJc w:val="left"/>
      <w:pPr>
        <w:tabs>
          <w:tab w:val="num" w:pos="5760"/>
        </w:tabs>
        <w:ind w:left="5760" w:hanging="360"/>
      </w:pPr>
      <w:rPr>
        <w:rFonts w:ascii="Arial" w:hAnsi="Arial" w:hint="default"/>
      </w:rPr>
    </w:lvl>
    <w:lvl w:ilvl="8" w:tplc="FADEC3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02E8C"/>
    <w:multiLevelType w:val="hybridMultilevel"/>
    <w:tmpl w:val="E6E0B5DE"/>
    <w:lvl w:ilvl="0" w:tplc="ACBC3D9E">
      <w:start w:val="1"/>
      <w:numFmt w:val="bullet"/>
      <w:lvlText w:val="•"/>
      <w:lvlJc w:val="left"/>
      <w:pPr>
        <w:tabs>
          <w:tab w:val="num" w:pos="720"/>
        </w:tabs>
        <w:ind w:left="720" w:hanging="360"/>
      </w:pPr>
      <w:rPr>
        <w:rFonts w:ascii="Arial" w:hAnsi="Arial" w:hint="default"/>
      </w:rPr>
    </w:lvl>
    <w:lvl w:ilvl="1" w:tplc="62EC7006" w:tentative="1">
      <w:start w:val="1"/>
      <w:numFmt w:val="bullet"/>
      <w:lvlText w:val="•"/>
      <w:lvlJc w:val="left"/>
      <w:pPr>
        <w:tabs>
          <w:tab w:val="num" w:pos="1440"/>
        </w:tabs>
        <w:ind w:left="1440" w:hanging="360"/>
      </w:pPr>
      <w:rPr>
        <w:rFonts w:ascii="Arial" w:hAnsi="Arial" w:hint="default"/>
      </w:rPr>
    </w:lvl>
    <w:lvl w:ilvl="2" w:tplc="12605EB6" w:tentative="1">
      <w:start w:val="1"/>
      <w:numFmt w:val="bullet"/>
      <w:lvlText w:val="•"/>
      <w:lvlJc w:val="left"/>
      <w:pPr>
        <w:tabs>
          <w:tab w:val="num" w:pos="2160"/>
        </w:tabs>
        <w:ind w:left="2160" w:hanging="360"/>
      </w:pPr>
      <w:rPr>
        <w:rFonts w:ascii="Arial" w:hAnsi="Arial" w:hint="default"/>
      </w:rPr>
    </w:lvl>
    <w:lvl w:ilvl="3" w:tplc="F998FD54" w:tentative="1">
      <w:start w:val="1"/>
      <w:numFmt w:val="bullet"/>
      <w:lvlText w:val="•"/>
      <w:lvlJc w:val="left"/>
      <w:pPr>
        <w:tabs>
          <w:tab w:val="num" w:pos="2880"/>
        </w:tabs>
        <w:ind w:left="2880" w:hanging="360"/>
      </w:pPr>
      <w:rPr>
        <w:rFonts w:ascii="Arial" w:hAnsi="Arial" w:hint="default"/>
      </w:rPr>
    </w:lvl>
    <w:lvl w:ilvl="4" w:tplc="11FEAED6" w:tentative="1">
      <w:start w:val="1"/>
      <w:numFmt w:val="bullet"/>
      <w:lvlText w:val="•"/>
      <w:lvlJc w:val="left"/>
      <w:pPr>
        <w:tabs>
          <w:tab w:val="num" w:pos="3600"/>
        </w:tabs>
        <w:ind w:left="3600" w:hanging="360"/>
      </w:pPr>
      <w:rPr>
        <w:rFonts w:ascii="Arial" w:hAnsi="Arial" w:hint="default"/>
      </w:rPr>
    </w:lvl>
    <w:lvl w:ilvl="5" w:tplc="D2C0C49E" w:tentative="1">
      <w:start w:val="1"/>
      <w:numFmt w:val="bullet"/>
      <w:lvlText w:val="•"/>
      <w:lvlJc w:val="left"/>
      <w:pPr>
        <w:tabs>
          <w:tab w:val="num" w:pos="4320"/>
        </w:tabs>
        <w:ind w:left="4320" w:hanging="360"/>
      </w:pPr>
      <w:rPr>
        <w:rFonts w:ascii="Arial" w:hAnsi="Arial" w:hint="default"/>
      </w:rPr>
    </w:lvl>
    <w:lvl w:ilvl="6" w:tplc="528057B0" w:tentative="1">
      <w:start w:val="1"/>
      <w:numFmt w:val="bullet"/>
      <w:lvlText w:val="•"/>
      <w:lvlJc w:val="left"/>
      <w:pPr>
        <w:tabs>
          <w:tab w:val="num" w:pos="5040"/>
        </w:tabs>
        <w:ind w:left="5040" w:hanging="360"/>
      </w:pPr>
      <w:rPr>
        <w:rFonts w:ascii="Arial" w:hAnsi="Arial" w:hint="default"/>
      </w:rPr>
    </w:lvl>
    <w:lvl w:ilvl="7" w:tplc="7202446E" w:tentative="1">
      <w:start w:val="1"/>
      <w:numFmt w:val="bullet"/>
      <w:lvlText w:val="•"/>
      <w:lvlJc w:val="left"/>
      <w:pPr>
        <w:tabs>
          <w:tab w:val="num" w:pos="5760"/>
        </w:tabs>
        <w:ind w:left="5760" w:hanging="360"/>
      </w:pPr>
      <w:rPr>
        <w:rFonts w:ascii="Arial" w:hAnsi="Arial" w:hint="default"/>
      </w:rPr>
    </w:lvl>
    <w:lvl w:ilvl="8" w:tplc="AA5887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931A2"/>
    <w:multiLevelType w:val="hybridMultilevel"/>
    <w:tmpl w:val="96A6D594"/>
    <w:lvl w:ilvl="0" w:tplc="28F8FA12">
      <w:start w:val="1"/>
      <w:numFmt w:val="bullet"/>
      <w:lvlText w:val=""/>
      <w:lvlJc w:val="left"/>
      <w:pPr>
        <w:tabs>
          <w:tab w:val="num" w:pos="720"/>
        </w:tabs>
        <w:ind w:left="720" w:hanging="360"/>
      </w:pPr>
      <w:rPr>
        <w:rFonts w:ascii="Wingdings" w:hAnsi="Wingdings" w:hint="default"/>
      </w:rPr>
    </w:lvl>
    <w:lvl w:ilvl="1" w:tplc="1D10771C" w:tentative="1">
      <w:start w:val="1"/>
      <w:numFmt w:val="bullet"/>
      <w:lvlText w:val=""/>
      <w:lvlJc w:val="left"/>
      <w:pPr>
        <w:tabs>
          <w:tab w:val="num" w:pos="1440"/>
        </w:tabs>
        <w:ind w:left="1440" w:hanging="360"/>
      </w:pPr>
      <w:rPr>
        <w:rFonts w:ascii="Wingdings" w:hAnsi="Wingdings" w:hint="default"/>
      </w:rPr>
    </w:lvl>
    <w:lvl w:ilvl="2" w:tplc="F3CEB0AA" w:tentative="1">
      <w:start w:val="1"/>
      <w:numFmt w:val="bullet"/>
      <w:lvlText w:val=""/>
      <w:lvlJc w:val="left"/>
      <w:pPr>
        <w:tabs>
          <w:tab w:val="num" w:pos="2160"/>
        </w:tabs>
        <w:ind w:left="2160" w:hanging="360"/>
      </w:pPr>
      <w:rPr>
        <w:rFonts w:ascii="Wingdings" w:hAnsi="Wingdings" w:hint="default"/>
      </w:rPr>
    </w:lvl>
    <w:lvl w:ilvl="3" w:tplc="0174084E" w:tentative="1">
      <w:start w:val="1"/>
      <w:numFmt w:val="bullet"/>
      <w:lvlText w:val=""/>
      <w:lvlJc w:val="left"/>
      <w:pPr>
        <w:tabs>
          <w:tab w:val="num" w:pos="2880"/>
        </w:tabs>
        <w:ind w:left="2880" w:hanging="360"/>
      </w:pPr>
      <w:rPr>
        <w:rFonts w:ascii="Wingdings" w:hAnsi="Wingdings" w:hint="default"/>
      </w:rPr>
    </w:lvl>
    <w:lvl w:ilvl="4" w:tplc="0BDAEDEC" w:tentative="1">
      <w:start w:val="1"/>
      <w:numFmt w:val="bullet"/>
      <w:lvlText w:val=""/>
      <w:lvlJc w:val="left"/>
      <w:pPr>
        <w:tabs>
          <w:tab w:val="num" w:pos="3600"/>
        </w:tabs>
        <w:ind w:left="3600" w:hanging="360"/>
      </w:pPr>
      <w:rPr>
        <w:rFonts w:ascii="Wingdings" w:hAnsi="Wingdings" w:hint="default"/>
      </w:rPr>
    </w:lvl>
    <w:lvl w:ilvl="5" w:tplc="37146050" w:tentative="1">
      <w:start w:val="1"/>
      <w:numFmt w:val="bullet"/>
      <w:lvlText w:val=""/>
      <w:lvlJc w:val="left"/>
      <w:pPr>
        <w:tabs>
          <w:tab w:val="num" w:pos="4320"/>
        </w:tabs>
        <w:ind w:left="4320" w:hanging="360"/>
      </w:pPr>
      <w:rPr>
        <w:rFonts w:ascii="Wingdings" w:hAnsi="Wingdings" w:hint="default"/>
      </w:rPr>
    </w:lvl>
    <w:lvl w:ilvl="6" w:tplc="44EED2B4" w:tentative="1">
      <w:start w:val="1"/>
      <w:numFmt w:val="bullet"/>
      <w:lvlText w:val=""/>
      <w:lvlJc w:val="left"/>
      <w:pPr>
        <w:tabs>
          <w:tab w:val="num" w:pos="5040"/>
        </w:tabs>
        <w:ind w:left="5040" w:hanging="360"/>
      </w:pPr>
      <w:rPr>
        <w:rFonts w:ascii="Wingdings" w:hAnsi="Wingdings" w:hint="default"/>
      </w:rPr>
    </w:lvl>
    <w:lvl w:ilvl="7" w:tplc="C6309480" w:tentative="1">
      <w:start w:val="1"/>
      <w:numFmt w:val="bullet"/>
      <w:lvlText w:val=""/>
      <w:lvlJc w:val="left"/>
      <w:pPr>
        <w:tabs>
          <w:tab w:val="num" w:pos="5760"/>
        </w:tabs>
        <w:ind w:left="5760" w:hanging="360"/>
      </w:pPr>
      <w:rPr>
        <w:rFonts w:ascii="Wingdings" w:hAnsi="Wingdings" w:hint="default"/>
      </w:rPr>
    </w:lvl>
    <w:lvl w:ilvl="8" w:tplc="869C8DC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2A3B4CDB"/>
    <w:multiLevelType w:val="hybridMultilevel"/>
    <w:tmpl w:val="A4DAB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5790E3F"/>
    <w:multiLevelType w:val="hybridMultilevel"/>
    <w:tmpl w:val="D602C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2A24E4"/>
    <w:multiLevelType w:val="hybridMultilevel"/>
    <w:tmpl w:val="E8A6B036"/>
    <w:lvl w:ilvl="0" w:tplc="BD026D3E">
      <w:start w:val="1"/>
      <w:numFmt w:val="bullet"/>
      <w:lvlText w:val="•"/>
      <w:lvlJc w:val="left"/>
      <w:pPr>
        <w:tabs>
          <w:tab w:val="num" w:pos="720"/>
        </w:tabs>
        <w:ind w:left="720" w:hanging="360"/>
      </w:pPr>
      <w:rPr>
        <w:rFonts w:ascii="Arial" w:hAnsi="Arial" w:hint="default"/>
      </w:rPr>
    </w:lvl>
    <w:lvl w:ilvl="1" w:tplc="664E54A4" w:tentative="1">
      <w:start w:val="1"/>
      <w:numFmt w:val="bullet"/>
      <w:lvlText w:val="•"/>
      <w:lvlJc w:val="left"/>
      <w:pPr>
        <w:tabs>
          <w:tab w:val="num" w:pos="1440"/>
        </w:tabs>
        <w:ind w:left="1440" w:hanging="360"/>
      </w:pPr>
      <w:rPr>
        <w:rFonts w:ascii="Arial" w:hAnsi="Arial" w:hint="default"/>
      </w:rPr>
    </w:lvl>
    <w:lvl w:ilvl="2" w:tplc="9E965102" w:tentative="1">
      <w:start w:val="1"/>
      <w:numFmt w:val="bullet"/>
      <w:lvlText w:val="•"/>
      <w:lvlJc w:val="left"/>
      <w:pPr>
        <w:tabs>
          <w:tab w:val="num" w:pos="2160"/>
        </w:tabs>
        <w:ind w:left="2160" w:hanging="360"/>
      </w:pPr>
      <w:rPr>
        <w:rFonts w:ascii="Arial" w:hAnsi="Arial" w:hint="default"/>
      </w:rPr>
    </w:lvl>
    <w:lvl w:ilvl="3" w:tplc="34340630" w:tentative="1">
      <w:start w:val="1"/>
      <w:numFmt w:val="bullet"/>
      <w:lvlText w:val="•"/>
      <w:lvlJc w:val="left"/>
      <w:pPr>
        <w:tabs>
          <w:tab w:val="num" w:pos="2880"/>
        </w:tabs>
        <w:ind w:left="2880" w:hanging="360"/>
      </w:pPr>
      <w:rPr>
        <w:rFonts w:ascii="Arial" w:hAnsi="Arial" w:hint="default"/>
      </w:rPr>
    </w:lvl>
    <w:lvl w:ilvl="4" w:tplc="CBA03D40" w:tentative="1">
      <w:start w:val="1"/>
      <w:numFmt w:val="bullet"/>
      <w:lvlText w:val="•"/>
      <w:lvlJc w:val="left"/>
      <w:pPr>
        <w:tabs>
          <w:tab w:val="num" w:pos="3600"/>
        </w:tabs>
        <w:ind w:left="3600" w:hanging="360"/>
      </w:pPr>
      <w:rPr>
        <w:rFonts w:ascii="Arial" w:hAnsi="Arial" w:hint="default"/>
      </w:rPr>
    </w:lvl>
    <w:lvl w:ilvl="5" w:tplc="0CC2E298" w:tentative="1">
      <w:start w:val="1"/>
      <w:numFmt w:val="bullet"/>
      <w:lvlText w:val="•"/>
      <w:lvlJc w:val="left"/>
      <w:pPr>
        <w:tabs>
          <w:tab w:val="num" w:pos="4320"/>
        </w:tabs>
        <w:ind w:left="4320" w:hanging="360"/>
      </w:pPr>
      <w:rPr>
        <w:rFonts w:ascii="Arial" w:hAnsi="Arial" w:hint="default"/>
      </w:rPr>
    </w:lvl>
    <w:lvl w:ilvl="6" w:tplc="5F4A2000" w:tentative="1">
      <w:start w:val="1"/>
      <w:numFmt w:val="bullet"/>
      <w:lvlText w:val="•"/>
      <w:lvlJc w:val="left"/>
      <w:pPr>
        <w:tabs>
          <w:tab w:val="num" w:pos="5040"/>
        </w:tabs>
        <w:ind w:left="5040" w:hanging="360"/>
      </w:pPr>
      <w:rPr>
        <w:rFonts w:ascii="Arial" w:hAnsi="Arial" w:hint="default"/>
      </w:rPr>
    </w:lvl>
    <w:lvl w:ilvl="7" w:tplc="01CC4A7C" w:tentative="1">
      <w:start w:val="1"/>
      <w:numFmt w:val="bullet"/>
      <w:lvlText w:val="•"/>
      <w:lvlJc w:val="left"/>
      <w:pPr>
        <w:tabs>
          <w:tab w:val="num" w:pos="5760"/>
        </w:tabs>
        <w:ind w:left="5760" w:hanging="360"/>
      </w:pPr>
      <w:rPr>
        <w:rFonts w:ascii="Arial" w:hAnsi="Arial" w:hint="default"/>
      </w:rPr>
    </w:lvl>
    <w:lvl w:ilvl="8" w:tplc="CC6856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2765C94"/>
    <w:multiLevelType w:val="hybridMultilevel"/>
    <w:tmpl w:val="BF7ECB26"/>
    <w:lvl w:ilvl="0" w:tplc="E9868090">
      <w:start w:val="1"/>
      <w:numFmt w:val="bullet"/>
      <w:lvlText w:val="•"/>
      <w:lvlJc w:val="left"/>
      <w:pPr>
        <w:tabs>
          <w:tab w:val="num" w:pos="720"/>
        </w:tabs>
        <w:ind w:left="720" w:hanging="360"/>
      </w:pPr>
      <w:rPr>
        <w:rFonts w:ascii="Arial" w:hAnsi="Arial" w:hint="default"/>
      </w:rPr>
    </w:lvl>
    <w:lvl w:ilvl="1" w:tplc="ADAAF13A" w:tentative="1">
      <w:start w:val="1"/>
      <w:numFmt w:val="bullet"/>
      <w:lvlText w:val="•"/>
      <w:lvlJc w:val="left"/>
      <w:pPr>
        <w:tabs>
          <w:tab w:val="num" w:pos="1440"/>
        </w:tabs>
        <w:ind w:left="1440" w:hanging="360"/>
      </w:pPr>
      <w:rPr>
        <w:rFonts w:ascii="Arial" w:hAnsi="Arial" w:hint="default"/>
      </w:rPr>
    </w:lvl>
    <w:lvl w:ilvl="2" w:tplc="D1CC2CE8" w:tentative="1">
      <w:start w:val="1"/>
      <w:numFmt w:val="bullet"/>
      <w:lvlText w:val="•"/>
      <w:lvlJc w:val="left"/>
      <w:pPr>
        <w:tabs>
          <w:tab w:val="num" w:pos="2160"/>
        </w:tabs>
        <w:ind w:left="2160" w:hanging="360"/>
      </w:pPr>
      <w:rPr>
        <w:rFonts w:ascii="Arial" w:hAnsi="Arial" w:hint="default"/>
      </w:rPr>
    </w:lvl>
    <w:lvl w:ilvl="3" w:tplc="10ACE362" w:tentative="1">
      <w:start w:val="1"/>
      <w:numFmt w:val="bullet"/>
      <w:lvlText w:val="•"/>
      <w:lvlJc w:val="left"/>
      <w:pPr>
        <w:tabs>
          <w:tab w:val="num" w:pos="2880"/>
        </w:tabs>
        <w:ind w:left="2880" w:hanging="360"/>
      </w:pPr>
      <w:rPr>
        <w:rFonts w:ascii="Arial" w:hAnsi="Arial" w:hint="default"/>
      </w:rPr>
    </w:lvl>
    <w:lvl w:ilvl="4" w:tplc="A9780486" w:tentative="1">
      <w:start w:val="1"/>
      <w:numFmt w:val="bullet"/>
      <w:lvlText w:val="•"/>
      <w:lvlJc w:val="left"/>
      <w:pPr>
        <w:tabs>
          <w:tab w:val="num" w:pos="3600"/>
        </w:tabs>
        <w:ind w:left="3600" w:hanging="360"/>
      </w:pPr>
      <w:rPr>
        <w:rFonts w:ascii="Arial" w:hAnsi="Arial" w:hint="default"/>
      </w:rPr>
    </w:lvl>
    <w:lvl w:ilvl="5" w:tplc="C95AF7B0" w:tentative="1">
      <w:start w:val="1"/>
      <w:numFmt w:val="bullet"/>
      <w:lvlText w:val="•"/>
      <w:lvlJc w:val="left"/>
      <w:pPr>
        <w:tabs>
          <w:tab w:val="num" w:pos="4320"/>
        </w:tabs>
        <w:ind w:left="4320" w:hanging="360"/>
      </w:pPr>
      <w:rPr>
        <w:rFonts w:ascii="Arial" w:hAnsi="Arial" w:hint="default"/>
      </w:rPr>
    </w:lvl>
    <w:lvl w:ilvl="6" w:tplc="9FF86EF2" w:tentative="1">
      <w:start w:val="1"/>
      <w:numFmt w:val="bullet"/>
      <w:lvlText w:val="•"/>
      <w:lvlJc w:val="left"/>
      <w:pPr>
        <w:tabs>
          <w:tab w:val="num" w:pos="5040"/>
        </w:tabs>
        <w:ind w:left="5040" w:hanging="360"/>
      </w:pPr>
      <w:rPr>
        <w:rFonts w:ascii="Arial" w:hAnsi="Arial" w:hint="default"/>
      </w:rPr>
    </w:lvl>
    <w:lvl w:ilvl="7" w:tplc="A40E3E9A" w:tentative="1">
      <w:start w:val="1"/>
      <w:numFmt w:val="bullet"/>
      <w:lvlText w:val="•"/>
      <w:lvlJc w:val="left"/>
      <w:pPr>
        <w:tabs>
          <w:tab w:val="num" w:pos="5760"/>
        </w:tabs>
        <w:ind w:left="5760" w:hanging="360"/>
      </w:pPr>
      <w:rPr>
        <w:rFonts w:ascii="Arial" w:hAnsi="Arial" w:hint="default"/>
      </w:rPr>
    </w:lvl>
    <w:lvl w:ilvl="8" w:tplc="E91A07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AA41BB"/>
    <w:multiLevelType w:val="hybridMultilevel"/>
    <w:tmpl w:val="E53EF65A"/>
    <w:lvl w:ilvl="0" w:tplc="995601AA">
      <w:start w:val="1"/>
      <w:numFmt w:val="bullet"/>
      <w:lvlText w:val="•"/>
      <w:lvlJc w:val="left"/>
      <w:pPr>
        <w:tabs>
          <w:tab w:val="num" w:pos="720"/>
        </w:tabs>
        <w:ind w:left="720" w:hanging="360"/>
      </w:pPr>
      <w:rPr>
        <w:rFonts w:ascii="Arial" w:hAnsi="Arial" w:hint="default"/>
      </w:rPr>
    </w:lvl>
    <w:lvl w:ilvl="1" w:tplc="34A61F0E" w:tentative="1">
      <w:start w:val="1"/>
      <w:numFmt w:val="bullet"/>
      <w:lvlText w:val="•"/>
      <w:lvlJc w:val="left"/>
      <w:pPr>
        <w:tabs>
          <w:tab w:val="num" w:pos="1440"/>
        </w:tabs>
        <w:ind w:left="1440" w:hanging="360"/>
      </w:pPr>
      <w:rPr>
        <w:rFonts w:ascii="Arial" w:hAnsi="Arial" w:hint="default"/>
      </w:rPr>
    </w:lvl>
    <w:lvl w:ilvl="2" w:tplc="B258863C" w:tentative="1">
      <w:start w:val="1"/>
      <w:numFmt w:val="bullet"/>
      <w:lvlText w:val="•"/>
      <w:lvlJc w:val="left"/>
      <w:pPr>
        <w:tabs>
          <w:tab w:val="num" w:pos="2160"/>
        </w:tabs>
        <w:ind w:left="2160" w:hanging="360"/>
      </w:pPr>
      <w:rPr>
        <w:rFonts w:ascii="Arial" w:hAnsi="Arial" w:hint="default"/>
      </w:rPr>
    </w:lvl>
    <w:lvl w:ilvl="3" w:tplc="2A6E100A" w:tentative="1">
      <w:start w:val="1"/>
      <w:numFmt w:val="bullet"/>
      <w:lvlText w:val="•"/>
      <w:lvlJc w:val="left"/>
      <w:pPr>
        <w:tabs>
          <w:tab w:val="num" w:pos="2880"/>
        </w:tabs>
        <w:ind w:left="2880" w:hanging="360"/>
      </w:pPr>
      <w:rPr>
        <w:rFonts w:ascii="Arial" w:hAnsi="Arial" w:hint="default"/>
      </w:rPr>
    </w:lvl>
    <w:lvl w:ilvl="4" w:tplc="BCCEDA82" w:tentative="1">
      <w:start w:val="1"/>
      <w:numFmt w:val="bullet"/>
      <w:lvlText w:val="•"/>
      <w:lvlJc w:val="left"/>
      <w:pPr>
        <w:tabs>
          <w:tab w:val="num" w:pos="3600"/>
        </w:tabs>
        <w:ind w:left="3600" w:hanging="360"/>
      </w:pPr>
      <w:rPr>
        <w:rFonts w:ascii="Arial" w:hAnsi="Arial" w:hint="default"/>
      </w:rPr>
    </w:lvl>
    <w:lvl w:ilvl="5" w:tplc="2D22CCFE" w:tentative="1">
      <w:start w:val="1"/>
      <w:numFmt w:val="bullet"/>
      <w:lvlText w:val="•"/>
      <w:lvlJc w:val="left"/>
      <w:pPr>
        <w:tabs>
          <w:tab w:val="num" w:pos="4320"/>
        </w:tabs>
        <w:ind w:left="4320" w:hanging="360"/>
      </w:pPr>
      <w:rPr>
        <w:rFonts w:ascii="Arial" w:hAnsi="Arial" w:hint="default"/>
      </w:rPr>
    </w:lvl>
    <w:lvl w:ilvl="6" w:tplc="E22441A8" w:tentative="1">
      <w:start w:val="1"/>
      <w:numFmt w:val="bullet"/>
      <w:lvlText w:val="•"/>
      <w:lvlJc w:val="left"/>
      <w:pPr>
        <w:tabs>
          <w:tab w:val="num" w:pos="5040"/>
        </w:tabs>
        <w:ind w:left="5040" w:hanging="360"/>
      </w:pPr>
      <w:rPr>
        <w:rFonts w:ascii="Arial" w:hAnsi="Arial" w:hint="default"/>
      </w:rPr>
    </w:lvl>
    <w:lvl w:ilvl="7" w:tplc="320675C4" w:tentative="1">
      <w:start w:val="1"/>
      <w:numFmt w:val="bullet"/>
      <w:lvlText w:val="•"/>
      <w:lvlJc w:val="left"/>
      <w:pPr>
        <w:tabs>
          <w:tab w:val="num" w:pos="5760"/>
        </w:tabs>
        <w:ind w:left="5760" w:hanging="360"/>
      </w:pPr>
      <w:rPr>
        <w:rFonts w:ascii="Arial" w:hAnsi="Arial" w:hint="default"/>
      </w:rPr>
    </w:lvl>
    <w:lvl w:ilvl="8" w:tplc="69D0ADC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4" w15:restartNumberingAfterBreak="0">
    <w:nsid w:val="7FCB5D62"/>
    <w:multiLevelType w:val="hybridMultilevel"/>
    <w:tmpl w:val="6534D68C"/>
    <w:lvl w:ilvl="0" w:tplc="3A1CBCA6">
      <w:start w:val="1"/>
      <w:numFmt w:val="bullet"/>
      <w:lvlText w:val=""/>
      <w:lvlJc w:val="left"/>
      <w:pPr>
        <w:tabs>
          <w:tab w:val="num" w:pos="720"/>
        </w:tabs>
        <w:ind w:left="720" w:hanging="360"/>
      </w:pPr>
      <w:rPr>
        <w:rFonts w:ascii="Wingdings" w:hAnsi="Wingdings" w:hint="default"/>
      </w:rPr>
    </w:lvl>
    <w:lvl w:ilvl="1" w:tplc="9D8EBE62" w:tentative="1">
      <w:start w:val="1"/>
      <w:numFmt w:val="bullet"/>
      <w:lvlText w:val=""/>
      <w:lvlJc w:val="left"/>
      <w:pPr>
        <w:tabs>
          <w:tab w:val="num" w:pos="1440"/>
        </w:tabs>
        <w:ind w:left="1440" w:hanging="360"/>
      </w:pPr>
      <w:rPr>
        <w:rFonts w:ascii="Wingdings" w:hAnsi="Wingdings" w:hint="default"/>
      </w:rPr>
    </w:lvl>
    <w:lvl w:ilvl="2" w:tplc="36746140" w:tentative="1">
      <w:start w:val="1"/>
      <w:numFmt w:val="bullet"/>
      <w:lvlText w:val=""/>
      <w:lvlJc w:val="left"/>
      <w:pPr>
        <w:tabs>
          <w:tab w:val="num" w:pos="2160"/>
        </w:tabs>
        <w:ind w:left="2160" w:hanging="360"/>
      </w:pPr>
      <w:rPr>
        <w:rFonts w:ascii="Wingdings" w:hAnsi="Wingdings" w:hint="default"/>
      </w:rPr>
    </w:lvl>
    <w:lvl w:ilvl="3" w:tplc="6630BDDA" w:tentative="1">
      <w:start w:val="1"/>
      <w:numFmt w:val="bullet"/>
      <w:lvlText w:val=""/>
      <w:lvlJc w:val="left"/>
      <w:pPr>
        <w:tabs>
          <w:tab w:val="num" w:pos="2880"/>
        </w:tabs>
        <w:ind w:left="2880" w:hanging="360"/>
      </w:pPr>
      <w:rPr>
        <w:rFonts w:ascii="Wingdings" w:hAnsi="Wingdings" w:hint="default"/>
      </w:rPr>
    </w:lvl>
    <w:lvl w:ilvl="4" w:tplc="0024E028" w:tentative="1">
      <w:start w:val="1"/>
      <w:numFmt w:val="bullet"/>
      <w:lvlText w:val=""/>
      <w:lvlJc w:val="left"/>
      <w:pPr>
        <w:tabs>
          <w:tab w:val="num" w:pos="3600"/>
        </w:tabs>
        <w:ind w:left="3600" w:hanging="360"/>
      </w:pPr>
      <w:rPr>
        <w:rFonts w:ascii="Wingdings" w:hAnsi="Wingdings" w:hint="default"/>
      </w:rPr>
    </w:lvl>
    <w:lvl w:ilvl="5" w:tplc="097410D0" w:tentative="1">
      <w:start w:val="1"/>
      <w:numFmt w:val="bullet"/>
      <w:lvlText w:val=""/>
      <w:lvlJc w:val="left"/>
      <w:pPr>
        <w:tabs>
          <w:tab w:val="num" w:pos="4320"/>
        </w:tabs>
        <w:ind w:left="4320" w:hanging="360"/>
      </w:pPr>
      <w:rPr>
        <w:rFonts w:ascii="Wingdings" w:hAnsi="Wingdings" w:hint="default"/>
      </w:rPr>
    </w:lvl>
    <w:lvl w:ilvl="6" w:tplc="70D89C84" w:tentative="1">
      <w:start w:val="1"/>
      <w:numFmt w:val="bullet"/>
      <w:lvlText w:val=""/>
      <w:lvlJc w:val="left"/>
      <w:pPr>
        <w:tabs>
          <w:tab w:val="num" w:pos="5040"/>
        </w:tabs>
        <w:ind w:left="5040" w:hanging="360"/>
      </w:pPr>
      <w:rPr>
        <w:rFonts w:ascii="Wingdings" w:hAnsi="Wingdings" w:hint="default"/>
      </w:rPr>
    </w:lvl>
    <w:lvl w:ilvl="7" w:tplc="145445C6" w:tentative="1">
      <w:start w:val="1"/>
      <w:numFmt w:val="bullet"/>
      <w:lvlText w:val=""/>
      <w:lvlJc w:val="left"/>
      <w:pPr>
        <w:tabs>
          <w:tab w:val="num" w:pos="5760"/>
        </w:tabs>
        <w:ind w:left="5760" w:hanging="360"/>
      </w:pPr>
      <w:rPr>
        <w:rFonts w:ascii="Wingdings" w:hAnsi="Wingdings" w:hint="default"/>
      </w:rPr>
    </w:lvl>
    <w:lvl w:ilvl="8" w:tplc="0C2E8066"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9"/>
  </w:num>
  <w:num w:numId="3">
    <w:abstractNumId w:val="43"/>
  </w:num>
  <w:num w:numId="4">
    <w:abstractNumId w:val="13"/>
  </w:num>
  <w:num w:numId="5">
    <w:abstractNumId w:val="17"/>
  </w:num>
  <w:num w:numId="6">
    <w:abstractNumId w:val="35"/>
  </w:num>
  <w:num w:numId="7">
    <w:abstractNumId w:val="15"/>
  </w:num>
  <w:num w:numId="8">
    <w:abstractNumId w:val="28"/>
  </w:num>
  <w:num w:numId="9">
    <w:abstractNumId w:val="19"/>
  </w:num>
  <w:num w:numId="10">
    <w:abstractNumId w:val="20"/>
  </w:num>
  <w:num w:numId="11">
    <w:abstractNumId w:val="10"/>
  </w:num>
  <w:num w:numId="12">
    <w:abstractNumId w:val="25"/>
  </w:num>
  <w:num w:numId="13">
    <w:abstractNumId w:val="0"/>
  </w:num>
  <w:num w:numId="14">
    <w:abstractNumId w:val="2"/>
  </w:num>
  <w:num w:numId="15">
    <w:abstractNumId w:val="42"/>
  </w:num>
  <w:num w:numId="16">
    <w:abstractNumId w:val="26"/>
  </w:num>
  <w:num w:numId="17">
    <w:abstractNumId w:val="27"/>
  </w:num>
  <w:num w:numId="18">
    <w:abstractNumId w:val="12"/>
  </w:num>
  <w:num w:numId="19">
    <w:abstractNumId w:val="30"/>
  </w:num>
  <w:num w:numId="20">
    <w:abstractNumId w:val="33"/>
  </w:num>
  <w:num w:numId="21">
    <w:abstractNumId w:val="9"/>
  </w:num>
  <w:num w:numId="22">
    <w:abstractNumId w:val="37"/>
  </w:num>
  <w:num w:numId="23">
    <w:abstractNumId w:val="4"/>
  </w:num>
  <w:num w:numId="24">
    <w:abstractNumId w:val="29"/>
  </w:num>
  <w:num w:numId="25">
    <w:abstractNumId w:val="11"/>
  </w:num>
  <w:num w:numId="26">
    <w:abstractNumId w:val="32"/>
  </w:num>
  <w:num w:numId="27">
    <w:abstractNumId w:val="23"/>
  </w:num>
  <w:num w:numId="28">
    <w:abstractNumId w:val="24"/>
  </w:num>
  <w:num w:numId="29">
    <w:abstractNumId w:val="38"/>
  </w:num>
  <w:num w:numId="30">
    <w:abstractNumId w:val="34"/>
  </w:num>
  <w:num w:numId="31">
    <w:abstractNumId w:val="36"/>
  </w:num>
  <w:num w:numId="32">
    <w:abstractNumId w:val="16"/>
  </w:num>
  <w:num w:numId="33">
    <w:abstractNumId w:val="22"/>
  </w:num>
  <w:num w:numId="34">
    <w:abstractNumId w:val="3"/>
  </w:num>
  <w:num w:numId="35">
    <w:abstractNumId w:val="7"/>
  </w:num>
  <w:num w:numId="36">
    <w:abstractNumId w:val="8"/>
  </w:num>
  <w:num w:numId="37">
    <w:abstractNumId w:val="31"/>
  </w:num>
  <w:num w:numId="38">
    <w:abstractNumId w:val="40"/>
  </w:num>
  <w:num w:numId="39">
    <w:abstractNumId w:val="1"/>
  </w:num>
  <w:num w:numId="40">
    <w:abstractNumId w:val="14"/>
  </w:num>
  <w:num w:numId="41">
    <w:abstractNumId w:val="41"/>
  </w:num>
  <w:num w:numId="42">
    <w:abstractNumId w:val="44"/>
  </w:num>
  <w:num w:numId="43">
    <w:abstractNumId w:val="6"/>
  </w:num>
  <w:num w:numId="44">
    <w:abstractNumId w:val="5"/>
  </w:num>
  <w:num w:numId="45">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A56"/>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136"/>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BDD"/>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533"/>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361"/>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80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99E"/>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895"/>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D19"/>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B9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9C4"/>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5E54"/>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673"/>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78"/>
    <w:rsid w:val="008579BE"/>
    <w:rsid w:val="00857A49"/>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973"/>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CC3"/>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72D"/>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57D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1E"/>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2D7"/>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1EB7"/>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A3A"/>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885"/>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556"/>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270C8D"/>
  <w15:chartTrackingRefBased/>
  <w15:docId w15:val="{E4648F4B-0FF0-47B6-895D-C38EADAE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9564796">
      <w:bodyDiv w:val="1"/>
      <w:marLeft w:val="0"/>
      <w:marRight w:val="0"/>
      <w:marTop w:val="0"/>
      <w:marBottom w:val="0"/>
      <w:divBdr>
        <w:top w:val="none" w:sz="0" w:space="0" w:color="auto"/>
        <w:left w:val="none" w:sz="0" w:space="0" w:color="auto"/>
        <w:bottom w:val="none" w:sz="0" w:space="0" w:color="auto"/>
        <w:right w:val="none" w:sz="0" w:space="0" w:color="auto"/>
      </w:divBdr>
      <w:divsChild>
        <w:div w:id="1148940376">
          <w:marLeft w:val="547"/>
          <w:marRight w:val="0"/>
          <w:marTop w:val="0"/>
          <w:marBottom w:val="0"/>
          <w:divBdr>
            <w:top w:val="none" w:sz="0" w:space="0" w:color="auto"/>
            <w:left w:val="none" w:sz="0" w:space="0" w:color="auto"/>
            <w:bottom w:val="none" w:sz="0" w:space="0" w:color="auto"/>
            <w:right w:val="none" w:sz="0" w:space="0" w:color="auto"/>
          </w:divBdr>
        </w:div>
        <w:div w:id="1769346317">
          <w:marLeft w:val="547"/>
          <w:marRight w:val="0"/>
          <w:marTop w:val="0"/>
          <w:marBottom w:val="0"/>
          <w:divBdr>
            <w:top w:val="none" w:sz="0" w:space="0" w:color="auto"/>
            <w:left w:val="none" w:sz="0" w:space="0" w:color="auto"/>
            <w:bottom w:val="none" w:sz="0" w:space="0" w:color="auto"/>
            <w:right w:val="none" w:sz="0" w:space="0" w:color="auto"/>
          </w:divBdr>
        </w:div>
        <w:div w:id="1572957886">
          <w:marLeft w:val="547"/>
          <w:marRight w:val="0"/>
          <w:marTop w:val="0"/>
          <w:marBottom w:val="0"/>
          <w:divBdr>
            <w:top w:val="none" w:sz="0" w:space="0" w:color="auto"/>
            <w:left w:val="none" w:sz="0" w:space="0" w:color="auto"/>
            <w:bottom w:val="none" w:sz="0" w:space="0" w:color="auto"/>
            <w:right w:val="none" w:sz="0" w:space="0" w:color="auto"/>
          </w:divBdr>
        </w:div>
        <w:div w:id="251286158">
          <w:marLeft w:val="547"/>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397633050">
      <w:bodyDiv w:val="1"/>
      <w:marLeft w:val="0"/>
      <w:marRight w:val="0"/>
      <w:marTop w:val="0"/>
      <w:marBottom w:val="0"/>
      <w:divBdr>
        <w:top w:val="none" w:sz="0" w:space="0" w:color="auto"/>
        <w:left w:val="none" w:sz="0" w:space="0" w:color="auto"/>
        <w:bottom w:val="none" w:sz="0" w:space="0" w:color="auto"/>
        <w:right w:val="none" w:sz="0" w:space="0" w:color="auto"/>
      </w:divBdr>
      <w:divsChild>
        <w:div w:id="91557124">
          <w:marLeft w:val="547"/>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1146622">
      <w:bodyDiv w:val="1"/>
      <w:marLeft w:val="0"/>
      <w:marRight w:val="0"/>
      <w:marTop w:val="0"/>
      <w:marBottom w:val="0"/>
      <w:divBdr>
        <w:top w:val="none" w:sz="0" w:space="0" w:color="auto"/>
        <w:left w:val="none" w:sz="0" w:space="0" w:color="auto"/>
        <w:bottom w:val="none" w:sz="0" w:space="0" w:color="auto"/>
        <w:right w:val="none" w:sz="0" w:space="0" w:color="auto"/>
      </w:divBdr>
      <w:divsChild>
        <w:div w:id="1345017181">
          <w:marLeft w:val="547"/>
          <w:marRight w:val="0"/>
          <w:marTop w:val="0"/>
          <w:marBottom w:val="0"/>
          <w:divBdr>
            <w:top w:val="none" w:sz="0" w:space="0" w:color="auto"/>
            <w:left w:val="none" w:sz="0" w:space="0" w:color="auto"/>
            <w:bottom w:val="none" w:sz="0" w:space="0" w:color="auto"/>
            <w:right w:val="none" w:sz="0" w:space="0" w:color="auto"/>
          </w:divBdr>
        </w:div>
        <w:div w:id="533664419">
          <w:marLeft w:val="547"/>
          <w:marRight w:val="0"/>
          <w:marTop w:val="0"/>
          <w:marBottom w:val="0"/>
          <w:divBdr>
            <w:top w:val="none" w:sz="0" w:space="0" w:color="auto"/>
            <w:left w:val="none" w:sz="0" w:space="0" w:color="auto"/>
            <w:bottom w:val="none" w:sz="0" w:space="0" w:color="auto"/>
            <w:right w:val="none" w:sz="0" w:space="0" w:color="auto"/>
          </w:divBdr>
        </w:div>
        <w:div w:id="1493446776">
          <w:marLeft w:val="547"/>
          <w:marRight w:val="0"/>
          <w:marTop w:val="0"/>
          <w:marBottom w:val="0"/>
          <w:divBdr>
            <w:top w:val="none" w:sz="0" w:space="0" w:color="auto"/>
            <w:left w:val="none" w:sz="0" w:space="0" w:color="auto"/>
            <w:bottom w:val="none" w:sz="0" w:space="0" w:color="auto"/>
            <w:right w:val="none" w:sz="0" w:space="0" w:color="auto"/>
          </w:divBdr>
        </w:div>
        <w:div w:id="1586182921">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759965">
      <w:bodyDiv w:val="1"/>
      <w:marLeft w:val="0"/>
      <w:marRight w:val="0"/>
      <w:marTop w:val="0"/>
      <w:marBottom w:val="0"/>
      <w:divBdr>
        <w:top w:val="none" w:sz="0" w:space="0" w:color="auto"/>
        <w:left w:val="none" w:sz="0" w:space="0" w:color="auto"/>
        <w:bottom w:val="none" w:sz="0" w:space="0" w:color="auto"/>
        <w:right w:val="none" w:sz="0" w:space="0" w:color="auto"/>
      </w:divBdr>
      <w:divsChild>
        <w:div w:id="609973109">
          <w:marLeft w:val="547"/>
          <w:marRight w:val="0"/>
          <w:marTop w:val="0"/>
          <w:marBottom w:val="0"/>
          <w:divBdr>
            <w:top w:val="none" w:sz="0" w:space="0" w:color="auto"/>
            <w:left w:val="none" w:sz="0" w:space="0" w:color="auto"/>
            <w:bottom w:val="none" w:sz="0" w:space="0" w:color="auto"/>
            <w:right w:val="none" w:sz="0" w:space="0" w:color="auto"/>
          </w:divBdr>
        </w:div>
        <w:div w:id="859054238">
          <w:marLeft w:val="547"/>
          <w:marRight w:val="0"/>
          <w:marTop w:val="0"/>
          <w:marBottom w:val="0"/>
          <w:divBdr>
            <w:top w:val="none" w:sz="0" w:space="0" w:color="auto"/>
            <w:left w:val="none" w:sz="0" w:space="0" w:color="auto"/>
            <w:bottom w:val="none" w:sz="0" w:space="0" w:color="auto"/>
            <w:right w:val="none" w:sz="0" w:space="0" w:color="auto"/>
          </w:divBdr>
        </w:div>
        <w:div w:id="935794443">
          <w:marLeft w:val="547"/>
          <w:marRight w:val="0"/>
          <w:marTop w:val="0"/>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E53108-A96C-49FD-8B2C-2BBA85E9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2019-11-07T11:18:00Z</dcterms:created>
  <dcterms:modified xsi:type="dcterms:W3CDTF">2019-11-08T15:18:00Z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