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B4E7" w14:textId="450054E0" w:rsidR="00F31597" w:rsidRPr="00FF792B" w:rsidRDefault="00F31597" w:rsidP="00F31597">
      <w:pPr>
        <w:pStyle w:val="3GPPHeader"/>
        <w:spacing w:after="60"/>
        <w:rPr>
          <w:sz w:val="32"/>
          <w:szCs w:val="32"/>
          <w:lang w:val="en-US"/>
        </w:rPr>
      </w:pPr>
      <w:r>
        <w:rPr>
          <w:lang w:val="en-US"/>
        </w:rPr>
        <w:t>3GPP TSG-</w:t>
      </w:r>
      <w:r w:rsidRPr="00FD164F">
        <w:rPr>
          <w:lang w:val="en-US"/>
        </w:rPr>
        <w:t>RAN WG4 #</w:t>
      </w:r>
      <w:r w:rsidR="009075A0">
        <w:rPr>
          <w:lang w:val="en-US"/>
        </w:rPr>
        <w:t>9</w:t>
      </w:r>
      <w:r w:rsidR="00730C41">
        <w:rPr>
          <w:lang w:val="en-US"/>
        </w:rPr>
        <w:t>2</w:t>
      </w:r>
      <w:r w:rsidRPr="00FF792B">
        <w:rPr>
          <w:lang w:val="en-US"/>
        </w:rPr>
        <w:tab/>
      </w:r>
      <w:r w:rsidRPr="00FF792B">
        <w:rPr>
          <w:sz w:val="32"/>
          <w:szCs w:val="32"/>
          <w:lang w:val="en-US"/>
        </w:rPr>
        <w:t>R4-</w:t>
      </w:r>
      <w:r w:rsidRPr="00FF792B">
        <w:t xml:space="preserve"> </w:t>
      </w:r>
      <w:r w:rsidR="001D4528" w:rsidRPr="00462CE9">
        <w:rPr>
          <w:sz w:val="32"/>
          <w:szCs w:val="32"/>
          <w:lang w:val="en-US"/>
        </w:rPr>
        <w:t>1</w:t>
      </w:r>
      <w:r w:rsidR="009075A0" w:rsidRPr="00462CE9">
        <w:rPr>
          <w:sz w:val="32"/>
          <w:szCs w:val="32"/>
          <w:lang w:val="en-US"/>
        </w:rPr>
        <w:t>90</w:t>
      </w:r>
      <w:r w:rsidR="00462CE9">
        <w:rPr>
          <w:sz w:val="32"/>
          <w:szCs w:val="32"/>
          <w:lang w:val="en-US"/>
        </w:rPr>
        <w:t>9403</w:t>
      </w:r>
    </w:p>
    <w:p w14:paraId="1BD8DAB6" w14:textId="20342A1D" w:rsidR="00F31597" w:rsidRPr="00F6302A" w:rsidRDefault="00947A5A" w:rsidP="00F31597">
      <w:pPr>
        <w:pStyle w:val="3GPPHeader"/>
        <w:rPr>
          <w:lang w:val="en-US"/>
        </w:rPr>
      </w:pPr>
      <w:r>
        <w:rPr>
          <w:lang w:val="en-US"/>
        </w:rPr>
        <w:t>Ljubljana, SI</w:t>
      </w:r>
      <w:r w:rsidR="009075A0">
        <w:rPr>
          <w:lang w:val="en-US"/>
        </w:rPr>
        <w:t xml:space="preserve">, </w:t>
      </w:r>
      <w:r>
        <w:rPr>
          <w:lang w:val="en-US"/>
        </w:rPr>
        <w:t>EU</w:t>
      </w:r>
      <w:r w:rsidR="00F31597" w:rsidRPr="00FF792B">
        <w:rPr>
          <w:lang w:val="en-US"/>
        </w:rPr>
        <w:t>,</w:t>
      </w:r>
      <w:r w:rsidR="00F31597">
        <w:rPr>
          <w:lang w:val="en-US"/>
        </w:rPr>
        <w:t xml:space="preserve"> </w:t>
      </w:r>
      <w:r>
        <w:rPr>
          <w:lang w:val="en-US"/>
        </w:rPr>
        <w:t>26</w:t>
      </w:r>
      <w:r w:rsidR="009075A0" w:rsidRPr="009075A0">
        <w:rPr>
          <w:vertAlign w:val="superscript"/>
          <w:lang w:val="en-US"/>
        </w:rPr>
        <w:t>th</w:t>
      </w:r>
      <w:r w:rsidR="009075A0">
        <w:rPr>
          <w:lang w:val="en-US"/>
        </w:rPr>
        <w:t xml:space="preserve"> </w:t>
      </w:r>
      <w:r w:rsidR="00F31597" w:rsidRPr="00FF792B">
        <w:rPr>
          <w:lang w:val="en-US"/>
        </w:rPr>
        <w:t>–</w:t>
      </w:r>
      <w:r w:rsidR="00F31597">
        <w:rPr>
          <w:lang w:val="en-US"/>
        </w:rPr>
        <w:t xml:space="preserve"> </w:t>
      </w:r>
      <w:r>
        <w:rPr>
          <w:lang w:val="en-US"/>
        </w:rPr>
        <w:t>30</w:t>
      </w:r>
      <w:r w:rsidR="009075A0" w:rsidRPr="009075A0">
        <w:rPr>
          <w:vertAlign w:val="superscript"/>
          <w:lang w:val="en-US"/>
        </w:rPr>
        <w:t>th</w:t>
      </w:r>
      <w:r w:rsidR="009075A0">
        <w:rPr>
          <w:lang w:val="en-US"/>
        </w:rPr>
        <w:t xml:space="preserve"> </w:t>
      </w:r>
      <w:r>
        <w:rPr>
          <w:lang w:val="en-US"/>
        </w:rPr>
        <w:t>August</w:t>
      </w:r>
      <w:r w:rsidR="00F31597" w:rsidRPr="00FF792B">
        <w:rPr>
          <w:lang w:val="en-US"/>
        </w:rPr>
        <w:t xml:space="preserve"> 201</w:t>
      </w:r>
      <w:r w:rsidR="009075A0">
        <w:rPr>
          <w:lang w:val="en-US"/>
        </w:rPr>
        <w:t>9</w:t>
      </w:r>
    </w:p>
    <w:p w14:paraId="694B34F5" w14:textId="77777777" w:rsidR="00F31597" w:rsidRPr="005C7FAC" w:rsidRDefault="00F31597" w:rsidP="00F31597">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Pr>
          <w:rFonts w:ascii="Arial" w:hAnsi="Arial" w:cs="Arial"/>
          <w:bCs/>
          <w:lang w:val="en-US"/>
        </w:rPr>
        <w:t>n</w:t>
      </w:r>
    </w:p>
    <w:p w14:paraId="053B87BB" w14:textId="4284F878" w:rsidR="00F31597" w:rsidRPr="003F405A" w:rsidRDefault="00F31597" w:rsidP="00F31597">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272027">
        <w:rPr>
          <w:rFonts w:ascii="Arial" w:hAnsi="Arial" w:cs="Arial"/>
          <w:lang w:val="en-US"/>
        </w:rPr>
        <w:t>256 QAM and Feasibility of UE Demodulation Testing</w:t>
      </w:r>
    </w:p>
    <w:p w14:paraId="57D2B38D" w14:textId="6E0B19B7" w:rsidR="00F31597" w:rsidRPr="009109BF" w:rsidRDefault="00F31597" w:rsidP="00F31597">
      <w:pPr>
        <w:spacing w:after="120"/>
        <w:ind w:left="1985" w:hanging="1985"/>
        <w:rPr>
          <w:rFonts w:ascii="Arial" w:hAnsi="Arial" w:cs="Arial"/>
          <w:bCs/>
          <w:color w:val="FF0000"/>
          <w:lang w:val="en-US"/>
        </w:rPr>
      </w:pPr>
      <w:r w:rsidRPr="009109BF">
        <w:rPr>
          <w:rFonts w:ascii="Arial" w:hAnsi="Arial" w:cs="Arial"/>
          <w:b/>
          <w:lang w:val="en-US"/>
        </w:rPr>
        <w:t>Agenda item:</w:t>
      </w:r>
      <w:r w:rsidRPr="009109BF">
        <w:rPr>
          <w:rFonts w:ascii="Arial" w:hAnsi="Arial" w:cs="Arial"/>
          <w:lang w:val="en-US"/>
        </w:rPr>
        <w:tab/>
      </w:r>
      <w:r w:rsidR="00462CE9">
        <w:rPr>
          <w:rFonts w:ascii="Arial" w:hAnsi="Arial" w:cs="Arial"/>
          <w:lang w:val="en-US"/>
        </w:rPr>
        <w:t>9.11.2</w:t>
      </w:r>
      <w:bookmarkStart w:id="0" w:name="_GoBack"/>
      <w:bookmarkEnd w:id="0"/>
    </w:p>
    <w:p w14:paraId="493EFEEA" w14:textId="7B2E70D8" w:rsidR="00F31597" w:rsidRDefault="00F31597" w:rsidP="00F31597">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E66F5E">
        <w:rPr>
          <w:rFonts w:ascii="Arial" w:hAnsi="Arial" w:cs="Arial"/>
          <w:lang w:val="en-US"/>
        </w:rPr>
        <w:t>Discussion</w:t>
      </w:r>
    </w:p>
    <w:p w14:paraId="10C636EB" w14:textId="77777777" w:rsidR="00F31597" w:rsidRDefault="00F31597" w:rsidP="00F31597">
      <w:pPr>
        <w:spacing w:after="120"/>
        <w:ind w:left="1985" w:hanging="1985"/>
        <w:rPr>
          <w:rFonts w:ascii="Arial" w:hAnsi="Arial" w:cs="Arial"/>
          <w:lang w:val="en-US"/>
        </w:rPr>
      </w:pPr>
    </w:p>
    <w:p w14:paraId="1F359C08" w14:textId="77777777" w:rsidR="00F31597" w:rsidRDefault="00F31597" w:rsidP="00F31597">
      <w:pPr>
        <w:pStyle w:val="Heading1"/>
      </w:pPr>
      <w:r w:rsidRPr="005C7FAC">
        <w:t>1.</w:t>
      </w:r>
      <w:r>
        <w:tab/>
        <w:t>Introduction</w:t>
      </w:r>
    </w:p>
    <w:p w14:paraId="5EBAFC86" w14:textId="14532741" w:rsidR="009D01A8" w:rsidRDefault="008241FC" w:rsidP="0011793A">
      <w:pPr>
        <w:jc w:val="both"/>
        <w:rPr>
          <w:rFonts w:ascii="Arial" w:hAnsi="Arial" w:cs="Arial"/>
        </w:rPr>
      </w:pPr>
      <w:r w:rsidRPr="008241FC">
        <w:rPr>
          <w:rFonts w:ascii="Arial" w:hAnsi="Arial" w:cs="Arial"/>
        </w:rPr>
        <w:t>In RAN</w:t>
      </w:r>
      <w:r w:rsidR="000E5630">
        <w:rPr>
          <w:rFonts w:ascii="Arial" w:hAnsi="Arial" w:cs="Arial"/>
        </w:rPr>
        <w:t>4#</w:t>
      </w:r>
      <w:r w:rsidR="00D74A28">
        <w:rPr>
          <w:rFonts w:ascii="Arial" w:hAnsi="Arial" w:cs="Arial"/>
        </w:rPr>
        <w:t>9</w:t>
      </w:r>
      <w:r w:rsidR="00E121F3">
        <w:rPr>
          <w:rFonts w:ascii="Arial" w:hAnsi="Arial" w:cs="Arial"/>
        </w:rPr>
        <w:t>1</w:t>
      </w:r>
      <w:r w:rsidR="009913F5">
        <w:rPr>
          <w:rFonts w:ascii="Arial" w:hAnsi="Arial" w:cs="Arial"/>
        </w:rPr>
        <w:t xml:space="preserve">, </w:t>
      </w:r>
      <w:r w:rsidR="009B103B">
        <w:rPr>
          <w:rFonts w:ascii="Arial" w:hAnsi="Arial" w:cs="Arial"/>
        </w:rPr>
        <w:t xml:space="preserve">the feasibility of testing demodulation was discussed as part of the feasibility study for 256 QAM in FR2.  </w:t>
      </w:r>
      <w:r w:rsidR="00771AF7">
        <w:rPr>
          <w:rFonts w:ascii="Arial" w:hAnsi="Arial" w:cs="Arial"/>
        </w:rPr>
        <w:t xml:space="preserve">As part of the </w:t>
      </w:r>
      <w:r w:rsidR="009D01A8">
        <w:rPr>
          <w:rFonts w:ascii="Arial" w:hAnsi="Arial" w:cs="Arial"/>
        </w:rPr>
        <w:t xml:space="preserve">study to conclude whether support for higher modulation for FR2 </w:t>
      </w:r>
      <w:r w:rsidR="003C44C4">
        <w:rPr>
          <w:rFonts w:ascii="Arial" w:hAnsi="Arial" w:cs="Arial"/>
        </w:rPr>
        <w:t xml:space="preserve">all </w:t>
      </w:r>
      <w:r w:rsidR="009D01A8">
        <w:rPr>
          <w:rFonts w:ascii="Arial" w:hAnsi="Arial" w:cs="Arial"/>
        </w:rPr>
        <w:t xml:space="preserve">aspects, including testability, </w:t>
      </w:r>
      <w:r w:rsidR="00217E6A">
        <w:rPr>
          <w:rFonts w:ascii="Arial" w:hAnsi="Arial" w:cs="Arial"/>
        </w:rPr>
        <w:t xml:space="preserve">should be discussed </w:t>
      </w:r>
      <w:r w:rsidR="009D01A8">
        <w:rPr>
          <w:rFonts w:ascii="Arial" w:hAnsi="Arial" w:cs="Arial"/>
        </w:rPr>
        <w:t>in the study before conclusions are made</w:t>
      </w:r>
      <w:r w:rsidR="00217E6A">
        <w:rPr>
          <w:rFonts w:ascii="Arial" w:hAnsi="Arial" w:cs="Arial"/>
        </w:rPr>
        <w:t xml:space="preserve"> whether</w:t>
      </w:r>
      <w:r w:rsidR="009D01A8">
        <w:rPr>
          <w:rFonts w:ascii="Arial" w:hAnsi="Arial" w:cs="Arial"/>
        </w:rPr>
        <w:t xml:space="preserve"> to introduce 256 QAM at FR2.</w:t>
      </w:r>
    </w:p>
    <w:p w14:paraId="4052AA24" w14:textId="5373E208" w:rsidR="009D01A8" w:rsidRPr="008241FC" w:rsidRDefault="009D01A8" w:rsidP="0011793A">
      <w:pPr>
        <w:jc w:val="both"/>
        <w:rPr>
          <w:rFonts w:ascii="Arial" w:hAnsi="Arial" w:cs="Arial"/>
        </w:rPr>
      </w:pPr>
      <w:r>
        <w:rPr>
          <w:rFonts w:ascii="Arial" w:hAnsi="Arial" w:cs="Arial"/>
        </w:rPr>
        <w:t>T</w:t>
      </w:r>
      <w:r w:rsidR="00683CE7">
        <w:rPr>
          <w:rFonts w:ascii="Arial" w:hAnsi="Arial" w:cs="Arial"/>
        </w:rPr>
        <w:t>o this effect, t</w:t>
      </w:r>
      <w:r>
        <w:rPr>
          <w:rFonts w:ascii="Arial" w:hAnsi="Arial" w:cs="Arial"/>
        </w:rPr>
        <w:t xml:space="preserve">his contribution will go into further detail regarding demodulation </w:t>
      </w:r>
      <w:r w:rsidR="00022481">
        <w:rPr>
          <w:rFonts w:ascii="Arial" w:hAnsi="Arial" w:cs="Arial"/>
        </w:rPr>
        <w:t xml:space="preserve">testability </w:t>
      </w:r>
      <w:r>
        <w:rPr>
          <w:rFonts w:ascii="Arial" w:hAnsi="Arial" w:cs="Arial"/>
        </w:rPr>
        <w:t>aspect</w:t>
      </w:r>
      <w:r w:rsidR="00007D1F">
        <w:rPr>
          <w:rFonts w:ascii="Arial" w:hAnsi="Arial" w:cs="Arial"/>
        </w:rPr>
        <w:t xml:space="preserve">s.  The aim of this contribution is to </w:t>
      </w:r>
      <w:r w:rsidR="00ED76EB">
        <w:rPr>
          <w:rFonts w:ascii="Arial" w:hAnsi="Arial" w:cs="Arial"/>
        </w:rPr>
        <w:t xml:space="preserve">highlight </w:t>
      </w:r>
      <w:r w:rsidR="00A945EA">
        <w:rPr>
          <w:rFonts w:ascii="Arial" w:hAnsi="Arial" w:cs="Arial"/>
        </w:rPr>
        <w:t xml:space="preserve">issues </w:t>
      </w:r>
      <w:r w:rsidR="00367B61">
        <w:rPr>
          <w:rFonts w:ascii="Arial" w:hAnsi="Arial" w:cs="Arial"/>
        </w:rPr>
        <w:t>with regards to current testability limitations.</w:t>
      </w:r>
      <w:r w:rsidR="00A945EA">
        <w:rPr>
          <w:rFonts w:ascii="Arial" w:hAnsi="Arial" w:cs="Arial"/>
        </w:rPr>
        <w:t xml:space="preserve"> </w:t>
      </w:r>
    </w:p>
    <w:p w14:paraId="7A361842" w14:textId="63DB5E03" w:rsidR="00F31597" w:rsidRDefault="00F31597" w:rsidP="00F31597">
      <w:pPr>
        <w:pStyle w:val="Heading1"/>
      </w:pPr>
      <w:r>
        <w:t>2</w:t>
      </w:r>
      <w:r w:rsidRPr="005C7FAC">
        <w:t>.</w:t>
      </w:r>
      <w:r>
        <w:tab/>
        <w:t>Discussion</w:t>
      </w:r>
    </w:p>
    <w:p w14:paraId="7FBD164C" w14:textId="2D3A747F" w:rsidR="004B56F2" w:rsidRDefault="002A1232" w:rsidP="00DA45FC">
      <w:pPr>
        <w:rPr>
          <w:rFonts w:ascii="Arial" w:hAnsi="Arial" w:cs="Arial"/>
          <w:lang w:val="en-GB" w:eastAsia="zh-CN"/>
        </w:rPr>
      </w:pPr>
      <w:r>
        <w:rPr>
          <w:rFonts w:ascii="Arial" w:hAnsi="Arial" w:cs="Arial"/>
          <w:lang w:val="en-GB" w:eastAsia="zh-CN"/>
        </w:rPr>
        <w:t>One key aspect of conformance in FR2 is</w:t>
      </w:r>
      <w:r w:rsidR="005530C4">
        <w:rPr>
          <w:rFonts w:ascii="Arial" w:hAnsi="Arial" w:cs="Arial"/>
          <w:lang w:val="en-GB" w:eastAsia="zh-CN"/>
        </w:rPr>
        <w:t xml:space="preserve"> </w:t>
      </w:r>
      <w:r w:rsidR="008F68BE">
        <w:rPr>
          <w:rFonts w:ascii="Arial" w:hAnsi="Arial" w:cs="Arial"/>
          <w:lang w:val="en-GB" w:eastAsia="zh-CN"/>
        </w:rPr>
        <w:t>that</w:t>
      </w:r>
      <w:r w:rsidR="00923067">
        <w:rPr>
          <w:rFonts w:ascii="Arial" w:hAnsi="Arial" w:cs="Arial"/>
          <w:lang w:val="en-GB" w:eastAsia="zh-CN"/>
        </w:rPr>
        <w:t xml:space="preserve"> only OTA testing is available.  </w:t>
      </w:r>
      <w:r w:rsidR="00022481">
        <w:rPr>
          <w:rFonts w:ascii="Arial" w:hAnsi="Arial" w:cs="Arial"/>
          <w:lang w:val="en-GB" w:eastAsia="zh-CN"/>
        </w:rPr>
        <w:t>Rel-15 conclusions on UE</w:t>
      </w:r>
      <w:r w:rsidR="00923067">
        <w:rPr>
          <w:rFonts w:ascii="Arial" w:hAnsi="Arial" w:cs="Arial"/>
          <w:lang w:val="en-GB" w:eastAsia="zh-CN"/>
        </w:rPr>
        <w:t xml:space="preserve"> demodulation</w:t>
      </w:r>
      <w:r w:rsidR="00022481">
        <w:rPr>
          <w:rFonts w:ascii="Arial" w:hAnsi="Arial" w:cs="Arial"/>
          <w:lang w:val="en-GB" w:eastAsia="zh-CN"/>
        </w:rPr>
        <w:t xml:space="preserve"> testing</w:t>
      </w:r>
      <w:r w:rsidR="00923067">
        <w:rPr>
          <w:rFonts w:ascii="Arial" w:hAnsi="Arial" w:cs="Arial"/>
          <w:lang w:val="en-GB" w:eastAsia="zh-CN"/>
        </w:rPr>
        <w:t xml:space="preserve"> </w:t>
      </w:r>
      <w:r w:rsidR="00022481">
        <w:rPr>
          <w:rFonts w:ascii="Arial" w:hAnsi="Arial" w:cs="Arial"/>
          <w:lang w:val="en-GB" w:eastAsia="zh-CN"/>
        </w:rPr>
        <w:t>identified maximum</w:t>
      </w:r>
      <w:r w:rsidR="001750B7">
        <w:rPr>
          <w:rFonts w:ascii="Arial" w:hAnsi="Arial" w:cs="Arial"/>
          <w:lang w:val="en-GB" w:eastAsia="zh-CN"/>
        </w:rPr>
        <w:t xml:space="preserve"> achievable SNR levels due to the potential of high OTA path loss</w:t>
      </w:r>
      <w:r w:rsidR="00022481">
        <w:rPr>
          <w:rFonts w:ascii="Arial" w:hAnsi="Arial" w:cs="Arial"/>
          <w:lang w:val="en-GB" w:eastAsia="zh-CN"/>
        </w:rPr>
        <w:t>. Thus,</w:t>
      </w:r>
      <w:r w:rsidR="001750B7">
        <w:rPr>
          <w:rFonts w:ascii="Arial" w:hAnsi="Arial" w:cs="Arial"/>
          <w:lang w:val="en-GB" w:eastAsia="zh-CN"/>
        </w:rPr>
        <w:t xml:space="preserve"> the SNR range for FR2 </w:t>
      </w:r>
      <w:r w:rsidR="00022481">
        <w:rPr>
          <w:rFonts w:ascii="Arial" w:hAnsi="Arial" w:cs="Arial"/>
          <w:lang w:val="en-GB" w:eastAsia="zh-CN"/>
        </w:rPr>
        <w:t xml:space="preserve">demodulation tests </w:t>
      </w:r>
      <w:r w:rsidR="001750B7">
        <w:rPr>
          <w:rFonts w:ascii="Arial" w:hAnsi="Arial" w:cs="Arial"/>
          <w:lang w:val="en-GB" w:eastAsia="zh-CN"/>
        </w:rPr>
        <w:t xml:space="preserve">is limited compared to </w:t>
      </w:r>
      <w:r w:rsidR="00124F45">
        <w:rPr>
          <w:rFonts w:ascii="Arial" w:hAnsi="Arial" w:cs="Arial"/>
          <w:lang w:val="en-GB" w:eastAsia="zh-CN"/>
        </w:rPr>
        <w:t xml:space="preserve">that of </w:t>
      </w:r>
      <w:r w:rsidR="001750B7">
        <w:rPr>
          <w:rFonts w:ascii="Arial" w:hAnsi="Arial" w:cs="Arial"/>
          <w:lang w:val="en-GB" w:eastAsia="zh-CN"/>
        </w:rPr>
        <w:t>FR1.</w:t>
      </w:r>
      <w:r w:rsidR="00022481">
        <w:rPr>
          <w:rFonts w:ascii="Arial" w:hAnsi="Arial" w:cs="Arial"/>
          <w:lang w:val="en-GB" w:eastAsia="zh-CN"/>
        </w:rPr>
        <w:t xml:space="preserve"> The reason for this is as follows:</w:t>
      </w:r>
    </w:p>
    <w:p w14:paraId="12AFDDD4" w14:textId="369402E8" w:rsidR="00983914" w:rsidRDefault="00983914" w:rsidP="00983914">
      <w:pPr>
        <w:rPr>
          <w:rFonts w:ascii="Arial" w:hAnsi="Arial" w:cs="Arial"/>
          <w:lang w:val="en-GB" w:eastAsia="zh-CN"/>
        </w:rPr>
      </w:pPr>
      <w:r>
        <w:rPr>
          <w:rFonts w:ascii="Arial" w:hAnsi="Arial" w:cs="Arial"/>
          <w:lang w:val="en-GB" w:eastAsia="zh-CN"/>
        </w:rPr>
        <w:t xml:space="preserve">The SNR levels expected at the UE reference point needed for radiated demodulation and CSI requirements, </w:t>
      </w:r>
      <w:r w:rsidR="00022481">
        <w:rPr>
          <w:rFonts w:ascii="Arial" w:hAnsi="Arial" w:cs="Arial"/>
          <w:lang w:val="en-GB" w:eastAsia="zh-CN"/>
        </w:rPr>
        <w:t xml:space="preserve">can be expressed </w:t>
      </w:r>
      <w:r w:rsidR="00957F86">
        <w:rPr>
          <w:rFonts w:ascii="Arial" w:hAnsi="Arial" w:cs="Arial"/>
          <w:lang w:val="en-GB" w:eastAsia="zh-CN"/>
        </w:rPr>
        <w:t>us</w:t>
      </w:r>
      <w:r w:rsidR="00022481">
        <w:rPr>
          <w:rFonts w:ascii="Arial" w:hAnsi="Arial" w:cs="Arial"/>
          <w:lang w:val="en-GB" w:eastAsia="zh-CN"/>
        </w:rPr>
        <w:t>ing</w:t>
      </w:r>
      <w:r w:rsidR="00957F86">
        <w:rPr>
          <w:rFonts w:ascii="Arial" w:hAnsi="Arial" w:cs="Arial"/>
          <w:lang w:val="en-GB" w:eastAsia="zh-CN"/>
        </w:rPr>
        <w:t xml:space="preserve"> </w:t>
      </w:r>
      <w:r>
        <w:rPr>
          <w:rFonts w:ascii="Arial" w:hAnsi="Arial" w:cs="Arial"/>
          <w:lang w:val="en-GB" w:eastAsia="zh-CN"/>
        </w:rPr>
        <w:t>the following equation:</w:t>
      </w:r>
    </w:p>
    <w:p w14:paraId="7FDDB6FF" w14:textId="67404A4B" w:rsidR="00983914" w:rsidRPr="00ED29E2" w:rsidRDefault="00983914" w:rsidP="00983914">
      <w:pPr>
        <w:rPr>
          <w:rFonts w:ascii="Arial" w:hAnsi="Arial" w:cs="Arial"/>
          <w:sz w:val="24"/>
          <w:szCs w:val="24"/>
        </w:rPr>
      </w:pPr>
      <m:oMathPara>
        <m:oMath>
          <m:r>
            <w:rPr>
              <w:rFonts w:ascii="Cambria Math" w:hAnsi="Cambria Math"/>
            </w:rPr>
            <m:t>SNR</m:t>
          </m:r>
          <m:r>
            <m:rPr>
              <m:sty m:val="p"/>
            </m:rPr>
            <w:rPr>
              <w:rFonts w:ascii="Cambria Math" w:hAnsi="Cambria Math"/>
            </w:rPr>
            <m:t>=</m:t>
          </m:r>
          <m:f>
            <m:fPr>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rPr>
                    <m:t>E</m:t>
                  </m:r>
                  <m:ctrlPr>
                    <w:rPr>
                      <w:rFonts w:ascii="Cambria Math" w:hAnsi="Cambria Math"/>
                      <w:i/>
                    </w:rPr>
                  </m:ctrlPr>
                </m:e>
                <m:sub>
                  <m:r>
                    <w:rPr>
                      <w:rFonts w:ascii="Cambria Math" w:hAnsi="Cambria Math"/>
                    </w:rPr>
                    <m:t>s</m:t>
                  </m:r>
                </m:sub>
              </m:sSub>
            </m:num>
            <m:den>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OC</m:t>
                  </m:r>
                </m:sub>
              </m:sSub>
            </m:den>
          </m:f>
        </m:oMath>
      </m:oMathPara>
    </w:p>
    <w:p w14:paraId="7073DB23" w14:textId="34E8284A" w:rsidR="00022481" w:rsidRDefault="00022481" w:rsidP="00DA45FC">
      <w:pPr>
        <w:rPr>
          <w:rFonts w:ascii="Arial" w:hAnsi="Arial" w:cs="Arial"/>
          <w:lang w:val="en-GB" w:eastAsia="zh-CN"/>
        </w:rPr>
      </w:pPr>
      <w:r>
        <w:rPr>
          <w:rFonts w:ascii="Arial" w:hAnsi="Arial" w:cs="Arial"/>
          <w:lang w:val="en-GB" w:eastAsia="zh-CN"/>
        </w:rPr>
        <w:t>The numerator represents samples of the wanted signal and the denominator AWGN generated in the test gear. The SNR is determined and fixed at the test gear and transmitter.</w:t>
      </w:r>
    </w:p>
    <w:p w14:paraId="38D5BE0B" w14:textId="2A981F3A" w:rsidR="00022481" w:rsidRDefault="00F46F61" w:rsidP="00022481">
      <w:pPr>
        <w:rPr>
          <w:rFonts w:ascii="Arial" w:hAnsi="Arial" w:cs="Arial"/>
          <w:lang w:val="en-GB" w:eastAsia="zh-CN"/>
        </w:rPr>
      </w:pPr>
      <w:r>
        <w:rPr>
          <w:rFonts w:ascii="Arial" w:hAnsi="Arial" w:cs="Arial"/>
          <w:lang w:val="en-GB" w:eastAsia="zh-CN"/>
        </w:rPr>
        <w:t>In F</w:t>
      </w:r>
      <w:r w:rsidR="00022481" w:rsidRPr="0038529F">
        <w:rPr>
          <w:rFonts w:ascii="Arial" w:hAnsi="Arial" w:cs="Arial"/>
          <w:lang w:val="en-GB" w:eastAsia="zh-CN"/>
        </w:rPr>
        <w:t xml:space="preserve">igure </w:t>
      </w:r>
      <w:r>
        <w:rPr>
          <w:rFonts w:ascii="Arial" w:hAnsi="Arial" w:cs="Arial"/>
          <w:lang w:val="en-GB" w:eastAsia="zh-CN"/>
        </w:rPr>
        <w:t>1,</w:t>
      </w:r>
      <w:r w:rsidR="00022481" w:rsidRPr="0038529F">
        <w:rPr>
          <w:rFonts w:ascii="Arial" w:hAnsi="Arial" w:cs="Arial"/>
          <w:lang w:val="en-GB" w:eastAsia="zh-CN"/>
        </w:rPr>
        <w:t xml:space="preserve"> an illustration </w:t>
      </w:r>
      <w:r w:rsidR="00022481">
        <w:rPr>
          <w:rFonts w:ascii="Arial" w:hAnsi="Arial" w:cs="Arial"/>
          <w:lang w:val="en-GB" w:eastAsia="zh-CN"/>
        </w:rPr>
        <w:t xml:space="preserve">of the impact of OTA testing with </w:t>
      </w:r>
      <w:r w:rsidR="00022481" w:rsidRPr="0038529F">
        <w:rPr>
          <w:rFonts w:ascii="Arial" w:hAnsi="Arial" w:cs="Arial"/>
          <w:lang w:val="en-GB" w:eastAsia="zh-CN"/>
        </w:rPr>
        <w:t>a certain E</w:t>
      </w:r>
      <w:r w:rsidR="00022481" w:rsidRPr="00401F16">
        <w:rPr>
          <w:rFonts w:ascii="Arial" w:hAnsi="Arial" w:cs="Arial"/>
          <w:vertAlign w:val="subscript"/>
          <w:lang w:val="en-GB" w:eastAsia="zh-CN"/>
        </w:rPr>
        <w:t>S</w:t>
      </w:r>
      <w:r w:rsidR="00022481" w:rsidRPr="0038529F">
        <w:rPr>
          <w:rFonts w:ascii="Arial" w:hAnsi="Arial" w:cs="Arial"/>
          <w:lang w:val="en-GB" w:eastAsia="zh-CN"/>
        </w:rPr>
        <w:t>/N</w:t>
      </w:r>
      <w:r w:rsidR="00022481" w:rsidRPr="00401F16">
        <w:rPr>
          <w:rFonts w:ascii="Arial" w:hAnsi="Arial" w:cs="Arial"/>
          <w:vertAlign w:val="subscript"/>
          <w:lang w:val="en-GB" w:eastAsia="zh-CN"/>
        </w:rPr>
        <w:t>OC</w:t>
      </w:r>
      <w:r w:rsidR="00022481" w:rsidRPr="0038529F">
        <w:rPr>
          <w:rFonts w:ascii="Arial" w:hAnsi="Arial" w:cs="Arial"/>
          <w:lang w:val="en-GB" w:eastAsia="zh-CN"/>
        </w:rPr>
        <w:t xml:space="preserve"> is set at the transmitter</w:t>
      </w:r>
      <w:r w:rsidR="00022481">
        <w:rPr>
          <w:rFonts w:ascii="Arial" w:hAnsi="Arial" w:cs="Arial"/>
          <w:lang w:val="en-GB" w:eastAsia="zh-CN"/>
        </w:rPr>
        <w:t>.</w:t>
      </w:r>
      <w:r w:rsidR="00022481" w:rsidRPr="0038529F">
        <w:rPr>
          <w:rFonts w:ascii="Arial" w:hAnsi="Arial" w:cs="Arial"/>
          <w:lang w:val="en-GB" w:eastAsia="zh-CN"/>
        </w:rPr>
        <w:t xml:space="preserve"> </w:t>
      </w:r>
      <w:r w:rsidR="00022481">
        <w:rPr>
          <w:rFonts w:ascii="Arial" w:hAnsi="Arial" w:cs="Arial"/>
          <w:lang w:val="en-GB" w:eastAsia="zh-CN"/>
        </w:rPr>
        <w:t>T</w:t>
      </w:r>
      <w:r w:rsidR="00022481" w:rsidRPr="0038529F">
        <w:rPr>
          <w:rFonts w:ascii="Arial" w:hAnsi="Arial" w:cs="Arial"/>
          <w:lang w:val="en-GB" w:eastAsia="zh-CN"/>
        </w:rPr>
        <w:t xml:space="preserve">he </w:t>
      </w:r>
      <w:r w:rsidR="00022481">
        <w:rPr>
          <w:rFonts w:ascii="Arial" w:hAnsi="Arial" w:cs="Arial"/>
          <w:lang w:val="en-GB" w:eastAsia="zh-CN"/>
        </w:rPr>
        <w:t xml:space="preserve">received </w:t>
      </w:r>
      <w:r w:rsidR="00022481" w:rsidRPr="0038529F">
        <w:rPr>
          <w:rFonts w:ascii="Arial" w:hAnsi="Arial" w:cs="Arial"/>
          <w:lang w:val="en-GB" w:eastAsia="zh-CN"/>
        </w:rPr>
        <w:t xml:space="preserve">signal </w:t>
      </w:r>
      <w:r w:rsidR="00022481">
        <w:rPr>
          <w:rFonts w:ascii="Arial" w:hAnsi="Arial" w:cs="Arial"/>
          <w:lang w:val="en-GB" w:eastAsia="zh-CN"/>
        </w:rPr>
        <w:t>comprises the transmitted signal (including both wanted signal and AWGN)</w:t>
      </w:r>
      <w:r w:rsidR="00022481" w:rsidRPr="0038529F">
        <w:rPr>
          <w:rFonts w:ascii="Arial" w:hAnsi="Arial" w:cs="Arial"/>
          <w:lang w:val="en-GB" w:eastAsia="zh-CN"/>
        </w:rPr>
        <w:t xml:space="preserve"> </w:t>
      </w:r>
      <w:r w:rsidR="00022481">
        <w:rPr>
          <w:rFonts w:ascii="Arial" w:hAnsi="Arial" w:cs="Arial"/>
          <w:lang w:val="en-GB" w:eastAsia="zh-CN"/>
        </w:rPr>
        <w:t>modified by</w:t>
      </w:r>
      <w:r w:rsidR="00022481" w:rsidRPr="0038529F">
        <w:rPr>
          <w:rFonts w:ascii="Arial" w:hAnsi="Arial" w:cs="Arial"/>
          <w:lang w:val="en-GB" w:eastAsia="zh-CN"/>
        </w:rPr>
        <w:t xml:space="preserve"> the pathloss and </w:t>
      </w:r>
      <w:r w:rsidR="00022481">
        <w:rPr>
          <w:rFonts w:ascii="Arial" w:hAnsi="Arial" w:cs="Arial"/>
          <w:lang w:val="en-GB" w:eastAsia="zh-CN"/>
        </w:rPr>
        <w:t xml:space="preserve">with added </w:t>
      </w:r>
      <w:r w:rsidR="00022481" w:rsidRPr="0038529F">
        <w:rPr>
          <w:rFonts w:ascii="Arial" w:hAnsi="Arial" w:cs="Arial"/>
          <w:lang w:val="en-GB" w:eastAsia="zh-CN"/>
        </w:rPr>
        <w:t xml:space="preserve">receiver noise.  </w:t>
      </w:r>
      <w:r w:rsidR="00022481">
        <w:rPr>
          <w:rFonts w:ascii="Arial" w:hAnsi="Arial" w:cs="Arial"/>
          <w:lang w:val="en-GB" w:eastAsia="zh-CN"/>
        </w:rPr>
        <w:t>Thus, the signal experienced at each receiver is as follows:</w:t>
      </w:r>
    </w:p>
    <w:p w14:paraId="0E18A380" w14:textId="28F2B3C3" w:rsidR="00022481" w:rsidRPr="00ED29E2" w:rsidRDefault="00022481" w:rsidP="00022481">
      <w:pPr>
        <w:rPr>
          <w:rFonts w:ascii="Arial" w:hAnsi="Arial" w:cs="Arial"/>
          <w:sz w:val="24"/>
          <w:szCs w:val="24"/>
        </w:rPr>
      </w:pPr>
      <m:oMathPara>
        <m:oMath>
          <m:r>
            <w:rPr>
              <w:rFonts w:ascii="Cambria Math" w:hAnsi="Cambria Math"/>
            </w:rPr>
            <m:t>SNR</m:t>
          </m:r>
          <m:r>
            <m:rPr>
              <m:sty m:val="p"/>
            </m:rPr>
            <w:rPr>
              <w:rFonts w:ascii="Cambria Math" w:hAnsi="Cambria Math"/>
            </w:rPr>
            <m:t>=</m:t>
          </m:r>
          <m:f>
            <m:fPr>
              <m:ctrlPr>
                <w:rPr>
                  <w:rFonts w:ascii="Cambria Math" w:hAnsi="Cambria Math"/>
                </w:rPr>
              </m:ctrlPr>
            </m:fPr>
            <m:num>
              <m:r>
                <w:rPr>
                  <w:rFonts w:ascii="Cambria Math" w:hAnsi="Cambria Math"/>
                </w:rPr>
                <m:t>PL*</m:t>
              </m:r>
              <m:sSub>
                <m:sSubPr>
                  <m:ctrlPr>
                    <w:rPr>
                      <w:rFonts w:ascii="Cambria Math" w:hAnsi="Cambria Math"/>
                      <w:sz w:val="24"/>
                      <w:szCs w:val="24"/>
                    </w:rPr>
                  </m:ctrlPr>
                </m:sSubPr>
                <m:e>
                  <m:r>
                    <w:rPr>
                      <w:rFonts w:ascii="Cambria Math" w:hAnsi="Cambria Math"/>
                    </w:rPr>
                    <m:t>E</m:t>
                  </m:r>
                  <m:ctrlPr>
                    <w:rPr>
                      <w:rFonts w:ascii="Cambria Math" w:hAnsi="Cambria Math"/>
                      <w:i/>
                    </w:rPr>
                  </m:ctrlPr>
                </m:e>
                <m:sub>
                  <m:r>
                    <w:rPr>
                      <w:rFonts w:ascii="Cambria Math" w:hAnsi="Cambria Math"/>
                    </w:rPr>
                    <m:t>s</m:t>
                  </m:r>
                </m:sub>
              </m:sSub>
            </m:num>
            <m:den>
              <m:r>
                <w:rPr>
                  <w:rFonts w:ascii="Cambria Math" w:hAnsi="Cambria Math"/>
                </w:rPr>
                <m:t>(PL*</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OC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 xml:space="preserve">) </m:t>
              </m:r>
            </m:den>
          </m:f>
        </m:oMath>
      </m:oMathPara>
    </w:p>
    <w:p w14:paraId="4BEE3FF6" w14:textId="0BF8EFC6" w:rsidR="00022481" w:rsidRDefault="00022481" w:rsidP="00022481">
      <w:pPr>
        <w:rPr>
          <w:rFonts w:ascii="Arial" w:hAnsi="Arial" w:cs="Arial"/>
          <w:lang w:val="en-GB" w:eastAsia="zh-CN"/>
        </w:rPr>
      </w:pPr>
      <w:r>
        <w:rPr>
          <w:rFonts w:ascii="Arial" w:hAnsi="Arial" w:cs="Arial"/>
          <w:lang w:val="en-GB" w:eastAsia="zh-CN"/>
        </w:rPr>
        <w:t xml:space="preserve">Where PL is the pathloss and </w:t>
      </w:r>
      <w:r w:rsidR="008A5764">
        <w:rPr>
          <w:rFonts w:ascii="Arial" w:hAnsi="Arial" w:cs="Arial"/>
          <w:lang w:val="en-GB" w:eastAsia="zh-CN"/>
        </w:rPr>
        <w:t>P</w:t>
      </w:r>
      <w:r>
        <w:rPr>
          <w:rFonts w:ascii="Arial" w:hAnsi="Arial" w:cs="Arial"/>
          <w:vertAlign w:val="subscript"/>
          <w:lang w:val="en-GB" w:eastAsia="zh-CN"/>
        </w:rPr>
        <w:t>RX</w:t>
      </w:r>
      <w:r>
        <w:rPr>
          <w:rFonts w:ascii="Arial" w:hAnsi="Arial" w:cs="Arial"/>
          <w:lang w:val="en-GB" w:eastAsia="zh-CN"/>
        </w:rPr>
        <w:t xml:space="preserve"> represents the power of the internal noise in the receiver.</w:t>
      </w:r>
    </w:p>
    <w:p w14:paraId="584B4CD3" w14:textId="02C2F3BD" w:rsidR="00022481" w:rsidRPr="00550198" w:rsidRDefault="00022481" w:rsidP="00022481">
      <w:pPr>
        <w:rPr>
          <w:rFonts w:ascii="Arial" w:hAnsi="Arial" w:cs="Arial"/>
          <w:lang w:val="en-GB" w:eastAsia="zh-CN"/>
        </w:rPr>
      </w:pPr>
      <w:r>
        <w:rPr>
          <w:rFonts w:ascii="Arial" w:hAnsi="Arial" w:cs="Arial"/>
          <w:lang w:val="en-GB" w:eastAsia="zh-CN"/>
        </w:rPr>
        <w:t xml:space="preserve">Clearly, if </w:t>
      </w:r>
      <w:r w:rsidR="008A5764">
        <w:rPr>
          <w:rFonts w:ascii="Arial" w:hAnsi="Arial" w:cs="Arial"/>
          <w:lang w:val="en-GB" w:eastAsia="zh-CN"/>
        </w:rPr>
        <w:t>P</w:t>
      </w:r>
      <w:r>
        <w:rPr>
          <w:rFonts w:ascii="Arial" w:hAnsi="Arial" w:cs="Arial"/>
          <w:vertAlign w:val="subscript"/>
          <w:lang w:val="en-GB" w:eastAsia="zh-CN"/>
        </w:rPr>
        <w:t>RX</w:t>
      </w:r>
      <w:r>
        <w:rPr>
          <w:rFonts w:ascii="Arial" w:hAnsi="Arial" w:cs="Arial"/>
          <w:lang w:val="en-GB" w:eastAsia="zh-CN"/>
        </w:rPr>
        <w:t xml:space="preserve"> is significant compared to the received AWGN level </w:t>
      </w:r>
      <w:r w:rsidR="00550198">
        <w:rPr>
          <w:rFonts w:ascii="Arial" w:hAnsi="Arial" w:cs="Arial"/>
          <w:lang w:val="en-GB" w:eastAsia="zh-CN"/>
        </w:rPr>
        <w:t>then the SNR will be degraded compared to the intended demodulation requirement.</w:t>
      </w:r>
    </w:p>
    <w:p w14:paraId="4620EBE1" w14:textId="6BC7A9AA" w:rsidR="00022481" w:rsidRPr="00550198" w:rsidRDefault="00550198" w:rsidP="00022481">
      <w:pPr>
        <w:rPr>
          <w:rFonts w:ascii="Arial" w:hAnsi="Arial" w:cs="Arial"/>
          <w:lang w:val="en-GB" w:eastAsia="zh-CN"/>
        </w:rPr>
      </w:pPr>
      <w:r>
        <w:rPr>
          <w:rFonts w:ascii="Arial" w:hAnsi="Arial" w:cs="Arial"/>
          <w:lang w:val="en-GB" w:eastAsia="zh-CN"/>
        </w:rPr>
        <w:lastRenderedPageBreak/>
        <w:t>The pathloss is a property of the OTA chamber, and the maximum possible transmit power for the wanted signal and AWGN are determined by the test gear. N</w:t>
      </w:r>
      <w:r>
        <w:rPr>
          <w:rFonts w:ascii="Arial" w:hAnsi="Arial" w:cs="Arial"/>
          <w:vertAlign w:val="subscript"/>
          <w:lang w:val="en-GB" w:eastAsia="zh-CN"/>
        </w:rPr>
        <w:t>RX</w:t>
      </w:r>
      <w:r>
        <w:rPr>
          <w:rFonts w:ascii="Arial" w:hAnsi="Arial" w:cs="Arial"/>
          <w:lang w:val="en-GB" w:eastAsia="zh-CN"/>
        </w:rPr>
        <w:t xml:space="preserve"> depends on the receiver sensitivity. Since the factors in the equation are limited by chamber and equipment performance, there is a limit to the SNR that can be tested at the receiver without experiencing substantial degradation at the receiver.</w:t>
      </w:r>
    </w:p>
    <w:p w14:paraId="470B113C" w14:textId="5C71B97D" w:rsidR="00022481" w:rsidRDefault="00022481" w:rsidP="00022481">
      <w:pPr>
        <w:rPr>
          <w:rFonts w:ascii="Arial" w:hAnsi="Arial" w:cs="Arial"/>
          <w:lang w:val="en-GB" w:eastAsia="zh-CN"/>
        </w:rPr>
      </w:pPr>
      <w:r w:rsidRPr="0038529F">
        <w:rPr>
          <w:rFonts w:ascii="Arial" w:hAnsi="Arial" w:cs="Arial"/>
          <w:lang w:val="en-GB" w:eastAsia="zh-CN"/>
        </w:rPr>
        <w:t xml:space="preserve">At high modulation, such as 256 QAM, the </w:t>
      </w:r>
      <w:r w:rsidR="00550198">
        <w:rPr>
          <w:rFonts w:ascii="Arial" w:hAnsi="Arial" w:cs="Arial"/>
          <w:lang w:val="en-GB" w:eastAsia="zh-CN"/>
        </w:rPr>
        <w:t>SNR limit</w:t>
      </w:r>
      <w:r w:rsidRPr="0038529F">
        <w:rPr>
          <w:rFonts w:ascii="Arial" w:hAnsi="Arial" w:cs="Arial"/>
          <w:lang w:val="en-GB" w:eastAsia="zh-CN"/>
        </w:rPr>
        <w:t xml:space="preserve"> becomes an important factor. </w:t>
      </w:r>
    </w:p>
    <w:p w14:paraId="0EA10144" w14:textId="77777777" w:rsidR="00022481" w:rsidRPr="0038529F" w:rsidRDefault="00022481" w:rsidP="00022481">
      <w:pPr>
        <w:rPr>
          <w:rFonts w:ascii="Arial" w:hAnsi="Arial" w:cs="Arial"/>
          <w:lang w:val="en-GB" w:eastAsia="zh-CN"/>
        </w:rPr>
      </w:pPr>
    </w:p>
    <w:p w14:paraId="51FD5998" w14:textId="77777777" w:rsidR="00F46F61" w:rsidRDefault="00022481" w:rsidP="00401F16">
      <w:pPr>
        <w:keepNext/>
      </w:pPr>
      <w:r>
        <w:rPr>
          <w:noProof/>
          <w:lang w:val="en-GB"/>
        </w:rPr>
        <w:drawing>
          <wp:inline distT="0" distB="0" distL="0" distR="0" wp14:anchorId="74E9EAC6" wp14:editId="4CE091A9">
            <wp:extent cx="5979160" cy="127343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2849" cy="1295514"/>
                    </a:xfrm>
                    <a:prstGeom prst="rect">
                      <a:avLst/>
                    </a:prstGeom>
                    <a:noFill/>
                  </pic:spPr>
                </pic:pic>
              </a:graphicData>
            </a:graphic>
          </wp:inline>
        </w:drawing>
      </w:r>
    </w:p>
    <w:p w14:paraId="51BA58B5" w14:textId="630733A0" w:rsidR="00022481" w:rsidRDefault="00F46F61" w:rsidP="00401F16">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OTA UE Demodulation Test Setup</w:t>
      </w:r>
    </w:p>
    <w:p w14:paraId="495E7068" w14:textId="77777777" w:rsidR="00022481" w:rsidRDefault="00022481" w:rsidP="00DA45FC">
      <w:pPr>
        <w:rPr>
          <w:rFonts w:ascii="Arial" w:hAnsi="Arial" w:cs="Arial"/>
          <w:lang w:val="en-GB" w:eastAsia="zh-CN"/>
        </w:rPr>
      </w:pPr>
    </w:p>
    <w:p w14:paraId="5A62DAA7" w14:textId="2497285B" w:rsidR="00EA3BD4" w:rsidRDefault="005E06CC" w:rsidP="00DA45FC">
      <w:pPr>
        <w:rPr>
          <w:rFonts w:ascii="Arial" w:hAnsi="Arial" w:cs="Arial"/>
          <w:lang w:val="en-GB" w:eastAsia="zh-CN"/>
        </w:rPr>
      </w:pPr>
      <w:r>
        <w:rPr>
          <w:rFonts w:ascii="Arial" w:hAnsi="Arial" w:cs="Arial"/>
          <w:lang w:val="en-GB" w:eastAsia="zh-CN"/>
        </w:rPr>
        <w:t>It was then determined the upper bound of values given for the test method indirect far field method</w:t>
      </w:r>
      <w:r w:rsidR="00714570">
        <w:rPr>
          <w:rFonts w:ascii="Arial" w:hAnsi="Arial" w:cs="Arial"/>
          <w:lang w:val="en-GB" w:eastAsia="zh-CN"/>
        </w:rPr>
        <w:t xml:space="preserve"> which has been documented as</w:t>
      </w:r>
      <w:r w:rsidR="00242A06">
        <w:rPr>
          <w:rFonts w:ascii="Arial" w:hAnsi="Arial" w:cs="Arial"/>
          <w:lang w:val="en-GB" w:eastAsia="zh-CN"/>
        </w:rPr>
        <w:t xml:space="preserve"> SNR upper bound </w:t>
      </w:r>
      <w:r w:rsidR="006C2730">
        <w:rPr>
          <w:rFonts w:ascii="Arial" w:hAnsi="Arial" w:cs="Arial"/>
          <w:lang w:val="en-GB" w:eastAsia="zh-CN"/>
        </w:rPr>
        <w:t xml:space="preserve">has </w:t>
      </w:r>
      <w:r w:rsidR="00904904">
        <w:rPr>
          <w:rFonts w:ascii="Arial" w:hAnsi="Arial" w:cs="Arial"/>
          <w:lang w:val="en-GB" w:eastAsia="zh-CN"/>
        </w:rPr>
        <w:t>been studied and captured in</w:t>
      </w:r>
      <w:r w:rsidR="00B70CBD">
        <w:rPr>
          <w:rFonts w:ascii="Arial" w:hAnsi="Arial" w:cs="Arial"/>
          <w:lang w:val="en-GB" w:eastAsia="zh-CN"/>
        </w:rPr>
        <w:t xml:space="preserve"> </w:t>
      </w:r>
      <w:r w:rsidR="00904904">
        <w:rPr>
          <w:rFonts w:ascii="Arial" w:hAnsi="Arial" w:cs="Arial"/>
          <w:lang w:val="en-GB" w:eastAsia="zh-CN"/>
        </w:rPr>
        <w:t xml:space="preserve">TR 38.810.  </w:t>
      </w:r>
    </w:p>
    <w:p w14:paraId="70B30E20" w14:textId="77777777" w:rsidR="001C2678" w:rsidRPr="00F96F5C" w:rsidRDefault="001C2678" w:rsidP="001C2678">
      <w:pPr>
        <w:pStyle w:val="TH"/>
      </w:pPr>
      <w:r w:rsidRPr="004820EA">
        <w:rPr>
          <w:lang w:val="en-US"/>
        </w:rPr>
        <w:t>TR 38.810 t</w:t>
      </w:r>
      <w:r w:rsidRPr="00F96F5C">
        <w:t xml:space="preserve">able </w:t>
      </w:r>
      <w:r w:rsidRPr="00F96F5C">
        <w:rPr>
          <w:lang w:eastAsia="ja-JP"/>
        </w:rPr>
        <w:t>B.2.2.5.4-1</w:t>
      </w:r>
      <w:r w:rsidRPr="00F96F5C">
        <w:t>: Predicted SNR upper bound values for Indirect far field (IFF)</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381"/>
      </w:tblGrid>
      <w:tr w:rsidR="001C2678" w:rsidRPr="00F96F5C" w14:paraId="43435A87" w14:textId="77777777" w:rsidTr="00B06346">
        <w:trPr>
          <w:jc w:val="center"/>
        </w:trPr>
        <w:tc>
          <w:tcPr>
            <w:tcW w:w="2722" w:type="dxa"/>
            <w:shd w:val="clear" w:color="auto" w:fill="auto"/>
          </w:tcPr>
          <w:p w14:paraId="2031DC36" w14:textId="77777777" w:rsidR="001C2678" w:rsidRPr="00F96F5C" w:rsidRDefault="001C2678" w:rsidP="00B06346">
            <w:pPr>
              <w:pStyle w:val="TAH"/>
            </w:pPr>
            <w:r w:rsidRPr="00F96F5C">
              <w:t>Channel Bandwidth</w:t>
            </w:r>
          </w:p>
        </w:tc>
        <w:tc>
          <w:tcPr>
            <w:tcW w:w="2381" w:type="dxa"/>
            <w:shd w:val="clear" w:color="auto" w:fill="auto"/>
          </w:tcPr>
          <w:p w14:paraId="33D9BD63" w14:textId="77777777" w:rsidR="001C2678" w:rsidRPr="00F96F5C" w:rsidRDefault="001C2678" w:rsidP="00B06346">
            <w:pPr>
              <w:pStyle w:val="TAH"/>
            </w:pPr>
            <w:r w:rsidRPr="00F96F5C">
              <w:t>Maximum SNR</w:t>
            </w:r>
          </w:p>
        </w:tc>
      </w:tr>
      <w:tr w:rsidR="001C2678" w:rsidRPr="00F96F5C" w14:paraId="69841C49" w14:textId="77777777" w:rsidTr="00B06346">
        <w:trPr>
          <w:jc w:val="center"/>
        </w:trPr>
        <w:tc>
          <w:tcPr>
            <w:tcW w:w="2722" w:type="dxa"/>
            <w:shd w:val="clear" w:color="auto" w:fill="auto"/>
          </w:tcPr>
          <w:p w14:paraId="09F4C589" w14:textId="77777777" w:rsidR="001C2678" w:rsidRPr="00F96F5C" w:rsidRDefault="001C2678" w:rsidP="00B06346">
            <w:pPr>
              <w:pStyle w:val="TAC"/>
            </w:pPr>
            <w:r w:rsidRPr="00F96F5C">
              <w:t>100MHz</w:t>
            </w:r>
          </w:p>
        </w:tc>
        <w:tc>
          <w:tcPr>
            <w:tcW w:w="2381" w:type="dxa"/>
            <w:shd w:val="clear" w:color="auto" w:fill="auto"/>
          </w:tcPr>
          <w:p w14:paraId="0E4AE01B" w14:textId="77777777" w:rsidR="001C2678" w:rsidRPr="00F96F5C" w:rsidRDefault="001C2678" w:rsidP="00B06346">
            <w:pPr>
              <w:pStyle w:val="TAC"/>
            </w:pPr>
            <w:r w:rsidRPr="00F96F5C">
              <w:t>[19.0dB]</w:t>
            </w:r>
          </w:p>
        </w:tc>
      </w:tr>
      <w:tr w:rsidR="001C2678" w:rsidRPr="00F96F5C" w14:paraId="4F7157EA" w14:textId="77777777" w:rsidTr="00B06346">
        <w:trPr>
          <w:jc w:val="center"/>
        </w:trPr>
        <w:tc>
          <w:tcPr>
            <w:tcW w:w="2722" w:type="dxa"/>
            <w:shd w:val="clear" w:color="auto" w:fill="auto"/>
          </w:tcPr>
          <w:p w14:paraId="0C3E0A5E" w14:textId="77777777" w:rsidR="001C2678" w:rsidRPr="00F96F5C" w:rsidRDefault="001C2678" w:rsidP="00B06346">
            <w:pPr>
              <w:pStyle w:val="TAC"/>
            </w:pPr>
            <w:r w:rsidRPr="00F96F5C">
              <w:t>200MHz</w:t>
            </w:r>
          </w:p>
        </w:tc>
        <w:tc>
          <w:tcPr>
            <w:tcW w:w="2381" w:type="dxa"/>
            <w:shd w:val="clear" w:color="auto" w:fill="auto"/>
          </w:tcPr>
          <w:p w14:paraId="43207690" w14:textId="77777777" w:rsidR="001C2678" w:rsidRPr="00F96F5C" w:rsidRDefault="001C2678" w:rsidP="00B06346">
            <w:pPr>
              <w:pStyle w:val="TAC"/>
            </w:pPr>
            <w:r w:rsidRPr="00F96F5C">
              <w:t>[16.0dB]</w:t>
            </w:r>
          </w:p>
        </w:tc>
      </w:tr>
    </w:tbl>
    <w:p w14:paraId="0F030518" w14:textId="77777777" w:rsidR="008F68BE" w:rsidRDefault="008F68BE" w:rsidP="00DA45FC">
      <w:pPr>
        <w:rPr>
          <w:rFonts w:ascii="Arial" w:hAnsi="Arial" w:cs="Arial"/>
          <w:lang w:val="en-GB" w:eastAsia="zh-CN"/>
        </w:rPr>
      </w:pPr>
    </w:p>
    <w:p w14:paraId="0896B8DE" w14:textId="5DB1CEF8" w:rsidR="009863A1" w:rsidRDefault="00550198" w:rsidP="00DA45FC">
      <w:pPr>
        <w:rPr>
          <w:rFonts w:ascii="Arial" w:hAnsi="Arial" w:cs="Arial"/>
          <w:lang w:val="en-GB" w:eastAsia="zh-CN"/>
        </w:rPr>
      </w:pPr>
      <w:r w:rsidRPr="00401F16">
        <w:rPr>
          <w:rFonts w:ascii="Arial" w:hAnsi="Arial" w:cs="Arial"/>
          <w:lang w:val="en-GB" w:eastAsia="zh-CN"/>
        </w:rPr>
        <w:t>Considering these upper bounds on achievable SNR for demodulation testing, it does not appear that currently documented demodulation testing is able to test 256QAM, which requires in excess of 25dB SNR for proper testing.</w:t>
      </w:r>
      <w:r w:rsidR="00B91432">
        <w:rPr>
          <w:rFonts w:ascii="Arial" w:hAnsi="Arial" w:cs="Arial"/>
          <w:lang w:val="en-GB" w:eastAsia="zh-CN"/>
        </w:rPr>
        <w:t xml:space="preserve"> </w:t>
      </w:r>
      <w:r w:rsidR="00C92E36">
        <w:rPr>
          <w:rFonts w:ascii="Arial" w:hAnsi="Arial" w:cs="Arial"/>
          <w:lang w:val="en-GB" w:eastAsia="zh-CN"/>
        </w:rPr>
        <w:t>Although some of t</w:t>
      </w:r>
      <w:r w:rsidR="009863A1">
        <w:rPr>
          <w:rFonts w:ascii="Arial" w:hAnsi="Arial" w:cs="Arial"/>
          <w:lang w:val="en-GB" w:eastAsia="zh-CN"/>
        </w:rPr>
        <w:t>hese physical limitations and challenges have been discussed in previous RAN4 meetings</w:t>
      </w:r>
      <w:r w:rsidR="00C92E36">
        <w:rPr>
          <w:rFonts w:ascii="Arial" w:hAnsi="Arial" w:cs="Arial"/>
          <w:lang w:val="en-GB" w:eastAsia="zh-CN"/>
        </w:rPr>
        <w:t xml:space="preserve">, it is necessary to consider them as part of the study work for feasibility and </w:t>
      </w:r>
      <w:r w:rsidR="004838C3">
        <w:rPr>
          <w:rFonts w:ascii="Arial" w:hAnsi="Arial" w:cs="Arial"/>
          <w:lang w:val="en-GB" w:eastAsia="zh-CN"/>
        </w:rPr>
        <w:t>benefit of introducing 256 QAM</w:t>
      </w:r>
      <w:r w:rsidR="009863A1">
        <w:rPr>
          <w:rFonts w:ascii="Arial" w:hAnsi="Arial" w:cs="Arial"/>
          <w:lang w:val="en-GB" w:eastAsia="zh-CN"/>
        </w:rPr>
        <w:t xml:space="preserve">.  </w:t>
      </w:r>
    </w:p>
    <w:p w14:paraId="2A3BA3DC" w14:textId="095DDF42" w:rsidR="00EB454D" w:rsidRDefault="004838C3" w:rsidP="00DA45FC">
      <w:pPr>
        <w:rPr>
          <w:rFonts w:ascii="Arial" w:hAnsi="Arial" w:cs="Arial"/>
          <w:lang w:val="en-GB" w:eastAsia="zh-CN"/>
        </w:rPr>
      </w:pPr>
      <w:r>
        <w:rPr>
          <w:rFonts w:ascii="Arial" w:hAnsi="Arial" w:cs="Arial"/>
          <w:lang w:val="en-GB" w:eastAsia="zh-CN"/>
        </w:rPr>
        <w:t>It needs to be considered</w:t>
      </w:r>
      <w:r w:rsidR="00EB454D">
        <w:rPr>
          <w:rFonts w:ascii="Arial" w:hAnsi="Arial" w:cs="Arial"/>
          <w:lang w:val="en-GB" w:eastAsia="zh-CN"/>
        </w:rPr>
        <w:t xml:space="preserve"> what is expected to be used for UE testing for what is needed at the UE reference point.  For high SINR it is necessary to ensure low noise performance at </w:t>
      </w:r>
      <w:r w:rsidR="00550198">
        <w:rPr>
          <w:rFonts w:ascii="Arial" w:hAnsi="Arial" w:cs="Arial"/>
          <w:lang w:val="en-GB" w:eastAsia="zh-CN"/>
        </w:rPr>
        <w:t>the receiver, which can only be achieved if high SINR is achievable</w:t>
      </w:r>
      <w:r w:rsidR="00EB454D">
        <w:rPr>
          <w:rFonts w:ascii="Arial" w:hAnsi="Arial" w:cs="Arial"/>
          <w:lang w:val="en-GB" w:eastAsia="zh-CN"/>
        </w:rPr>
        <w:t xml:space="preserve">.  Additionally, a robust UE baseband performance that does not create any SINR floor inside the baseband is ensured with appropriate UE demodulation testing.  </w:t>
      </w:r>
      <w:r w:rsidR="00C47241">
        <w:rPr>
          <w:rFonts w:ascii="Arial" w:hAnsi="Arial" w:cs="Arial"/>
          <w:lang w:val="en-GB" w:eastAsia="zh-CN"/>
        </w:rPr>
        <w:t xml:space="preserve">It is critical to evaluate UE receiver aspects </w:t>
      </w:r>
      <w:r w:rsidR="008D23B6">
        <w:rPr>
          <w:rFonts w:ascii="Arial" w:hAnsi="Arial" w:cs="Arial"/>
          <w:lang w:val="en-GB" w:eastAsia="zh-CN"/>
        </w:rPr>
        <w:t xml:space="preserve">as part of the full link aspect if higher modulation support is </w:t>
      </w:r>
      <w:r w:rsidR="00BD019E">
        <w:rPr>
          <w:rFonts w:ascii="Arial" w:hAnsi="Arial" w:cs="Arial"/>
          <w:lang w:val="en-GB" w:eastAsia="zh-CN"/>
        </w:rPr>
        <w:t>to be studied.</w:t>
      </w:r>
      <w:r w:rsidR="00EB454D">
        <w:rPr>
          <w:rFonts w:ascii="Arial" w:hAnsi="Arial" w:cs="Arial"/>
          <w:lang w:val="en-GB" w:eastAsia="zh-CN"/>
        </w:rPr>
        <w:t xml:space="preserve"> </w:t>
      </w:r>
    </w:p>
    <w:p w14:paraId="5CD6D928" w14:textId="5918C99F" w:rsidR="00616109" w:rsidRDefault="001C2678" w:rsidP="00616109">
      <w:pPr>
        <w:rPr>
          <w:rFonts w:ascii="Arial" w:hAnsi="Arial" w:cs="Arial"/>
          <w:lang w:val="en-GB" w:eastAsia="zh-CN"/>
        </w:rPr>
      </w:pPr>
      <w:r>
        <w:rPr>
          <w:rFonts w:ascii="Arial" w:hAnsi="Arial" w:cs="Arial"/>
          <w:b/>
          <w:lang w:val="en-GB" w:eastAsia="zh-CN"/>
        </w:rPr>
        <w:t xml:space="preserve">Observation 1: </w:t>
      </w:r>
      <w:r w:rsidR="00550198">
        <w:rPr>
          <w:rFonts w:ascii="Arial" w:hAnsi="Arial" w:cs="Arial"/>
          <w:b/>
          <w:lang w:val="en-GB" w:eastAsia="zh-CN"/>
        </w:rPr>
        <w:t>A solution for</w:t>
      </w:r>
      <w:r>
        <w:rPr>
          <w:rFonts w:ascii="Arial" w:hAnsi="Arial" w:cs="Arial"/>
          <w:b/>
          <w:lang w:val="en-GB" w:eastAsia="zh-CN"/>
        </w:rPr>
        <w:t xml:space="preserve"> UE demodulation testability </w:t>
      </w:r>
      <w:r w:rsidR="000F3ECA">
        <w:rPr>
          <w:rFonts w:ascii="Arial" w:hAnsi="Arial" w:cs="Arial"/>
          <w:b/>
          <w:lang w:val="en-GB" w:eastAsia="zh-CN"/>
        </w:rPr>
        <w:t xml:space="preserve">should be </w:t>
      </w:r>
      <w:r w:rsidR="00550198">
        <w:rPr>
          <w:rFonts w:ascii="Arial" w:hAnsi="Arial" w:cs="Arial"/>
          <w:b/>
          <w:lang w:val="en-GB" w:eastAsia="zh-CN"/>
        </w:rPr>
        <w:t xml:space="preserve">identified </w:t>
      </w:r>
      <w:r w:rsidR="000F3ECA">
        <w:rPr>
          <w:rFonts w:ascii="Arial" w:hAnsi="Arial" w:cs="Arial"/>
          <w:b/>
          <w:lang w:val="en-GB" w:eastAsia="zh-CN"/>
        </w:rPr>
        <w:t xml:space="preserve">as </w:t>
      </w:r>
      <w:r w:rsidR="009143F6">
        <w:rPr>
          <w:rFonts w:ascii="Arial" w:hAnsi="Arial" w:cs="Arial"/>
          <w:b/>
          <w:lang w:val="en-GB" w:eastAsia="zh-CN"/>
        </w:rPr>
        <w:t xml:space="preserve">part of </w:t>
      </w:r>
      <w:r w:rsidR="0029506F">
        <w:rPr>
          <w:rFonts w:ascii="Arial" w:hAnsi="Arial" w:cs="Arial"/>
          <w:b/>
          <w:lang w:val="en-GB" w:eastAsia="zh-CN"/>
        </w:rPr>
        <w:t>feasibility aspect of 256 QAM requirement in FR2</w:t>
      </w:r>
    </w:p>
    <w:p w14:paraId="1CA63DB5" w14:textId="6713A144" w:rsidR="00616109" w:rsidRDefault="00401F16" w:rsidP="00616109">
      <w:pPr>
        <w:rPr>
          <w:rFonts w:ascii="Arial" w:hAnsi="Arial" w:cs="Arial"/>
          <w:lang w:val="en-GB" w:eastAsia="zh-CN"/>
        </w:rPr>
      </w:pPr>
      <w:r>
        <w:rPr>
          <w:rFonts w:ascii="Arial" w:hAnsi="Arial" w:cs="Arial"/>
          <w:lang w:val="en-GB" w:eastAsia="zh-CN"/>
        </w:rPr>
        <w:t>Considerations of testability of the feature during study phase is needed to ensure deployable and beneficial feature.</w:t>
      </w:r>
    </w:p>
    <w:p w14:paraId="7824283A" w14:textId="0C960CA4" w:rsidR="00714570" w:rsidRDefault="008243D9" w:rsidP="00DA45FC">
      <w:pPr>
        <w:rPr>
          <w:rFonts w:ascii="Arial" w:hAnsi="Arial" w:cs="Arial"/>
          <w:lang w:val="en-GB" w:eastAsia="zh-CN"/>
        </w:rPr>
      </w:pPr>
      <w:r>
        <w:rPr>
          <w:rFonts w:ascii="Arial" w:hAnsi="Arial" w:cs="Arial"/>
          <w:lang w:val="en-GB" w:eastAsia="zh-CN"/>
        </w:rPr>
        <w:lastRenderedPageBreak/>
        <w:t>Further</w:t>
      </w:r>
      <w:r w:rsidR="00D610B6">
        <w:rPr>
          <w:rFonts w:ascii="Arial" w:hAnsi="Arial" w:cs="Arial"/>
          <w:lang w:val="en-GB" w:eastAsia="zh-CN"/>
        </w:rPr>
        <w:t xml:space="preserve"> </w:t>
      </w:r>
      <w:r>
        <w:rPr>
          <w:rFonts w:ascii="Arial" w:hAnsi="Arial" w:cs="Arial"/>
          <w:lang w:val="en-GB" w:eastAsia="zh-CN"/>
        </w:rPr>
        <w:t>it is likely that</w:t>
      </w:r>
      <w:r w:rsidR="00F4784F">
        <w:rPr>
          <w:rFonts w:ascii="Arial" w:hAnsi="Arial" w:cs="Arial"/>
          <w:lang w:val="en-GB" w:eastAsia="zh-CN"/>
        </w:rPr>
        <w:t xml:space="preserve"> during real operation, experiencing</w:t>
      </w:r>
      <w:r>
        <w:rPr>
          <w:rFonts w:ascii="Arial" w:hAnsi="Arial" w:cs="Arial"/>
          <w:lang w:val="en-GB" w:eastAsia="zh-CN"/>
        </w:rPr>
        <w:t xml:space="preserve"> this SNR is opportunistic, and </w:t>
      </w:r>
      <w:r w:rsidR="00C9541F">
        <w:rPr>
          <w:rFonts w:ascii="Arial" w:hAnsi="Arial" w:cs="Arial"/>
          <w:lang w:val="en-GB" w:eastAsia="zh-CN"/>
        </w:rPr>
        <w:t xml:space="preserve">the probability of which </w:t>
      </w:r>
      <w:r w:rsidR="00E85C88">
        <w:rPr>
          <w:rFonts w:ascii="Arial" w:hAnsi="Arial" w:cs="Arial"/>
          <w:lang w:val="en-GB" w:eastAsia="zh-CN"/>
        </w:rPr>
        <w:t>this occurs</w:t>
      </w:r>
      <w:r w:rsidR="00CD23ED">
        <w:rPr>
          <w:rFonts w:ascii="Arial" w:hAnsi="Arial" w:cs="Arial"/>
          <w:lang w:val="en-GB" w:eastAsia="zh-CN"/>
        </w:rPr>
        <w:t xml:space="preserve"> should be investigated</w:t>
      </w:r>
      <w:r w:rsidR="00E85C88">
        <w:rPr>
          <w:rFonts w:ascii="Arial" w:hAnsi="Arial" w:cs="Arial"/>
          <w:lang w:val="en-GB" w:eastAsia="zh-CN"/>
        </w:rPr>
        <w:t xml:space="preserve">.  The probability of which </w:t>
      </w:r>
      <w:r w:rsidR="00793B76">
        <w:rPr>
          <w:rFonts w:ascii="Arial" w:hAnsi="Arial" w:cs="Arial"/>
          <w:lang w:val="en-GB" w:eastAsia="zh-CN"/>
        </w:rPr>
        <w:t xml:space="preserve">this SNR is achievable within a scenario is studied with supplementary system simulations; this aspect would determine </w:t>
      </w:r>
      <w:r w:rsidR="005C2B4A">
        <w:rPr>
          <w:rFonts w:ascii="Arial" w:hAnsi="Arial" w:cs="Arial"/>
          <w:lang w:val="en-GB" w:eastAsia="zh-CN"/>
        </w:rPr>
        <w:t xml:space="preserve">if there is benefit of introducing 256 QAM </w:t>
      </w:r>
      <w:r w:rsidR="00F7308A">
        <w:rPr>
          <w:rFonts w:ascii="Arial" w:hAnsi="Arial" w:cs="Arial"/>
          <w:lang w:val="en-GB" w:eastAsia="zh-CN"/>
        </w:rPr>
        <w:t>whilst weighting the technical complexities.</w:t>
      </w:r>
    </w:p>
    <w:p w14:paraId="59EBAE78" w14:textId="79ADCAB0" w:rsidR="00823B39" w:rsidRDefault="00823B39" w:rsidP="00823B39">
      <w:pPr>
        <w:rPr>
          <w:rFonts w:ascii="Arial" w:hAnsi="Arial" w:cs="Arial"/>
          <w:b/>
          <w:lang w:val="en-GB" w:eastAsia="zh-CN"/>
        </w:rPr>
      </w:pPr>
      <w:r>
        <w:rPr>
          <w:rFonts w:ascii="Arial" w:hAnsi="Arial" w:cs="Arial"/>
          <w:b/>
          <w:lang w:val="en-GB" w:eastAsia="zh-CN"/>
        </w:rPr>
        <w:t>Observation 2: After considerations on SNR expected at the UE reference point,</w:t>
      </w:r>
      <w:r w:rsidR="009B6B76">
        <w:rPr>
          <w:rFonts w:ascii="Arial" w:hAnsi="Arial" w:cs="Arial"/>
          <w:b/>
          <w:lang w:val="en-GB" w:eastAsia="zh-CN"/>
        </w:rPr>
        <w:t xml:space="preserve"> system simulations provide a further look on the overall benefit to consider 256 QAM </w:t>
      </w:r>
      <w:r w:rsidR="00723A4E">
        <w:rPr>
          <w:rFonts w:ascii="Arial" w:hAnsi="Arial" w:cs="Arial"/>
          <w:b/>
          <w:lang w:val="en-GB" w:eastAsia="zh-CN"/>
        </w:rPr>
        <w:t>under the SNR conditions.</w:t>
      </w:r>
    </w:p>
    <w:p w14:paraId="6C0AA540" w14:textId="77777777" w:rsidR="00F31597" w:rsidRDefault="00F31597" w:rsidP="00F31597">
      <w:pPr>
        <w:pStyle w:val="Heading1"/>
      </w:pPr>
      <w:r>
        <w:t>3</w:t>
      </w:r>
      <w:r w:rsidRPr="005C7FAC">
        <w:t>.</w:t>
      </w:r>
      <w:r>
        <w:tab/>
        <w:t>Conclusions</w:t>
      </w:r>
    </w:p>
    <w:p w14:paraId="3361A338" w14:textId="1D421C96" w:rsidR="00B62A20" w:rsidRPr="00E62C80" w:rsidRDefault="00B825AC" w:rsidP="00B62A20">
      <w:pPr>
        <w:jc w:val="both"/>
        <w:rPr>
          <w:rFonts w:ascii="Arial" w:hAnsi="Arial" w:cs="Arial"/>
          <w:lang w:val="en-GB" w:eastAsia="zh-CN"/>
        </w:rPr>
      </w:pPr>
      <w:r>
        <w:rPr>
          <w:rFonts w:ascii="Arial" w:hAnsi="Arial" w:cs="Arial"/>
          <w:lang w:val="en-US"/>
        </w:rPr>
        <w:t xml:space="preserve">In </w:t>
      </w:r>
      <w:r w:rsidR="006F3097">
        <w:rPr>
          <w:rFonts w:ascii="Arial" w:hAnsi="Arial" w:cs="Arial"/>
          <w:lang w:val="en-US"/>
        </w:rPr>
        <w:t xml:space="preserve">this contribution, </w:t>
      </w:r>
      <w:r w:rsidR="00CD23ED">
        <w:rPr>
          <w:rFonts w:ascii="Arial" w:hAnsi="Arial" w:cs="Arial"/>
          <w:lang w:val="en-US"/>
        </w:rPr>
        <w:t>issues</w:t>
      </w:r>
      <w:r w:rsidR="006F3097">
        <w:rPr>
          <w:rFonts w:ascii="Arial" w:hAnsi="Arial" w:cs="Arial"/>
          <w:lang w:val="en-US"/>
        </w:rPr>
        <w:t xml:space="preserve"> on </w:t>
      </w:r>
      <w:r w:rsidR="00D45985">
        <w:rPr>
          <w:rFonts w:ascii="Arial" w:hAnsi="Arial" w:cs="Arial"/>
          <w:lang w:val="en-US"/>
        </w:rPr>
        <w:t>feasibility and benefits on 256 QAM in FR2 have been highlighted</w:t>
      </w:r>
      <w:r w:rsidR="00CD23ED">
        <w:rPr>
          <w:rFonts w:ascii="Arial" w:hAnsi="Arial" w:cs="Arial"/>
          <w:lang w:val="en-US"/>
        </w:rPr>
        <w:t xml:space="preserve"> and in particular, the reason behind the lack of suitability of the current OTA demodulation testing has been discussed</w:t>
      </w:r>
      <w:r w:rsidR="00D45985">
        <w:rPr>
          <w:rFonts w:ascii="Arial" w:hAnsi="Arial" w:cs="Arial"/>
          <w:lang w:val="en-US"/>
        </w:rPr>
        <w:t xml:space="preserve">.  </w:t>
      </w:r>
      <w:r w:rsidR="00B62A20">
        <w:rPr>
          <w:rFonts w:ascii="Arial" w:hAnsi="Arial" w:cs="Arial"/>
          <w:lang w:val="en-GB" w:eastAsia="zh-CN"/>
        </w:rPr>
        <w:t xml:space="preserve">The full feature of 256 QAM for FR2 needs to consider both the transmitter signal quality but also the receiver testability aspects in order to deem the feature beneficial to standardize. </w:t>
      </w:r>
    </w:p>
    <w:p w14:paraId="485C7C07" w14:textId="4CFB0987" w:rsidR="004500D0" w:rsidRDefault="00D45985" w:rsidP="00ED38C1">
      <w:pPr>
        <w:jc w:val="both"/>
        <w:rPr>
          <w:rFonts w:ascii="Arial" w:hAnsi="Arial" w:cs="Arial"/>
          <w:lang w:val="en-US"/>
        </w:rPr>
      </w:pPr>
      <w:r>
        <w:rPr>
          <w:rFonts w:ascii="Arial" w:hAnsi="Arial" w:cs="Arial"/>
          <w:lang w:val="en-US"/>
        </w:rPr>
        <w:t>The main aspec</w:t>
      </w:r>
      <w:r w:rsidR="00CB7F7C">
        <w:rPr>
          <w:rFonts w:ascii="Arial" w:hAnsi="Arial" w:cs="Arial"/>
          <w:lang w:val="en-US"/>
        </w:rPr>
        <w:t>ts are summarized in the following two observations.</w:t>
      </w:r>
    </w:p>
    <w:p w14:paraId="14EB77B0" w14:textId="5D48F943" w:rsidR="00401F16" w:rsidRDefault="00CD23ED" w:rsidP="00ED38C1">
      <w:pPr>
        <w:jc w:val="both"/>
        <w:rPr>
          <w:rFonts w:ascii="Arial" w:hAnsi="Arial" w:cs="Arial"/>
          <w:b/>
          <w:lang w:val="en-GB" w:eastAsia="zh-CN"/>
        </w:rPr>
      </w:pPr>
      <w:r>
        <w:rPr>
          <w:rFonts w:ascii="Arial" w:hAnsi="Arial" w:cs="Arial"/>
          <w:b/>
          <w:lang w:val="en-GB" w:eastAsia="zh-CN"/>
        </w:rPr>
        <w:t>Observation 1: A solution for UE demodulation testability should be identified as part of feasibility aspect of 256 QAM requirement in FR2</w:t>
      </w:r>
    </w:p>
    <w:p w14:paraId="6B398AF6" w14:textId="77777777" w:rsidR="00D45985" w:rsidRDefault="00D45985" w:rsidP="00D45985">
      <w:pPr>
        <w:rPr>
          <w:rFonts w:ascii="Arial" w:hAnsi="Arial" w:cs="Arial"/>
          <w:b/>
          <w:lang w:val="en-GB" w:eastAsia="zh-CN"/>
        </w:rPr>
      </w:pPr>
      <w:r>
        <w:rPr>
          <w:rFonts w:ascii="Arial" w:hAnsi="Arial" w:cs="Arial"/>
          <w:b/>
          <w:lang w:val="en-GB" w:eastAsia="zh-CN"/>
        </w:rPr>
        <w:t>Observation 2: After considerations on SNR expected at the UE reference point, system simulations provide a further look on the overall benefit to consider 256 QAM under the SNR conditions.</w:t>
      </w:r>
    </w:p>
    <w:p w14:paraId="13DECA73" w14:textId="77777777" w:rsidR="00F31597" w:rsidRPr="00CD6614" w:rsidRDefault="00F31597" w:rsidP="00F31597">
      <w:pPr>
        <w:pStyle w:val="Heading1"/>
      </w:pPr>
      <w:r>
        <w:t>4</w:t>
      </w:r>
      <w:r w:rsidRPr="005C7FAC">
        <w:t>.</w:t>
      </w:r>
      <w:r>
        <w:tab/>
        <w:t>References</w:t>
      </w:r>
    </w:p>
    <w:p w14:paraId="5706E67A" w14:textId="76D20ED3" w:rsidR="00F31597" w:rsidRPr="00A45217" w:rsidRDefault="00F31597" w:rsidP="00A45217">
      <w:pPr>
        <w:pStyle w:val="Reference"/>
        <w:rPr>
          <w:rFonts w:cs="Arial"/>
          <w:sz w:val="22"/>
          <w:lang w:eastAsia="en-CA"/>
        </w:rPr>
      </w:pPr>
      <w:r w:rsidRPr="00A45217">
        <w:rPr>
          <w:rFonts w:cs="Arial"/>
          <w:sz w:val="22"/>
          <w:lang w:val="en-US"/>
        </w:rPr>
        <w:t>R4-</w:t>
      </w:r>
      <w:r w:rsidR="00425AE2">
        <w:rPr>
          <w:rFonts w:cs="Arial"/>
          <w:sz w:val="22"/>
          <w:lang w:val="en-US"/>
        </w:rPr>
        <w:t>19</w:t>
      </w:r>
      <w:r w:rsidR="00276D05">
        <w:rPr>
          <w:rFonts w:cs="Arial"/>
          <w:sz w:val="22"/>
          <w:lang w:val="en-US"/>
        </w:rPr>
        <w:t>07711, “</w:t>
      </w:r>
      <w:r w:rsidR="00276D05" w:rsidRPr="00276D05">
        <w:rPr>
          <w:rFonts w:cs="Arial"/>
          <w:sz w:val="22"/>
          <w:lang w:val="en-US"/>
        </w:rPr>
        <w:t>Simulation assumption of feasibility study for FR2 DL 256QAM</w:t>
      </w:r>
      <w:r w:rsidR="00276D05">
        <w:rPr>
          <w:rFonts w:cs="Arial"/>
          <w:sz w:val="22"/>
          <w:lang w:val="en-US"/>
        </w:rPr>
        <w:t>”, China Telecom</w:t>
      </w:r>
    </w:p>
    <w:p w14:paraId="3EC4B362" w14:textId="5438FA82" w:rsidR="00F31597" w:rsidRDefault="00F31597" w:rsidP="00F31597">
      <w:pPr>
        <w:rPr>
          <w:lang w:val="en-GB"/>
        </w:rPr>
      </w:pPr>
    </w:p>
    <w:p w14:paraId="28EF3827" w14:textId="77777777" w:rsidR="006058A6" w:rsidRPr="00B92655" w:rsidRDefault="006058A6" w:rsidP="00F31597">
      <w:pPr>
        <w:rPr>
          <w:lang w:val="en-GB"/>
        </w:rPr>
      </w:pPr>
    </w:p>
    <w:p w14:paraId="1B228102" w14:textId="77777777" w:rsidR="00B6189C" w:rsidRPr="00F31597" w:rsidRDefault="00B6189C">
      <w:pPr>
        <w:rPr>
          <w:lang w:val="en-GB"/>
        </w:rPr>
      </w:pPr>
    </w:p>
    <w:sectPr w:rsidR="00B6189C" w:rsidRPr="00F315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0D34A9F"/>
    <w:multiLevelType w:val="hybridMultilevel"/>
    <w:tmpl w:val="D5A6E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D6780D"/>
    <w:multiLevelType w:val="hybridMultilevel"/>
    <w:tmpl w:val="C5144364"/>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 w15:restartNumberingAfterBreak="0">
    <w:nsid w:val="42F60B28"/>
    <w:multiLevelType w:val="hybridMultilevel"/>
    <w:tmpl w:val="07F0E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81479CF"/>
    <w:multiLevelType w:val="hybridMultilevel"/>
    <w:tmpl w:val="BCBAD1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8C2EE6"/>
    <w:multiLevelType w:val="hybridMultilevel"/>
    <w:tmpl w:val="46BC044E"/>
    <w:lvl w:ilvl="0" w:tplc="041D0001">
      <w:start w:val="1"/>
      <w:numFmt w:val="bullet"/>
      <w:lvlText w:val=""/>
      <w:lvlJc w:val="left"/>
      <w:pPr>
        <w:ind w:left="1440" w:hanging="360"/>
      </w:pPr>
      <w:rPr>
        <w:rFonts w:ascii="Symbol" w:hAnsi="Symbol"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abstractNumId w:val="4"/>
  </w:num>
  <w:num w:numId="2">
    <w:abstractNumId w:val="2"/>
  </w:num>
  <w:num w:numId="3">
    <w:abstractNumId w:val="0"/>
  </w:num>
  <w:num w:numId="4">
    <w:abstractNumId w:val="7"/>
  </w:num>
  <w:num w:numId="5">
    <w:abstractNumId w:val="3"/>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597"/>
    <w:rsid w:val="00002F3F"/>
    <w:rsid w:val="00005BE1"/>
    <w:rsid w:val="00007D1F"/>
    <w:rsid w:val="00022481"/>
    <w:rsid w:val="00041B75"/>
    <w:rsid w:val="00041D0A"/>
    <w:rsid w:val="00046605"/>
    <w:rsid w:val="0005416A"/>
    <w:rsid w:val="00075522"/>
    <w:rsid w:val="000770F9"/>
    <w:rsid w:val="00084BDF"/>
    <w:rsid w:val="00092A19"/>
    <w:rsid w:val="000952B1"/>
    <w:rsid w:val="000A602A"/>
    <w:rsid w:val="000A7FE1"/>
    <w:rsid w:val="000B36E8"/>
    <w:rsid w:val="000C0D48"/>
    <w:rsid w:val="000D0098"/>
    <w:rsid w:val="000D124C"/>
    <w:rsid w:val="000E0494"/>
    <w:rsid w:val="000E5630"/>
    <w:rsid w:val="000F2D02"/>
    <w:rsid w:val="000F3ECA"/>
    <w:rsid w:val="0011793A"/>
    <w:rsid w:val="00117992"/>
    <w:rsid w:val="00124F45"/>
    <w:rsid w:val="00131DA6"/>
    <w:rsid w:val="0014518A"/>
    <w:rsid w:val="00162DC8"/>
    <w:rsid w:val="001738B4"/>
    <w:rsid w:val="001750B7"/>
    <w:rsid w:val="00194385"/>
    <w:rsid w:val="00197F0B"/>
    <w:rsid w:val="001A0156"/>
    <w:rsid w:val="001A6D27"/>
    <w:rsid w:val="001B7FAB"/>
    <w:rsid w:val="001C2678"/>
    <w:rsid w:val="001D4528"/>
    <w:rsid w:val="001E3637"/>
    <w:rsid w:val="001E5BCA"/>
    <w:rsid w:val="002019A7"/>
    <w:rsid w:val="002030CE"/>
    <w:rsid w:val="00205B44"/>
    <w:rsid w:val="00217E6A"/>
    <w:rsid w:val="00241553"/>
    <w:rsid w:val="00242A06"/>
    <w:rsid w:val="00253791"/>
    <w:rsid w:val="002565EF"/>
    <w:rsid w:val="00272027"/>
    <w:rsid w:val="002741B6"/>
    <w:rsid w:val="00276D05"/>
    <w:rsid w:val="00282BAF"/>
    <w:rsid w:val="00286075"/>
    <w:rsid w:val="0028739E"/>
    <w:rsid w:val="00290390"/>
    <w:rsid w:val="0029506F"/>
    <w:rsid w:val="00295B39"/>
    <w:rsid w:val="002A1232"/>
    <w:rsid w:val="002A2ED6"/>
    <w:rsid w:val="002A696D"/>
    <w:rsid w:val="002A7252"/>
    <w:rsid w:val="002A7FA6"/>
    <w:rsid w:val="002B1F65"/>
    <w:rsid w:val="002B2145"/>
    <w:rsid w:val="002B61DD"/>
    <w:rsid w:val="002B6CDD"/>
    <w:rsid w:val="002D6005"/>
    <w:rsid w:val="002E07E4"/>
    <w:rsid w:val="002F1954"/>
    <w:rsid w:val="003357FD"/>
    <w:rsid w:val="0033586F"/>
    <w:rsid w:val="00344931"/>
    <w:rsid w:val="00360A9A"/>
    <w:rsid w:val="00367B61"/>
    <w:rsid w:val="00373D71"/>
    <w:rsid w:val="00381707"/>
    <w:rsid w:val="003853AD"/>
    <w:rsid w:val="003A704B"/>
    <w:rsid w:val="003C44C4"/>
    <w:rsid w:val="003E03C4"/>
    <w:rsid w:val="003F13E7"/>
    <w:rsid w:val="003F405A"/>
    <w:rsid w:val="00401F16"/>
    <w:rsid w:val="004170E4"/>
    <w:rsid w:val="004235FF"/>
    <w:rsid w:val="00425AE2"/>
    <w:rsid w:val="0043682B"/>
    <w:rsid w:val="004441F2"/>
    <w:rsid w:val="004500D0"/>
    <w:rsid w:val="00452CC3"/>
    <w:rsid w:val="00462CE9"/>
    <w:rsid w:val="0046384D"/>
    <w:rsid w:val="00465E9C"/>
    <w:rsid w:val="00481161"/>
    <w:rsid w:val="00481859"/>
    <w:rsid w:val="004838C3"/>
    <w:rsid w:val="00487E0B"/>
    <w:rsid w:val="00493C2C"/>
    <w:rsid w:val="00493F09"/>
    <w:rsid w:val="004B56F2"/>
    <w:rsid w:val="004D79AE"/>
    <w:rsid w:val="004E428D"/>
    <w:rsid w:val="004E4F8B"/>
    <w:rsid w:val="004F5B8C"/>
    <w:rsid w:val="00506991"/>
    <w:rsid w:val="00511DD3"/>
    <w:rsid w:val="005151DD"/>
    <w:rsid w:val="005168B5"/>
    <w:rsid w:val="00517258"/>
    <w:rsid w:val="0053442F"/>
    <w:rsid w:val="00547967"/>
    <w:rsid w:val="00550198"/>
    <w:rsid w:val="005530C4"/>
    <w:rsid w:val="0056494F"/>
    <w:rsid w:val="005701E3"/>
    <w:rsid w:val="005B1C8A"/>
    <w:rsid w:val="005B29AA"/>
    <w:rsid w:val="005B406E"/>
    <w:rsid w:val="005C0CE1"/>
    <w:rsid w:val="005C2B4A"/>
    <w:rsid w:val="005D09AB"/>
    <w:rsid w:val="005E06CC"/>
    <w:rsid w:val="005F697B"/>
    <w:rsid w:val="006058A6"/>
    <w:rsid w:val="00616109"/>
    <w:rsid w:val="006220BC"/>
    <w:rsid w:val="00626E3E"/>
    <w:rsid w:val="00643C7E"/>
    <w:rsid w:val="0064430F"/>
    <w:rsid w:val="006455BA"/>
    <w:rsid w:val="00662A2C"/>
    <w:rsid w:val="00664F58"/>
    <w:rsid w:val="00666BBC"/>
    <w:rsid w:val="00683CE7"/>
    <w:rsid w:val="0069062A"/>
    <w:rsid w:val="006B3109"/>
    <w:rsid w:val="006B42EF"/>
    <w:rsid w:val="006C2730"/>
    <w:rsid w:val="006C4F03"/>
    <w:rsid w:val="006E42D2"/>
    <w:rsid w:val="006F3097"/>
    <w:rsid w:val="00714570"/>
    <w:rsid w:val="00723A4E"/>
    <w:rsid w:val="00730C41"/>
    <w:rsid w:val="007407B3"/>
    <w:rsid w:val="00745E69"/>
    <w:rsid w:val="00747D21"/>
    <w:rsid w:val="00750153"/>
    <w:rsid w:val="00754218"/>
    <w:rsid w:val="0076492C"/>
    <w:rsid w:val="00771AF7"/>
    <w:rsid w:val="00793B76"/>
    <w:rsid w:val="007A46CE"/>
    <w:rsid w:val="007B0C8A"/>
    <w:rsid w:val="007B244E"/>
    <w:rsid w:val="007B6203"/>
    <w:rsid w:val="007D3645"/>
    <w:rsid w:val="007E4006"/>
    <w:rsid w:val="00823B39"/>
    <w:rsid w:val="008241FC"/>
    <w:rsid w:val="008243D9"/>
    <w:rsid w:val="00883B6B"/>
    <w:rsid w:val="008A5764"/>
    <w:rsid w:val="008A6907"/>
    <w:rsid w:val="008B13A8"/>
    <w:rsid w:val="008B7602"/>
    <w:rsid w:val="008C10A6"/>
    <w:rsid w:val="008C1C8A"/>
    <w:rsid w:val="008C548C"/>
    <w:rsid w:val="008D085A"/>
    <w:rsid w:val="008D23B6"/>
    <w:rsid w:val="008E45B2"/>
    <w:rsid w:val="008E511D"/>
    <w:rsid w:val="008F68BE"/>
    <w:rsid w:val="00902931"/>
    <w:rsid w:val="00904904"/>
    <w:rsid w:val="009075A0"/>
    <w:rsid w:val="009143F6"/>
    <w:rsid w:val="00915984"/>
    <w:rsid w:val="00917055"/>
    <w:rsid w:val="00923067"/>
    <w:rsid w:val="00931629"/>
    <w:rsid w:val="00931F5F"/>
    <w:rsid w:val="009371DF"/>
    <w:rsid w:val="009436C1"/>
    <w:rsid w:val="00947A5A"/>
    <w:rsid w:val="00957F86"/>
    <w:rsid w:val="00970506"/>
    <w:rsid w:val="00983914"/>
    <w:rsid w:val="009863A1"/>
    <w:rsid w:val="009913F5"/>
    <w:rsid w:val="009929DA"/>
    <w:rsid w:val="00994246"/>
    <w:rsid w:val="009B103B"/>
    <w:rsid w:val="009B6B76"/>
    <w:rsid w:val="009B78E9"/>
    <w:rsid w:val="009D01A8"/>
    <w:rsid w:val="00A048FC"/>
    <w:rsid w:val="00A11A78"/>
    <w:rsid w:val="00A22499"/>
    <w:rsid w:val="00A262A9"/>
    <w:rsid w:val="00A45217"/>
    <w:rsid w:val="00A47B3D"/>
    <w:rsid w:val="00A53497"/>
    <w:rsid w:val="00A66781"/>
    <w:rsid w:val="00A71693"/>
    <w:rsid w:val="00A8597B"/>
    <w:rsid w:val="00A918E1"/>
    <w:rsid w:val="00A91B51"/>
    <w:rsid w:val="00A945EA"/>
    <w:rsid w:val="00AB3E0D"/>
    <w:rsid w:val="00AC60DB"/>
    <w:rsid w:val="00AC6B65"/>
    <w:rsid w:val="00AD73FE"/>
    <w:rsid w:val="00AE0C68"/>
    <w:rsid w:val="00AF3623"/>
    <w:rsid w:val="00AF679B"/>
    <w:rsid w:val="00B04D83"/>
    <w:rsid w:val="00B365F8"/>
    <w:rsid w:val="00B415A1"/>
    <w:rsid w:val="00B42317"/>
    <w:rsid w:val="00B6189C"/>
    <w:rsid w:val="00B62A20"/>
    <w:rsid w:val="00B70CBD"/>
    <w:rsid w:val="00B72AE2"/>
    <w:rsid w:val="00B73C15"/>
    <w:rsid w:val="00B73E7C"/>
    <w:rsid w:val="00B81096"/>
    <w:rsid w:val="00B825AC"/>
    <w:rsid w:val="00B9140A"/>
    <w:rsid w:val="00B91432"/>
    <w:rsid w:val="00B91A85"/>
    <w:rsid w:val="00B9674E"/>
    <w:rsid w:val="00BA265E"/>
    <w:rsid w:val="00BC57EE"/>
    <w:rsid w:val="00BD019E"/>
    <w:rsid w:val="00BE7401"/>
    <w:rsid w:val="00C00D0D"/>
    <w:rsid w:val="00C1059D"/>
    <w:rsid w:val="00C12808"/>
    <w:rsid w:val="00C47241"/>
    <w:rsid w:val="00C67B7C"/>
    <w:rsid w:val="00C92E36"/>
    <w:rsid w:val="00C9541F"/>
    <w:rsid w:val="00CA0F71"/>
    <w:rsid w:val="00CB7F7C"/>
    <w:rsid w:val="00CC4884"/>
    <w:rsid w:val="00CD0776"/>
    <w:rsid w:val="00CD23ED"/>
    <w:rsid w:val="00CD5E20"/>
    <w:rsid w:val="00CE779B"/>
    <w:rsid w:val="00CF078D"/>
    <w:rsid w:val="00D0141F"/>
    <w:rsid w:val="00D064C2"/>
    <w:rsid w:val="00D06B03"/>
    <w:rsid w:val="00D12EA4"/>
    <w:rsid w:val="00D210FE"/>
    <w:rsid w:val="00D41392"/>
    <w:rsid w:val="00D43878"/>
    <w:rsid w:val="00D45985"/>
    <w:rsid w:val="00D46E96"/>
    <w:rsid w:val="00D57661"/>
    <w:rsid w:val="00D610B6"/>
    <w:rsid w:val="00D6199F"/>
    <w:rsid w:val="00D62F0A"/>
    <w:rsid w:val="00D66B4A"/>
    <w:rsid w:val="00D70BAF"/>
    <w:rsid w:val="00D74A28"/>
    <w:rsid w:val="00D86B2D"/>
    <w:rsid w:val="00D86F29"/>
    <w:rsid w:val="00D87E03"/>
    <w:rsid w:val="00D940AA"/>
    <w:rsid w:val="00D96690"/>
    <w:rsid w:val="00DA15FD"/>
    <w:rsid w:val="00DA4016"/>
    <w:rsid w:val="00DA45FC"/>
    <w:rsid w:val="00DD27CC"/>
    <w:rsid w:val="00DF66DD"/>
    <w:rsid w:val="00E121F3"/>
    <w:rsid w:val="00E32469"/>
    <w:rsid w:val="00E66F5E"/>
    <w:rsid w:val="00E822E0"/>
    <w:rsid w:val="00E85C88"/>
    <w:rsid w:val="00EA0D7A"/>
    <w:rsid w:val="00EA3BD4"/>
    <w:rsid w:val="00EB454D"/>
    <w:rsid w:val="00ED1A47"/>
    <w:rsid w:val="00ED29E2"/>
    <w:rsid w:val="00ED2C36"/>
    <w:rsid w:val="00ED38C1"/>
    <w:rsid w:val="00ED71BE"/>
    <w:rsid w:val="00ED76EB"/>
    <w:rsid w:val="00EE319E"/>
    <w:rsid w:val="00EF441C"/>
    <w:rsid w:val="00F02AA5"/>
    <w:rsid w:val="00F02CA0"/>
    <w:rsid w:val="00F11639"/>
    <w:rsid w:val="00F17679"/>
    <w:rsid w:val="00F31597"/>
    <w:rsid w:val="00F35E1A"/>
    <w:rsid w:val="00F45733"/>
    <w:rsid w:val="00F46F61"/>
    <w:rsid w:val="00F4784F"/>
    <w:rsid w:val="00F660B7"/>
    <w:rsid w:val="00F67EA2"/>
    <w:rsid w:val="00F7308A"/>
    <w:rsid w:val="00F76E2A"/>
    <w:rsid w:val="00F83FC7"/>
    <w:rsid w:val="00F91C08"/>
    <w:rsid w:val="00F9211C"/>
    <w:rsid w:val="00FB3E67"/>
    <w:rsid w:val="00FE1D0B"/>
    <w:rsid w:val="00FE3500"/>
    <w:rsid w:val="00FF15CC"/>
    <w:rsid w:val="00FF48B8"/>
    <w:rsid w:val="00FF6E9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C5C24"/>
  <w15:chartTrackingRefBased/>
  <w15:docId w15:val="{158CAB13-24C6-4CD3-9669-4E601FF28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1597"/>
    <w:rPr>
      <w:rFonts w:ascii="Calibri" w:eastAsia="Calibri" w:hAnsi="Calibri" w:cs="Times New Roman"/>
      <w:lang w:val="en-CA"/>
    </w:rPr>
  </w:style>
  <w:style w:type="paragraph" w:styleId="Heading1">
    <w:name w:val="heading 1"/>
    <w:next w:val="Normal"/>
    <w:link w:val="Heading1Char"/>
    <w:qFormat/>
    <w:rsid w:val="00F3159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F31597"/>
    <w:pPr>
      <w:keepNext/>
      <w:spacing w:before="240" w:after="60" w:line="276" w:lineRule="auto"/>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97"/>
    <w:rPr>
      <w:rFonts w:ascii="Arial" w:eastAsia="Times New Roman" w:hAnsi="Arial" w:cs="Times New Roman"/>
      <w:sz w:val="36"/>
      <w:szCs w:val="20"/>
      <w:lang w:val="en-GB" w:eastAsia="en-CA"/>
    </w:rPr>
  </w:style>
  <w:style w:type="character" w:customStyle="1" w:styleId="Heading2Char">
    <w:name w:val="Heading 2 Char"/>
    <w:basedOn w:val="DefaultParagraphFont"/>
    <w:link w:val="Heading2"/>
    <w:uiPriority w:val="9"/>
    <w:rsid w:val="00F31597"/>
    <w:rPr>
      <w:rFonts w:ascii="Calibri Light" w:eastAsia="Times New Roman" w:hAnsi="Calibri Light" w:cs="Times New Roman"/>
      <w:b/>
      <w:bCs/>
      <w:i/>
      <w:iCs/>
      <w:sz w:val="28"/>
      <w:szCs w:val="28"/>
      <w:lang w:val="en-CA"/>
    </w:rPr>
  </w:style>
  <w:style w:type="paragraph" w:customStyle="1" w:styleId="3GPPHeader">
    <w:name w:val="3GPP_Header"/>
    <w:basedOn w:val="Normal"/>
    <w:rsid w:val="00F31597"/>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customStyle="1" w:styleId="Reference">
    <w:name w:val="Reference"/>
    <w:basedOn w:val="Normal"/>
    <w:rsid w:val="00F31597"/>
    <w:pPr>
      <w:numPr>
        <w:numId w:val="1"/>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character" w:customStyle="1" w:styleId="THChar">
    <w:name w:val="TH Char"/>
    <w:link w:val="TH"/>
    <w:qFormat/>
    <w:locked/>
    <w:rsid w:val="00F31597"/>
    <w:rPr>
      <w:rFonts w:ascii="Arial" w:hAnsi="Arial" w:cs="Arial"/>
      <w:b/>
      <w:lang w:val="en-GB"/>
    </w:rPr>
  </w:style>
  <w:style w:type="paragraph" w:customStyle="1" w:styleId="TH">
    <w:name w:val="TH"/>
    <w:basedOn w:val="Normal"/>
    <w:link w:val="THChar"/>
    <w:qFormat/>
    <w:rsid w:val="00F31597"/>
    <w:pPr>
      <w:keepNext/>
      <w:keepLines/>
      <w:spacing w:before="60" w:after="180" w:line="240" w:lineRule="auto"/>
      <w:jc w:val="center"/>
    </w:pPr>
    <w:rPr>
      <w:rFonts w:ascii="Arial" w:eastAsiaTheme="minorHAnsi" w:hAnsi="Arial" w:cs="Arial"/>
      <w:b/>
      <w:lang w:val="en-GB"/>
    </w:rPr>
  </w:style>
  <w:style w:type="character" w:customStyle="1" w:styleId="TFChar">
    <w:name w:val="TF Char"/>
    <w:link w:val="TF"/>
    <w:locked/>
    <w:rsid w:val="00F31597"/>
    <w:rPr>
      <w:rFonts w:ascii="Arial" w:hAnsi="Arial" w:cs="Arial"/>
      <w:b/>
      <w:lang w:val="en-GB"/>
    </w:rPr>
  </w:style>
  <w:style w:type="paragraph" w:customStyle="1" w:styleId="TF">
    <w:name w:val="TF"/>
    <w:basedOn w:val="TH"/>
    <w:link w:val="TFChar"/>
    <w:rsid w:val="00F31597"/>
    <w:pPr>
      <w:keepNext w:val="0"/>
      <w:spacing w:before="0" w:after="240"/>
    </w:pPr>
  </w:style>
  <w:style w:type="paragraph" w:styleId="Caption">
    <w:name w:val="caption"/>
    <w:basedOn w:val="Normal"/>
    <w:next w:val="Normal"/>
    <w:uiPriority w:val="35"/>
    <w:unhideWhenUsed/>
    <w:qFormat/>
    <w:rsid w:val="009075A0"/>
    <w:pPr>
      <w:overflowPunct w:val="0"/>
      <w:autoSpaceDE w:val="0"/>
      <w:autoSpaceDN w:val="0"/>
      <w:adjustRightInd w:val="0"/>
      <w:spacing w:after="240" w:line="240" w:lineRule="auto"/>
      <w:jc w:val="center"/>
    </w:pPr>
    <w:rPr>
      <w:rFonts w:ascii="Arial" w:eastAsia="Times New Roman" w:hAnsi="Arial"/>
      <w:b/>
      <w:bCs/>
      <w:sz w:val="20"/>
      <w:szCs w:val="20"/>
      <w:lang w:val="en-GB" w:eastAsia="zh-CN"/>
    </w:rPr>
  </w:style>
  <w:style w:type="paragraph" w:styleId="BodyText">
    <w:name w:val="Body Text"/>
    <w:basedOn w:val="Normal"/>
    <w:link w:val="BodyTextChar"/>
    <w:unhideWhenUsed/>
    <w:rsid w:val="009075A0"/>
    <w:pPr>
      <w:overflowPunct w:val="0"/>
      <w:autoSpaceDE w:val="0"/>
      <w:autoSpaceDN w:val="0"/>
      <w:adjustRightInd w:val="0"/>
      <w:spacing w:after="120" w:line="240" w:lineRule="auto"/>
      <w:jc w:val="both"/>
    </w:pPr>
    <w:rPr>
      <w:rFonts w:ascii="Arial" w:eastAsia="Times New Roman" w:hAnsi="Arial"/>
      <w:sz w:val="20"/>
      <w:szCs w:val="20"/>
      <w:lang w:val="en-GB" w:eastAsia="zh-CN"/>
    </w:rPr>
  </w:style>
  <w:style w:type="character" w:customStyle="1" w:styleId="BodyTextChar">
    <w:name w:val="Body Text Char"/>
    <w:basedOn w:val="DefaultParagraphFont"/>
    <w:link w:val="BodyText"/>
    <w:rsid w:val="009075A0"/>
    <w:rPr>
      <w:rFonts w:ascii="Arial" w:eastAsia="Times New Roman" w:hAnsi="Arial" w:cs="Times New Roman"/>
      <w:sz w:val="20"/>
      <w:szCs w:val="20"/>
      <w:lang w:val="en-GB" w:eastAsia="zh-CN"/>
    </w:rPr>
  </w:style>
  <w:style w:type="paragraph" w:customStyle="1" w:styleId="TAH">
    <w:name w:val="TAH"/>
    <w:basedOn w:val="TAC"/>
    <w:link w:val="TAHCar"/>
    <w:qFormat/>
    <w:rsid w:val="009075A0"/>
    <w:rPr>
      <w:b/>
    </w:rPr>
  </w:style>
  <w:style w:type="paragraph" w:customStyle="1" w:styleId="TAC">
    <w:name w:val="TAC"/>
    <w:basedOn w:val="Normal"/>
    <w:link w:val="TACChar"/>
    <w:qFormat/>
    <w:rsid w:val="009075A0"/>
    <w:pPr>
      <w:keepNext/>
      <w:keepLines/>
      <w:spacing w:after="0" w:line="240" w:lineRule="auto"/>
      <w:jc w:val="center"/>
    </w:pPr>
    <w:rPr>
      <w:rFonts w:ascii="Arial" w:eastAsia="Times New Roman" w:hAnsi="Arial"/>
      <w:sz w:val="18"/>
      <w:szCs w:val="20"/>
      <w:lang w:val="en-GB" w:eastAsia="x-none"/>
    </w:rPr>
  </w:style>
  <w:style w:type="character" w:customStyle="1" w:styleId="TACChar">
    <w:name w:val="TAC Char"/>
    <w:link w:val="TAC"/>
    <w:qFormat/>
    <w:rsid w:val="009075A0"/>
    <w:rPr>
      <w:rFonts w:ascii="Arial" w:eastAsia="Times New Roman" w:hAnsi="Arial" w:cs="Times New Roman"/>
      <w:sz w:val="18"/>
      <w:szCs w:val="20"/>
      <w:lang w:val="en-GB" w:eastAsia="x-none"/>
    </w:rPr>
  </w:style>
  <w:style w:type="character" w:customStyle="1" w:styleId="TAHCar">
    <w:name w:val="TAH Car"/>
    <w:link w:val="TAH"/>
    <w:qFormat/>
    <w:rsid w:val="009075A0"/>
    <w:rPr>
      <w:rFonts w:ascii="Arial" w:eastAsia="Times New Roman" w:hAnsi="Arial" w:cs="Times New Roman"/>
      <w:b/>
      <w:sz w:val="18"/>
      <w:szCs w:val="20"/>
      <w:lang w:val="en-GB" w:eastAsia="x-none"/>
    </w:rPr>
  </w:style>
  <w:style w:type="table" w:styleId="TableGrid">
    <w:name w:val="Table Grid"/>
    <w:basedOn w:val="TableNormal"/>
    <w:uiPriority w:val="39"/>
    <w:qFormat/>
    <w:rsid w:val="00907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124C"/>
    <w:pPr>
      <w:ind w:left="720"/>
      <w:contextualSpacing/>
    </w:pPr>
  </w:style>
  <w:style w:type="character" w:styleId="PlaceholderText">
    <w:name w:val="Placeholder Text"/>
    <w:basedOn w:val="DefaultParagraphFont"/>
    <w:uiPriority w:val="99"/>
    <w:semiHidden/>
    <w:rsid w:val="00075522"/>
    <w:rPr>
      <w:color w:val="808080"/>
    </w:rPr>
  </w:style>
  <w:style w:type="paragraph" w:styleId="BalloonText">
    <w:name w:val="Balloon Text"/>
    <w:basedOn w:val="Normal"/>
    <w:link w:val="BalloonTextChar"/>
    <w:uiPriority w:val="99"/>
    <w:semiHidden/>
    <w:unhideWhenUsed/>
    <w:rsid w:val="00B96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74E"/>
    <w:rPr>
      <w:rFonts w:ascii="Segoe UI" w:eastAsia="Calibri" w:hAnsi="Segoe UI" w:cs="Segoe UI"/>
      <w:sz w:val="18"/>
      <w:szCs w:val="18"/>
      <w:lang w:val="en-CA"/>
    </w:rPr>
  </w:style>
  <w:style w:type="character" w:styleId="CommentReference">
    <w:name w:val="annotation reference"/>
    <w:basedOn w:val="DefaultParagraphFont"/>
    <w:uiPriority w:val="99"/>
    <w:semiHidden/>
    <w:unhideWhenUsed/>
    <w:rsid w:val="00022481"/>
    <w:rPr>
      <w:sz w:val="16"/>
      <w:szCs w:val="16"/>
    </w:rPr>
  </w:style>
  <w:style w:type="paragraph" w:styleId="CommentText">
    <w:name w:val="annotation text"/>
    <w:basedOn w:val="Normal"/>
    <w:link w:val="CommentTextChar"/>
    <w:uiPriority w:val="99"/>
    <w:semiHidden/>
    <w:unhideWhenUsed/>
    <w:rsid w:val="00022481"/>
    <w:pPr>
      <w:spacing w:line="240" w:lineRule="auto"/>
    </w:pPr>
    <w:rPr>
      <w:sz w:val="20"/>
      <w:szCs w:val="20"/>
    </w:rPr>
  </w:style>
  <w:style w:type="character" w:customStyle="1" w:styleId="CommentTextChar">
    <w:name w:val="Comment Text Char"/>
    <w:basedOn w:val="DefaultParagraphFont"/>
    <w:link w:val="CommentText"/>
    <w:uiPriority w:val="99"/>
    <w:semiHidden/>
    <w:rsid w:val="00022481"/>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022481"/>
    <w:rPr>
      <w:b/>
      <w:bCs/>
    </w:rPr>
  </w:style>
  <w:style w:type="character" w:customStyle="1" w:styleId="CommentSubjectChar">
    <w:name w:val="Comment Subject Char"/>
    <w:basedOn w:val="CommentTextChar"/>
    <w:link w:val="CommentSubject"/>
    <w:uiPriority w:val="99"/>
    <w:semiHidden/>
    <w:rsid w:val="00022481"/>
    <w:rPr>
      <w:rFonts w:ascii="Calibri" w:eastAsia="Calibri" w:hAnsi="Calibri" w:cs="Times New Roman"/>
      <w:b/>
      <w:bCs/>
      <w:sz w:val="20"/>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299853">
      <w:bodyDiv w:val="1"/>
      <w:marLeft w:val="0"/>
      <w:marRight w:val="0"/>
      <w:marTop w:val="0"/>
      <w:marBottom w:val="0"/>
      <w:divBdr>
        <w:top w:val="none" w:sz="0" w:space="0" w:color="auto"/>
        <w:left w:val="none" w:sz="0" w:space="0" w:color="auto"/>
        <w:bottom w:val="none" w:sz="0" w:space="0" w:color="auto"/>
        <w:right w:val="none" w:sz="0" w:space="0" w:color="auto"/>
      </w:divBdr>
    </w:div>
    <w:div w:id="468591307">
      <w:bodyDiv w:val="1"/>
      <w:marLeft w:val="0"/>
      <w:marRight w:val="0"/>
      <w:marTop w:val="0"/>
      <w:marBottom w:val="0"/>
      <w:divBdr>
        <w:top w:val="none" w:sz="0" w:space="0" w:color="auto"/>
        <w:left w:val="none" w:sz="0" w:space="0" w:color="auto"/>
        <w:bottom w:val="none" w:sz="0" w:space="0" w:color="auto"/>
        <w:right w:val="none" w:sz="0" w:space="0" w:color="auto"/>
      </w:divBdr>
    </w:div>
    <w:div w:id="1145194718">
      <w:bodyDiv w:val="1"/>
      <w:marLeft w:val="0"/>
      <w:marRight w:val="0"/>
      <w:marTop w:val="0"/>
      <w:marBottom w:val="0"/>
      <w:divBdr>
        <w:top w:val="none" w:sz="0" w:space="0" w:color="auto"/>
        <w:left w:val="none" w:sz="0" w:space="0" w:color="auto"/>
        <w:bottom w:val="none" w:sz="0" w:space="0" w:color="auto"/>
        <w:right w:val="none" w:sz="0" w:space="0" w:color="auto"/>
      </w:divBdr>
    </w:div>
    <w:div w:id="1749376818">
      <w:bodyDiv w:val="1"/>
      <w:marLeft w:val="0"/>
      <w:marRight w:val="0"/>
      <w:marTop w:val="0"/>
      <w:marBottom w:val="0"/>
      <w:divBdr>
        <w:top w:val="none" w:sz="0" w:space="0" w:color="auto"/>
        <w:left w:val="none" w:sz="0" w:space="0" w:color="auto"/>
        <w:bottom w:val="none" w:sz="0" w:space="0" w:color="auto"/>
        <w:right w:val="none" w:sz="0" w:space="0" w:color="auto"/>
      </w:divBdr>
    </w:div>
    <w:div w:id="1794057534">
      <w:bodyDiv w:val="1"/>
      <w:marLeft w:val="0"/>
      <w:marRight w:val="0"/>
      <w:marTop w:val="0"/>
      <w:marBottom w:val="0"/>
      <w:divBdr>
        <w:top w:val="none" w:sz="0" w:space="0" w:color="auto"/>
        <w:left w:val="none" w:sz="0" w:space="0" w:color="auto"/>
        <w:bottom w:val="none" w:sz="0" w:space="0" w:color="auto"/>
        <w:right w:val="none" w:sz="0" w:space="0" w:color="auto"/>
      </w:divBdr>
    </w:div>
    <w:div w:id="1996251361">
      <w:bodyDiv w:val="1"/>
      <w:marLeft w:val="0"/>
      <w:marRight w:val="0"/>
      <w:marTop w:val="0"/>
      <w:marBottom w:val="0"/>
      <w:divBdr>
        <w:top w:val="none" w:sz="0" w:space="0" w:color="auto"/>
        <w:left w:val="none" w:sz="0" w:space="0" w:color="auto"/>
        <w:bottom w:val="none" w:sz="0" w:space="0" w:color="auto"/>
        <w:right w:val="none" w:sz="0" w:space="0" w:color="auto"/>
      </w:divBdr>
    </w:div>
    <w:div w:id="2007661348">
      <w:bodyDiv w:val="1"/>
      <w:marLeft w:val="0"/>
      <w:marRight w:val="0"/>
      <w:marTop w:val="0"/>
      <w:marBottom w:val="0"/>
      <w:divBdr>
        <w:top w:val="none" w:sz="0" w:space="0" w:color="auto"/>
        <w:left w:val="none" w:sz="0" w:space="0" w:color="auto"/>
        <w:bottom w:val="none" w:sz="0" w:space="0" w:color="auto"/>
        <w:right w:val="none" w:sz="0" w:space="0" w:color="auto"/>
      </w:divBdr>
    </w:div>
    <w:div w:id="211381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D0AA3-D530-46D1-B1C6-126E0E82C912}">
  <ds:schemaRefs>
    <ds:schemaRef ds:uri="http://schemas.microsoft.com/sharepoint/v3/contenttype/forms"/>
  </ds:schemaRefs>
</ds:datastoreItem>
</file>

<file path=customXml/itemProps2.xml><?xml version="1.0" encoding="utf-8"?>
<ds:datastoreItem xmlns:ds="http://schemas.openxmlformats.org/officeDocument/2006/customXml" ds:itemID="{AA2BD232-135C-4ACF-91D5-8D00B3B67702}">
  <ds:schemaRefs>
    <ds:schemaRef ds:uri="http://purl.org/dc/elements/1.1/"/>
    <ds:schemaRef ds:uri="http://purl.org/dc/dcmitype/"/>
    <ds:schemaRef ds:uri="cf7c53e0-8330-4aac-bdbf-6fe5928d1c77"/>
    <ds:schemaRef ds:uri="ecf15794-1c34-4b37-a3c8-0e782a84561c"/>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9208253-B049-435D-A3FA-003AA2E12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0CA85A-0BE4-4029-873C-16A586575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Negusse</dc:creator>
  <cp:keywords/>
  <dc:description/>
  <cp:lastModifiedBy>Esther Sienkiewicz</cp:lastModifiedBy>
  <cp:revision>2</cp:revision>
  <dcterms:created xsi:type="dcterms:W3CDTF">2019-08-16T16:01:00Z</dcterms:created>
  <dcterms:modified xsi:type="dcterms:W3CDTF">2019-08-16T16:01:00Z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