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4868BC52" w:rsidR="00E064A5" w:rsidRPr="00FD166F" w:rsidRDefault="00E064A5" w:rsidP="00E064A5">
      <w:pPr>
        <w:tabs>
          <w:tab w:val="left" w:pos="7920"/>
        </w:tabs>
        <w:rPr>
          <w:rFonts w:ascii="Arial" w:hAnsi="Arial" w:cs="Arial"/>
          <w:b/>
        </w:rPr>
      </w:pPr>
      <w:bookmarkStart w:id="0" w:name="_GoBack"/>
      <w:bookmarkEnd w:id="0"/>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w:t>
      </w:r>
      <w:r w:rsidR="007E3383">
        <w:rPr>
          <w:rFonts w:ascii="Arial" w:hAnsi="Arial" w:cs="Arial"/>
          <w:b/>
          <w:lang w:val="de-DE"/>
        </w:rPr>
        <w:t>1</w:t>
      </w:r>
      <w:r>
        <w:rPr>
          <w:rFonts w:ascii="Arial" w:hAnsi="Arial" w:cs="Arial"/>
          <w:b/>
          <w:lang w:val="de-DE"/>
        </w:rPr>
        <w:tab/>
      </w:r>
      <w:r w:rsidR="00547D73" w:rsidRPr="00547D73">
        <w:rPr>
          <w:rFonts w:ascii="Arial" w:hAnsi="Arial" w:cs="Arial"/>
          <w:b/>
          <w:lang w:val="de-DE"/>
        </w:rPr>
        <w:t>R4-19</w:t>
      </w:r>
      <w:r w:rsidR="00D048DE">
        <w:rPr>
          <w:rFonts w:ascii="Arial" w:hAnsi="Arial" w:cs="Arial"/>
          <w:b/>
          <w:lang w:val="de-DE"/>
        </w:rPr>
        <w:t>07149</w:t>
      </w:r>
      <w:r>
        <w:rPr>
          <w:rFonts w:ascii="Arial" w:hAnsi="Arial" w:cs="Arial"/>
          <w:b/>
          <w:lang w:val="de-DE"/>
        </w:rPr>
        <w:br/>
      </w:r>
      <w:r w:rsidR="007E3383">
        <w:rPr>
          <w:rFonts w:ascii="Arial" w:hAnsi="Arial" w:cs="Arial"/>
          <w:b/>
        </w:rPr>
        <w:t>Reno, USA, May 13-17</w:t>
      </w:r>
      <w:r w:rsidR="006D0B66">
        <w:rPr>
          <w:rFonts w:ascii="Arial" w:hAnsi="Arial" w:cs="Arial"/>
          <w:b/>
        </w:rPr>
        <w:t>, 2019</w:t>
      </w:r>
    </w:p>
    <w:p w14:paraId="741F8B6E" w14:textId="77777777" w:rsidR="00E064A5" w:rsidRDefault="00E064A5" w:rsidP="00E064A5">
      <w:pPr>
        <w:tabs>
          <w:tab w:val="left" w:pos="2160"/>
        </w:tabs>
        <w:rPr>
          <w:rFonts w:ascii="Arial" w:hAnsi="Arial" w:cs="Arial"/>
          <w:b/>
        </w:rPr>
      </w:pPr>
    </w:p>
    <w:p w14:paraId="6832741A" w14:textId="7AB09EC9"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8B2A22">
        <w:rPr>
          <w:rFonts w:ascii="Arial" w:hAnsi="Arial" w:cs="Arial"/>
          <w:b/>
        </w:rPr>
        <w:t>9.23.1</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19FC75AC"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7E3383" w:rsidRPr="007E3383">
        <w:rPr>
          <w:rFonts w:ascii="Arial" w:hAnsi="Arial" w:cs="Arial"/>
          <w:b/>
        </w:rPr>
        <w:t>Views on UE OTA performance requirement derivation for Band n259</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2E466E6B" w14:textId="44F0DC8D" w:rsidR="00AD3A59" w:rsidRDefault="001D4EBF" w:rsidP="006B6A1A">
      <w:r>
        <w:t xml:space="preserve">During the RAN #83 meeting a new work item to introduce </w:t>
      </w:r>
      <w:r w:rsidR="000552E0">
        <w:t xml:space="preserve">the new </w:t>
      </w:r>
      <w:r w:rsidR="009E10A3">
        <w:t xml:space="preserve">NR </w:t>
      </w:r>
      <w:r>
        <w:t xml:space="preserve">Band n259 was approved with the following objectives </w:t>
      </w:r>
      <w:r>
        <w:fldChar w:fldCharType="begin"/>
      </w:r>
      <w:r>
        <w:instrText xml:space="preserve"> REF _Ref4588121 \r \h </w:instrText>
      </w:r>
      <w:r>
        <w:fldChar w:fldCharType="separate"/>
      </w:r>
      <w:r w:rsidR="007E3383">
        <w:t>[1]</w:t>
      </w:r>
      <w:r>
        <w:fldChar w:fldCharType="end"/>
      </w:r>
      <w:r>
        <w:t>:</w:t>
      </w:r>
    </w:p>
    <w:p w14:paraId="716E27FD" w14:textId="77777777" w:rsidR="001D4EBF" w:rsidRDefault="001D4EBF" w:rsidP="006B6A1A"/>
    <w:p w14:paraId="7C345A23" w14:textId="7F0605F8" w:rsidR="001D4EBF" w:rsidRDefault="001D4EBF" w:rsidP="006B6A1A">
      <w:r>
        <w:rPr>
          <w:noProof/>
        </w:rPr>
        <mc:AlternateContent>
          <mc:Choice Requires="wps">
            <w:drawing>
              <wp:inline distT="0" distB="0" distL="0" distR="0" wp14:anchorId="25200291" wp14:editId="40EAC44A">
                <wp:extent cx="1828800" cy="1828800"/>
                <wp:effectExtent l="0" t="0" r="6985" b="12065"/>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5E50443" w14:textId="77777777" w:rsidR="00260399" w:rsidRPr="001D4EBF" w:rsidRDefault="00260399" w:rsidP="001D4EBF">
                            <w:pPr>
                              <w:rPr>
                                <w:sz w:val="20"/>
                                <w:szCs w:val="20"/>
                              </w:rPr>
                            </w:pPr>
                            <w:r w:rsidRPr="001D4EBF">
                              <w:rPr>
                                <w:sz w:val="20"/>
                                <w:szCs w:val="20"/>
                              </w:rPr>
                              <w:t>The purpose of this work item is to specify a new NR TDD operating band, i.e. Band n259, covering at least the range 39.5-43.5 GHz taking into account the potential benefit of an overlap with Band n260. The lower limit of the band will be further analysed and decided by considering spectrum allocations in different regions, operator demands and RF implementation but should not exceed 39.5 GHz.</w:t>
                            </w:r>
                          </w:p>
                          <w:p w14:paraId="1DE158C8" w14:textId="77777777" w:rsidR="00260399" w:rsidRPr="001D4EBF" w:rsidRDefault="00260399" w:rsidP="001D4EBF">
                            <w:pPr>
                              <w:rPr>
                                <w:sz w:val="20"/>
                                <w:szCs w:val="20"/>
                              </w:rPr>
                            </w:pPr>
                          </w:p>
                          <w:p w14:paraId="6917AD59" w14:textId="77777777" w:rsidR="00260399" w:rsidRPr="001D4EBF" w:rsidRDefault="00260399" w:rsidP="001D4EBF">
                            <w:pPr>
                              <w:rPr>
                                <w:sz w:val="20"/>
                                <w:szCs w:val="20"/>
                              </w:rPr>
                            </w:pPr>
                            <w:r w:rsidRPr="001D4EBF">
                              <w:rPr>
                                <w:sz w:val="20"/>
                                <w:szCs w:val="20"/>
                              </w:rPr>
                              <w:t>The objectives are to define:</w:t>
                            </w:r>
                          </w:p>
                          <w:p w14:paraId="4C620E1E" w14:textId="77777777" w:rsidR="00260399" w:rsidRPr="001D4EBF" w:rsidRDefault="00260399" w:rsidP="001D4EBF">
                            <w:pPr>
                              <w:pStyle w:val="ListParagraph"/>
                              <w:numPr>
                                <w:ilvl w:val="0"/>
                                <w:numId w:val="30"/>
                              </w:numPr>
                              <w:overflowPunct w:val="0"/>
                              <w:autoSpaceDE w:val="0"/>
                              <w:autoSpaceDN w:val="0"/>
                              <w:adjustRightInd w:val="0"/>
                              <w:contextualSpacing/>
                              <w:textAlignment w:val="baseline"/>
                              <w:rPr>
                                <w:sz w:val="20"/>
                                <w:szCs w:val="20"/>
                              </w:rPr>
                            </w:pPr>
                            <w:r w:rsidRPr="001D4EBF">
                              <w:rPr>
                                <w:rFonts w:eastAsiaTheme="minorEastAsia" w:hint="eastAsia"/>
                                <w:sz w:val="20"/>
                                <w:szCs w:val="20"/>
                                <w:lang w:eastAsia="zh-CN"/>
                              </w:rPr>
                              <w:t xml:space="preserve">Determine </w:t>
                            </w:r>
                            <w:r w:rsidRPr="001D4EBF">
                              <w:rPr>
                                <w:rFonts w:eastAsiaTheme="minorEastAsia"/>
                                <w:sz w:val="20"/>
                                <w:szCs w:val="20"/>
                                <w:lang w:eastAsia="zh-CN"/>
                              </w:rPr>
                              <w:t xml:space="preserve">the lower limit of </w:t>
                            </w:r>
                            <w:r w:rsidRPr="001D4EBF">
                              <w:rPr>
                                <w:rFonts w:eastAsiaTheme="minorEastAsia" w:hint="eastAsia"/>
                                <w:sz w:val="20"/>
                                <w:szCs w:val="20"/>
                                <w:lang w:eastAsia="zh-CN"/>
                              </w:rPr>
                              <w:t>Band n259</w:t>
                            </w:r>
                            <w:r w:rsidRPr="001D4EBF">
                              <w:rPr>
                                <w:rFonts w:eastAsiaTheme="minorEastAsia"/>
                                <w:sz w:val="20"/>
                                <w:szCs w:val="20"/>
                                <w:lang w:eastAsia="zh-CN"/>
                              </w:rPr>
                              <w:t xml:space="preserve"> if lower than 39.5 GHz.</w:t>
                            </w:r>
                          </w:p>
                          <w:p w14:paraId="68C4661E" w14:textId="77777777" w:rsidR="00260399" w:rsidRPr="001D4EBF" w:rsidRDefault="00260399" w:rsidP="001D4EBF">
                            <w:pPr>
                              <w:pStyle w:val="ListParagraph"/>
                              <w:numPr>
                                <w:ilvl w:val="0"/>
                                <w:numId w:val="30"/>
                              </w:numPr>
                              <w:overflowPunct w:val="0"/>
                              <w:autoSpaceDE w:val="0"/>
                              <w:autoSpaceDN w:val="0"/>
                              <w:adjustRightInd w:val="0"/>
                              <w:contextualSpacing/>
                              <w:textAlignment w:val="baseline"/>
                              <w:rPr>
                                <w:sz w:val="20"/>
                                <w:szCs w:val="20"/>
                              </w:rPr>
                            </w:pPr>
                            <w:r w:rsidRPr="001D4EBF">
                              <w:rPr>
                                <w:sz w:val="20"/>
                                <w:szCs w:val="20"/>
                              </w:rPr>
                              <w:t>Transmitter and receiver characteristics requirements for the UE (38.101-2)</w:t>
                            </w:r>
                          </w:p>
                          <w:p w14:paraId="643276D7" w14:textId="464242A8" w:rsidR="00260399" w:rsidRPr="001D4EBF" w:rsidRDefault="00260399" w:rsidP="001D4EBF">
                            <w:pPr>
                              <w:pStyle w:val="ListParagraph"/>
                              <w:numPr>
                                <w:ilvl w:val="0"/>
                                <w:numId w:val="30"/>
                              </w:numPr>
                              <w:overflowPunct w:val="0"/>
                              <w:autoSpaceDE w:val="0"/>
                              <w:autoSpaceDN w:val="0"/>
                              <w:adjustRightInd w:val="0"/>
                              <w:contextualSpacing/>
                              <w:textAlignment w:val="baseline"/>
                              <w:rPr>
                                <w:sz w:val="20"/>
                                <w:szCs w:val="20"/>
                              </w:rPr>
                            </w:pPr>
                            <w:r w:rsidRPr="001D4EBF">
                              <w:rPr>
                                <w:sz w:val="20"/>
                                <w:szCs w:val="20"/>
                              </w:rPr>
                              <w:t>Transmitter and receiver characteristics requirements for the BS (38.104)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5200291"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textbox style="mso-fit-shape-to-text:t">
                  <w:txbxContent>
                    <w:p w14:paraId="65E50443" w14:textId="77777777" w:rsidR="00260399" w:rsidRPr="001D4EBF" w:rsidRDefault="00260399" w:rsidP="001D4EBF">
                      <w:pPr>
                        <w:rPr>
                          <w:sz w:val="20"/>
                          <w:szCs w:val="20"/>
                        </w:rPr>
                      </w:pPr>
                      <w:r w:rsidRPr="001D4EBF">
                        <w:rPr>
                          <w:sz w:val="20"/>
                          <w:szCs w:val="20"/>
                        </w:rPr>
                        <w:t>The purpose of this work item is to specify a new NR TDD operating band, i.e. Band n259, covering at least the range 39.5-43.5 GHz taking into account the potential benefit of an overlap with Band n260. The lower limit of the band will be further analysed and decided by considering spectrum allocations in different regions, operator demands and RF implementation but should not exceed 39.5 GHz.</w:t>
                      </w:r>
                    </w:p>
                    <w:p w14:paraId="1DE158C8" w14:textId="77777777" w:rsidR="00260399" w:rsidRPr="001D4EBF" w:rsidRDefault="00260399" w:rsidP="001D4EBF">
                      <w:pPr>
                        <w:rPr>
                          <w:sz w:val="20"/>
                          <w:szCs w:val="20"/>
                        </w:rPr>
                      </w:pPr>
                    </w:p>
                    <w:p w14:paraId="6917AD59" w14:textId="77777777" w:rsidR="00260399" w:rsidRPr="001D4EBF" w:rsidRDefault="00260399" w:rsidP="001D4EBF">
                      <w:pPr>
                        <w:rPr>
                          <w:sz w:val="20"/>
                          <w:szCs w:val="20"/>
                        </w:rPr>
                      </w:pPr>
                      <w:r w:rsidRPr="001D4EBF">
                        <w:rPr>
                          <w:sz w:val="20"/>
                          <w:szCs w:val="20"/>
                        </w:rPr>
                        <w:t>The objectives are to define:</w:t>
                      </w:r>
                    </w:p>
                    <w:p w14:paraId="4C620E1E" w14:textId="77777777" w:rsidR="00260399" w:rsidRPr="001D4EBF" w:rsidRDefault="00260399" w:rsidP="001D4EBF">
                      <w:pPr>
                        <w:pStyle w:val="ListParagraph"/>
                        <w:numPr>
                          <w:ilvl w:val="0"/>
                          <w:numId w:val="30"/>
                        </w:numPr>
                        <w:overflowPunct w:val="0"/>
                        <w:autoSpaceDE w:val="0"/>
                        <w:autoSpaceDN w:val="0"/>
                        <w:adjustRightInd w:val="0"/>
                        <w:contextualSpacing/>
                        <w:textAlignment w:val="baseline"/>
                        <w:rPr>
                          <w:sz w:val="20"/>
                          <w:szCs w:val="20"/>
                        </w:rPr>
                      </w:pPr>
                      <w:r w:rsidRPr="001D4EBF">
                        <w:rPr>
                          <w:rFonts w:eastAsiaTheme="minorEastAsia" w:hint="eastAsia"/>
                          <w:sz w:val="20"/>
                          <w:szCs w:val="20"/>
                          <w:lang w:eastAsia="zh-CN"/>
                        </w:rPr>
                        <w:t xml:space="preserve">Determine </w:t>
                      </w:r>
                      <w:r w:rsidRPr="001D4EBF">
                        <w:rPr>
                          <w:rFonts w:eastAsiaTheme="minorEastAsia"/>
                          <w:sz w:val="20"/>
                          <w:szCs w:val="20"/>
                          <w:lang w:eastAsia="zh-CN"/>
                        </w:rPr>
                        <w:t xml:space="preserve">the lower limit of </w:t>
                      </w:r>
                      <w:r w:rsidRPr="001D4EBF">
                        <w:rPr>
                          <w:rFonts w:eastAsiaTheme="minorEastAsia" w:hint="eastAsia"/>
                          <w:sz w:val="20"/>
                          <w:szCs w:val="20"/>
                          <w:lang w:eastAsia="zh-CN"/>
                        </w:rPr>
                        <w:t>Band n259</w:t>
                      </w:r>
                      <w:r w:rsidRPr="001D4EBF">
                        <w:rPr>
                          <w:rFonts w:eastAsiaTheme="minorEastAsia"/>
                          <w:sz w:val="20"/>
                          <w:szCs w:val="20"/>
                          <w:lang w:eastAsia="zh-CN"/>
                        </w:rPr>
                        <w:t xml:space="preserve"> if lower than 39.5 GHz.</w:t>
                      </w:r>
                    </w:p>
                    <w:p w14:paraId="68C4661E" w14:textId="77777777" w:rsidR="00260399" w:rsidRPr="001D4EBF" w:rsidRDefault="00260399" w:rsidP="001D4EBF">
                      <w:pPr>
                        <w:pStyle w:val="ListParagraph"/>
                        <w:numPr>
                          <w:ilvl w:val="0"/>
                          <w:numId w:val="30"/>
                        </w:numPr>
                        <w:overflowPunct w:val="0"/>
                        <w:autoSpaceDE w:val="0"/>
                        <w:autoSpaceDN w:val="0"/>
                        <w:adjustRightInd w:val="0"/>
                        <w:contextualSpacing/>
                        <w:textAlignment w:val="baseline"/>
                        <w:rPr>
                          <w:sz w:val="20"/>
                          <w:szCs w:val="20"/>
                        </w:rPr>
                      </w:pPr>
                      <w:r w:rsidRPr="001D4EBF">
                        <w:rPr>
                          <w:sz w:val="20"/>
                          <w:szCs w:val="20"/>
                        </w:rPr>
                        <w:t>Transmitter and receiver characteristics requirements for the UE (38.101-2)</w:t>
                      </w:r>
                    </w:p>
                    <w:p w14:paraId="643276D7" w14:textId="464242A8" w:rsidR="00260399" w:rsidRPr="001D4EBF" w:rsidRDefault="00260399" w:rsidP="001D4EBF">
                      <w:pPr>
                        <w:pStyle w:val="ListParagraph"/>
                        <w:numPr>
                          <w:ilvl w:val="0"/>
                          <w:numId w:val="30"/>
                        </w:numPr>
                        <w:overflowPunct w:val="0"/>
                        <w:autoSpaceDE w:val="0"/>
                        <w:autoSpaceDN w:val="0"/>
                        <w:adjustRightInd w:val="0"/>
                        <w:contextualSpacing/>
                        <w:textAlignment w:val="baseline"/>
                        <w:rPr>
                          <w:sz w:val="20"/>
                          <w:szCs w:val="20"/>
                        </w:rPr>
                      </w:pPr>
                      <w:r w:rsidRPr="001D4EBF">
                        <w:rPr>
                          <w:sz w:val="20"/>
                          <w:szCs w:val="20"/>
                        </w:rPr>
                        <w:t>Transmitter and receiver characteristics requirements for the BS (38.104)</w:t>
                      </w:r>
                    </w:p>
                  </w:txbxContent>
                </v:textbox>
                <w10:anchorlock/>
              </v:shape>
            </w:pict>
          </mc:Fallback>
        </mc:AlternateContent>
      </w:r>
    </w:p>
    <w:p w14:paraId="24AADB71" w14:textId="058C5342" w:rsidR="001D4EBF" w:rsidRDefault="001D4EBF" w:rsidP="006B6A1A"/>
    <w:p w14:paraId="7362B250" w14:textId="33B3F4FC" w:rsidR="007E3383" w:rsidRDefault="007E3383" w:rsidP="006B6A1A">
      <w:r>
        <w:t xml:space="preserve">During the RAN4 #90bis meeting the work plan for the work item was approved in </w:t>
      </w:r>
      <w:r>
        <w:fldChar w:fldCharType="begin"/>
      </w:r>
      <w:r>
        <w:instrText xml:space="preserve"> REF _Ref7661841 \r \h </w:instrText>
      </w:r>
      <w:r>
        <w:fldChar w:fldCharType="separate"/>
      </w:r>
      <w:r>
        <w:t>[5]</w:t>
      </w:r>
      <w:r>
        <w:fldChar w:fldCharType="end"/>
      </w:r>
      <w:r>
        <w:t xml:space="preserve">.  Further proposals to structure the UE RF requirement development effort were provided for discussion in </w:t>
      </w:r>
      <w:r>
        <w:fldChar w:fldCharType="begin"/>
      </w:r>
      <w:r>
        <w:instrText xml:space="preserve"> REF _Ref7661872 \r \h </w:instrText>
      </w:r>
      <w:r>
        <w:fldChar w:fldCharType="separate"/>
      </w:r>
      <w:r>
        <w:t>[6]</w:t>
      </w:r>
      <w:r>
        <w:fldChar w:fldCharType="end"/>
      </w:r>
      <w:r>
        <w:t>.</w:t>
      </w:r>
    </w:p>
    <w:p w14:paraId="68F4B7AA" w14:textId="77777777" w:rsidR="007E3383" w:rsidRDefault="007E3383" w:rsidP="006B6A1A"/>
    <w:p w14:paraId="6E6556FB" w14:textId="0B27194E" w:rsidR="001D4EBF" w:rsidRDefault="001D4EBF" w:rsidP="006B6A1A">
      <w:r>
        <w:t xml:space="preserve">This paper </w:t>
      </w:r>
      <w:r w:rsidR="007E3383">
        <w:t>proposes a starting point for the OTA performance requirement work for Band n259</w:t>
      </w:r>
      <w:r>
        <w:t>.</w:t>
      </w:r>
    </w:p>
    <w:p w14:paraId="442DEB4F" w14:textId="666F3A3B" w:rsidR="006B6A1A" w:rsidRDefault="006B6A1A" w:rsidP="006B6A1A">
      <w:pPr>
        <w:pStyle w:val="Heading1"/>
        <w:rPr>
          <w:lang w:val="en-US"/>
        </w:rPr>
      </w:pPr>
      <w:r w:rsidRPr="00871EA3">
        <w:rPr>
          <w:lang w:val="en-US"/>
        </w:rPr>
        <w:t>Discussion</w:t>
      </w:r>
    </w:p>
    <w:p w14:paraId="4EB928DA" w14:textId="0AD7A647" w:rsidR="00260399" w:rsidRDefault="007E3383" w:rsidP="00A56963">
      <w:pPr>
        <w:rPr>
          <w:rFonts w:eastAsia="SimSun"/>
          <w:lang w:eastAsia="ja-JP" w:bidi="hi-IN"/>
        </w:rPr>
      </w:pPr>
      <w:r>
        <w:rPr>
          <w:rFonts w:eastAsia="SimSun"/>
          <w:lang w:eastAsia="ja-JP" w:bidi="hi-IN"/>
        </w:rPr>
        <w:t xml:space="preserve">As outlined in </w:t>
      </w:r>
      <w:r>
        <w:rPr>
          <w:rFonts w:eastAsia="SimSun"/>
          <w:lang w:eastAsia="ja-JP" w:bidi="hi-IN"/>
        </w:rPr>
        <w:fldChar w:fldCharType="begin"/>
      </w:r>
      <w:r>
        <w:rPr>
          <w:rFonts w:eastAsia="SimSun"/>
          <w:lang w:eastAsia="ja-JP" w:bidi="hi-IN"/>
        </w:rPr>
        <w:instrText xml:space="preserve"> REF _Ref7661872 \r \h </w:instrText>
      </w:r>
      <w:r>
        <w:rPr>
          <w:rFonts w:eastAsia="SimSun"/>
          <w:lang w:eastAsia="ja-JP" w:bidi="hi-IN"/>
        </w:rPr>
      </w:r>
      <w:r>
        <w:rPr>
          <w:rFonts w:eastAsia="SimSun"/>
          <w:lang w:eastAsia="ja-JP" w:bidi="hi-IN"/>
        </w:rPr>
        <w:fldChar w:fldCharType="separate"/>
      </w:r>
      <w:r>
        <w:rPr>
          <w:rFonts w:eastAsia="SimSun"/>
          <w:lang w:eastAsia="ja-JP" w:bidi="hi-IN"/>
        </w:rPr>
        <w:t>[6]</w:t>
      </w:r>
      <w:r>
        <w:rPr>
          <w:rFonts w:eastAsia="SimSun"/>
          <w:lang w:eastAsia="ja-JP" w:bidi="hi-IN"/>
        </w:rPr>
        <w:fldChar w:fldCharType="end"/>
      </w:r>
      <w:r>
        <w:rPr>
          <w:rFonts w:eastAsia="SimSun"/>
          <w:lang w:eastAsia="ja-JP" w:bidi="hi-IN"/>
        </w:rPr>
        <w:t>, the</w:t>
      </w:r>
      <w:r w:rsidR="00260399">
        <w:rPr>
          <w:rFonts w:eastAsia="SimSun"/>
          <w:lang w:eastAsia="ja-JP" w:bidi="hi-IN"/>
        </w:rPr>
        <w:t xml:space="preserve"> work tasks </w:t>
      </w:r>
      <w:r>
        <w:rPr>
          <w:rFonts w:eastAsia="SimSun"/>
          <w:lang w:eastAsia="ja-JP" w:bidi="hi-IN"/>
        </w:rPr>
        <w:t>associated with UE RF requirement work for Band n259 are</w:t>
      </w:r>
      <w:r w:rsidR="00260399">
        <w:rPr>
          <w:rFonts w:eastAsia="SimSun"/>
          <w:lang w:eastAsia="ja-JP" w:bidi="hi-IN"/>
        </w:rPr>
        <w:t xml:space="preserve"> shown in </w:t>
      </w:r>
      <w:r w:rsidR="00554FAB">
        <w:rPr>
          <w:rFonts w:eastAsia="SimSun"/>
          <w:lang w:eastAsia="ja-JP" w:bidi="hi-IN"/>
        </w:rPr>
        <w:fldChar w:fldCharType="begin"/>
      </w:r>
      <w:r w:rsidR="00554FAB">
        <w:rPr>
          <w:rFonts w:eastAsia="SimSun"/>
          <w:lang w:eastAsia="ja-JP" w:bidi="hi-IN"/>
        </w:rPr>
        <w:instrText xml:space="preserve"> REF _Ref4620714 \h </w:instrText>
      </w:r>
      <w:r w:rsidR="00554FAB">
        <w:rPr>
          <w:rFonts w:eastAsia="SimSun"/>
          <w:lang w:eastAsia="ja-JP" w:bidi="hi-IN"/>
        </w:rPr>
      </w:r>
      <w:r w:rsidR="00554FAB">
        <w:rPr>
          <w:rFonts w:eastAsia="SimSun"/>
          <w:lang w:eastAsia="ja-JP" w:bidi="hi-IN"/>
        </w:rPr>
        <w:fldChar w:fldCharType="separate"/>
      </w:r>
      <w:r>
        <w:t xml:space="preserve">Table </w:t>
      </w:r>
      <w:r>
        <w:rPr>
          <w:noProof/>
        </w:rPr>
        <w:t>1</w:t>
      </w:r>
      <w:r w:rsidR="00554FAB">
        <w:rPr>
          <w:rFonts w:eastAsia="SimSun"/>
          <w:lang w:eastAsia="ja-JP" w:bidi="hi-IN"/>
        </w:rPr>
        <w:fldChar w:fldCharType="end"/>
      </w:r>
      <w:r w:rsidR="00554FAB">
        <w:rPr>
          <w:rFonts w:eastAsia="SimSun"/>
          <w:lang w:eastAsia="ja-JP" w:bidi="hi-IN"/>
        </w:rPr>
        <w:t xml:space="preserve"> below.</w:t>
      </w:r>
    </w:p>
    <w:p w14:paraId="31F859DC" w14:textId="1F9C105C" w:rsidR="00260399" w:rsidRDefault="00260399" w:rsidP="00A56963">
      <w:pPr>
        <w:rPr>
          <w:rFonts w:eastAsia="SimSun"/>
          <w:lang w:eastAsia="ja-JP" w:bidi="hi-IN"/>
        </w:rPr>
      </w:pPr>
    </w:p>
    <w:p w14:paraId="4CAA4629" w14:textId="331BFA87" w:rsidR="00554FAB" w:rsidRDefault="00554FAB" w:rsidP="00554FAB">
      <w:pPr>
        <w:pStyle w:val="Caption"/>
        <w:jc w:val="center"/>
      </w:pPr>
      <w:bookmarkStart w:id="1" w:name="_Ref4620714"/>
      <w:r>
        <w:t xml:space="preserve">Table </w:t>
      </w:r>
      <w:fldSimple w:instr=" SEQ Table \* ARABIC ">
        <w:r w:rsidR="007E3383">
          <w:rPr>
            <w:noProof/>
          </w:rPr>
          <w:t>1</w:t>
        </w:r>
      </w:fldSimple>
      <w:bookmarkEnd w:id="1"/>
      <w:r>
        <w:t>: Grouping of ta</w:t>
      </w:r>
      <w:r w:rsidR="002D1934">
        <w:t>s</w:t>
      </w:r>
      <w:r>
        <w:t>ks into work flows</w:t>
      </w:r>
    </w:p>
    <w:tbl>
      <w:tblPr>
        <w:tblStyle w:val="TableGrid"/>
        <w:tblW w:w="9291" w:type="dxa"/>
        <w:tblLook w:val="04A0" w:firstRow="1" w:lastRow="0" w:firstColumn="1" w:lastColumn="0" w:noHBand="0" w:noVBand="1"/>
      </w:tblPr>
      <w:tblGrid>
        <w:gridCol w:w="963"/>
        <w:gridCol w:w="4214"/>
        <w:gridCol w:w="4114"/>
      </w:tblGrid>
      <w:tr w:rsidR="00260399" w:rsidRPr="00B121D9" w14:paraId="0DCC03F9" w14:textId="77777777" w:rsidTr="00260399">
        <w:tc>
          <w:tcPr>
            <w:tcW w:w="963" w:type="dxa"/>
          </w:tcPr>
          <w:p w14:paraId="0E4805E1" w14:textId="4FD6D6B2" w:rsidR="00260399" w:rsidRPr="00B121D9" w:rsidRDefault="00260399" w:rsidP="00260399">
            <w:pPr>
              <w:spacing w:before="0" w:line="240" w:lineRule="auto"/>
              <w:rPr>
                <w:rFonts w:ascii="Arial" w:eastAsia="SimSun" w:hAnsi="Arial" w:cs="Arial"/>
                <w:b/>
                <w:sz w:val="14"/>
                <w:szCs w:val="14"/>
                <w:lang w:eastAsia="ja-JP" w:bidi="hi-IN"/>
              </w:rPr>
            </w:pPr>
            <w:r>
              <w:rPr>
                <w:rFonts w:ascii="Arial" w:eastAsia="SimSun" w:hAnsi="Arial" w:cs="Arial"/>
                <w:b/>
                <w:sz w:val="14"/>
                <w:szCs w:val="14"/>
                <w:lang w:eastAsia="ja-JP" w:bidi="hi-IN"/>
              </w:rPr>
              <w:t>Work flow</w:t>
            </w:r>
          </w:p>
        </w:tc>
        <w:tc>
          <w:tcPr>
            <w:tcW w:w="4214" w:type="dxa"/>
          </w:tcPr>
          <w:p w14:paraId="5F6A8362" w14:textId="2127C89D" w:rsidR="00260399" w:rsidRPr="00B121D9" w:rsidRDefault="00260399" w:rsidP="00260399">
            <w:pPr>
              <w:spacing w:before="0" w:line="240" w:lineRule="auto"/>
              <w:jc w:val="left"/>
              <w:rPr>
                <w:rFonts w:ascii="Arial" w:eastAsia="SimSun" w:hAnsi="Arial" w:cs="Arial"/>
                <w:b/>
                <w:sz w:val="14"/>
                <w:szCs w:val="14"/>
                <w:lang w:eastAsia="ja-JP" w:bidi="hi-IN"/>
              </w:rPr>
            </w:pPr>
            <w:r w:rsidRPr="00B121D9">
              <w:rPr>
                <w:rFonts w:ascii="Arial" w:eastAsia="SimSun" w:hAnsi="Arial" w:cs="Arial"/>
                <w:b/>
                <w:sz w:val="14"/>
                <w:szCs w:val="14"/>
                <w:lang w:eastAsia="ja-JP" w:bidi="hi-IN"/>
              </w:rPr>
              <w:t>Clause</w:t>
            </w:r>
          </w:p>
        </w:tc>
        <w:tc>
          <w:tcPr>
            <w:tcW w:w="4114" w:type="dxa"/>
          </w:tcPr>
          <w:p w14:paraId="588F5566" w14:textId="77777777" w:rsidR="00260399" w:rsidRPr="00B121D9" w:rsidRDefault="00260399" w:rsidP="00260399">
            <w:pPr>
              <w:spacing w:before="0" w:line="240" w:lineRule="auto"/>
              <w:jc w:val="left"/>
              <w:rPr>
                <w:rFonts w:ascii="Arial" w:eastAsia="SimSun" w:hAnsi="Arial" w:cs="Arial"/>
                <w:b/>
                <w:sz w:val="14"/>
                <w:szCs w:val="14"/>
                <w:lang w:eastAsia="ja-JP" w:bidi="hi-IN"/>
              </w:rPr>
            </w:pPr>
            <w:r>
              <w:rPr>
                <w:rFonts w:ascii="Arial" w:eastAsia="SimSun" w:hAnsi="Arial" w:cs="Arial"/>
                <w:b/>
                <w:sz w:val="14"/>
                <w:szCs w:val="14"/>
                <w:lang w:eastAsia="ja-JP" w:bidi="hi-IN"/>
              </w:rPr>
              <w:t>Potential work scope for n259</w:t>
            </w:r>
          </w:p>
        </w:tc>
      </w:tr>
      <w:tr w:rsidR="00260399" w:rsidRPr="00B121D9" w14:paraId="67357706" w14:textId="77777777" w:rsidTr="00554FAB">
        <w:tc>
          <w:tcPr>
            <w:tcW w:w="963" w:type="dxa"/>
            <w:shd w:val="clear" w:color="auto" w:fill="BDD6EE" w:themeFill="accent5" w:themeFillTint="66"/>
          </w:tcPr>
          <w:p w14:paraId="7F10591E" w14:textId="4B252A99"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OTA perf</w:t>
            </w:r>
          </w:p>
        </w:tc>
        <w:tc>
          <w:tcPr>
            <w:tcW w:w="4214" w:type="dxa"/>
          </w:tcPr>
          <w:p w14:paraId="66C119BB" w14:textId="7C165037"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6.2.1 UE maximum output power</w:t>
            </w:r>
          </w:p>
        </w:tc>
        <w:tc>
          <w:tcPr>
            <w:tcW w:w="4114" w:type="dxa"/>
          </w:tcPr>
          <w:p w14:paraId="733F8746"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mmWave array EM sim, NW performance sim, multi-band framework</w:t>
            </w:r>
          </w:p>
        </w:tc>
      </w:tr>
      <w:tr w:rsidR="00260399" w:rsidRPr="00B121D9" w14:paraId="314FD9B6" w14:textId="77777777" w:rsidTr="00554FAB">
        <w:tc>
          <w:tcPr>
            <w:tcW w:w="963" w:type="dxa"/>
            <w:shd w:val="clear" w:color="auto" w:fill="FFE599" w:themeFill="accent4" w:themeFillTint="66"/>
          </w:tcPr>
          <w:p w14:paraId="4796E6C2" w14:textId="73E4351A"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447EFFF8" w14:textId="3137DFF1"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6.2.3 UE maximum output power with additional requirements</w:t>
            </w:r>
          </w:p>
        </w:tc>
        <w:tc>
          <w:tcPr>
            <w:tcW w:w="4114" w:type="dxa"/>
          </w:tcPr>
          <w:p w14:paraId="321D83A3"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TBD whether NS values specific to n259 are needed</w:t>
            </w:r>
          </w:p>
        </w:tc>
      </w:tr>
      <w:tr w:rsidR="00260399" w:rsidRPr="00B121D9" w14:paraId="41B4D9B1" w14:textId="77777777" w:rsidTr="00554FAB">
        <w:tc>
          <w:tcPr>
            <w:tcW w:w="963" w:type="dxa"/>
            <w:shd w:val="clear" w:color="auto" w:fill="BDD6EE" w:themeFill="accent5" w:themeFillTint="66"/>
          </w:tcPr>
          <w:p w14:paraId="6AC69A09" w14:textId="22814146"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OTA perf</w:t>
            </w:r>
          </w:p>
        </w:tc>
        <w:tc>
          <w:tcPr>
            <w:tcW w:w="4214" w:type="dxa"/>
          </w:tcPr>
          <w:p w14:paraId="3FBD6722" w14:textId="031F81E3"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6.2A.1 UE maximum output power for CA</w:t>
            </w:r>
          </w:p>
        </w:tc>
        <w:tc>
          <w:tcPr>
            <w:tcW w:w="4114" w:type="dxa"/>
          </w:tcPr>
          <w:p w14:paraId="550F296B"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6.2.1 under CA configuration</w:t>
            </w:r>
          </w:p>
        </w:tc>
      </w:tr>
      <w:tr w:rsidR="00260399" w:rsidRPr="00B121D9" w14:paraId="1B599AA5" w14:textId="77777777" w:rsidTr="00554FAB">
        <w:tc>
          <w:tcPr>
            <w:tcW w:w="963" w:type="dxa"/>
            <w:shd w:val="clear" w:color="auto" w:fill="FFE599" w:themeFill="accent4" w:themeFillTint="66"/>
          </w:tcPr>
          <w:p w14:paraId="6738A2BD" w14:textId="55C34927"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47F53A0B" w14:textId="60102A6E" w:rsidR="0026039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6.2A.3 UE maximum output power with additional requirements</w:t>
            </w:r>
          </w:p>
          <w:p w14:paraId="25C08E17" w14:textId="77777777"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for CA</w:t>
            </w:r>
          </w:p>
        </w:tc>
        <w:tc>
          <w:tcPr>
            <w:tcW w:w="4114" w:type="dxa"/>
          </w:tcPr>
          <w:p w14:paraId="189B5D5E" w14:textId="7263508A"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6.2.</w:t>
            </w:r>
            <w:r w:rsidR="009E4DDA">
              <w:rPr>
                <w:rFonts w:ascii="Arial" w:eastAsia="SimSun" w:hAnsi="Arial" w:cs="Arial"/>
                <w:sz w:val="14"/>
                <w:szCs w:val="14"/>
                <w:lang w:eastAsia="ja-JP" w:bidi="hi-IN"/>
              </w:rPr>
              <w:t>3</w:t>
            </w:r>
            <w:r>
              <w:rPr>
                <w:rFonts w:ascii="Arial" w:eastAsia="SimSun" w:hAnsi="Arial" w:cs="Arial"/>
                <w:sz w:val="14"/>
                <w:szCs w:val="14"/>
                <w:lang w:eastAsia="ja-JP" w:bidi="hi-IN"/>
              </w:rPr>
              <w:t xml:space="preserve"> under CA configuration</w:t>
            </w:r>
          </w:p>
        </w:tc>
      </w:tr>
      <w:tr w:rsidR="00260399" w:rsidRPr="00B121D9" w14:paraId="3D8B1E6C" w14:textId="77777777" w:rsidTr="00554FAB">
        <w:tc>
          <w:tcPr>
            <w:tcW w:w="963" w:type="dxa"/>
            <w:shd w:val="clear" w:color="auto" w:fill="BDD6EE" w:themeFill="accent5" w:themeFillTint="66"/>
          </w:tcPr>
          <w:p w14:paraId="507179DE" w14:textId="7828F869"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OTA perf</w:t>
            </w:r>
          </w:p>
        </w:tc>
        <w:tc>
          <w:tcPr>
            <w:tcW w:w="4214" w:type="dxa"/>
          </w:tcPr>
          <w:p w14:paraId="02742A1F" w14:textId="02C81244"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6.2D.1 UE maximum output power for UL-MIMO</w:t>
            </w:r>
          </w:p>
        </w:tc>
        <w:tc>
          <w:tcPr>
            <w:tcW w:w="4114" w:type="dxa"/>
          </w:tcPr>
          <w:p w14:paraId="0C15DB4F" w14:textId="4639D1C0"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6.2.</w:t>
            </w:r>
            <w:r w:rsidR="009E4DDA">
              <w:rPr>
                <w:rFonts w:ascii="Arial" w:eastAsia="SimSun" w:hAnsi="Arial" w:cs="Arial"/>
                <w:sz w:val="14"/>
                <w:szCs w:val="14"/>
                <w:lang w:eastAsia="ja-JP" w:bidi="hi-IN"/>
              </w:rPr>
              <w:t>1</w:t>
            </w:r>
            <w:r>
              <w:rPr>
                <w:rFonts w:ascii="Arial" w:eastAsia="SimSun" w:hAnsi="Arial" w:cs="Arial"/>
                <w:sz w:val="14"/>
                <w:szCs w:val="14"/>
                <w:lang w:eastAsia="ja-JP" w:bidi="hi-IN"/>
              </w:rPr>
              <w:t xml:space="preserve"> under UL-MIMO configuration</w:t>
            </w:r>
          </w:p>
        </w:tc>
      </w:tr>
      <w:tr w:rsidR="00260399" w:rsidRPr="00B121D9" w14:paraId="41BEEEA1" w14:textId="77777777" w:rsidTr="00554FAB">
        <w:tc>
          <w:tcPr>
            <w:tcW w:w="963" w:type="dxa"/>
            <w:shd w:val="clear" w:color="auto" w:fill="FFE599" w:themeFill="accent4" w:themeFillTint="66"/>
          </w:tcPr>
          <w:p w14:paraId="0A76A2F1" w14:textId="57A9AC98"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4AED7853" w14:textId="2C5D1836" w:rsidR="0026039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6.2D.3 UE maximum output power with additional requirements</w:t>
            </w:r>
          </w:p>
          <w:p w14:paraId="132DD39C" w14:textId="77777777"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for UL- MIMO</w:t>
            </w:r>
          </w:p>
        </w:tc>
        <w:tc>
          <w:tcPr>
            <w:tcW w:w="4114" w:type="dxa"/>
          </w:tcPr>
          <w:p w14:paraId="2266184C"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6.2.3 under UL-MIMO configuration</w:t>
            </w:r>
          </w:p>
        </w:tc>
      </w:tr>
      <w:tr w:rsidR="00260399" w:rsidRPr="00B121D9" w14:paraId="1598493C" w14:textId="77777777" w:rsidTr="00554FAB">
        <w:tc>
          <w:tcPr>
            <w:tcW w:w="963" w:type="dxa"/>
            <w:shd w:val="clear" w:color="auto" w:fill="FFE599" w:themeFill="accent4" w:themeFillTint="66"/>
          </w:tcPr>
          <w:p w14:paraId="6577FE3F" w14:textId="308D126B"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1F4CE6AC" w14:textId="0455AA6E"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6.5.2.3 Adjacent channel leakage ratio</w:t>
            </w:r>
          </w:p>
        </w:tc>
        <w:tc>
          <w:tcPr>
            <w:tcW w:w="4114" w:type="dxa"/>
          </w:tcPr>
          <w:p w14:paraId="235882A2"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New round of coexistence simulations if ACLR from n260 cannot be reused</w:t>
            </w:r>
          </w:p>
        </w:tc>
      </w:tr>
      <w:tr w:rsidR="00260399" w:rsidRPr="00B121D9" w14:paraId="595CFED8" w14:textId="77777777" w:rsidTr="00554FAB">
        <w:tc>
          <w:tcPr>
            <w:tcW w:w="963" w:type="dxa"/>
            <w:shd w:val="clear" w:color="auto" w:fill="FFE599" w:themeFill="accent4" w:themeFillTint="66"/>
          </w:tcPr>
          <w:p w14:paraId="09D9891E" w14:textId="714DB324"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6E3D01AA" w14:textId="4761B13F"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6.5.3.1 Spurious emission band UE co-existence</w:t>
            </w:r>
          </w:p>
        </w:tc>
        <w:tc>
          <w:tcPr>
            <w:tcW w:w="4114" w:type="dxa"/>
          </w:tcPr>
          <w:p w14:paraId="03A7D9D9"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Requirements protecting the new band and existing bands are needed</w:t>
            </w:r>
          </w:p>
        </w:tc>
      </w:tr>
      <w:tr w:rsidR="00260399" w:rsidRPr="00B121D9" w14:paraId="3FC496FA" w14:textId="77777777" w:rsidTr="00554FAB">
        <w:tc>
          <w:tcPr>
            <w:tcW w:w="963" w:type="dxa"/>
            <w:shd w:val="clear" w:color="auto" w:fill="FFE599" w:themeFill="accent4" w:themeFillTint="66"/>
          </w:tcPr>
          <w:p w14:paraId="0CD4573D" w14:textId="08C51C52"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5FA99A54" w14:textId="796E0575"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6.5.3.2 Additional spurious emissions</w:t>
            </w:r>
          </w:p>
        </w:tc>
        <w:tc>
          <w:tcPr>
            <w:tcW w:w="4114" w:type="dxa"/>
          </w:tcPr>
          <w:p w14:paraId="76F8BF02"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TBD whether NS values specific to n259 are needed</w:t>
            </w:r>
          </w:p>
        </w:tc>
      </w:tr>
      <w:tr w:rsidR="00260399" w:rsidRPr="00B121D9" w14:paraId="58D6ED38" w14:textId="77777777" w:rsidTr="00554FAB">
        <w:tc>
          <w:tcPr>
            <w:tcW w:w="963" w:type="dxa"/>
            <w:shd w:val="clear" w:color="auto" w:fill="FFE599" w:themeFill="accent4" w:themeFillTint="66"/>
          </w:tcPr>
          <w:p w14:paraId="6EC6B656" w14:textId="783E63CF"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2BDFDC6C" w14:textId="49236AD8"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A</w:t>
            </w:r>
            <w:r w:rsidRPr="00B121D9">
              <w:rPr>
                <w:rFonts w:ascii="Arial" w:eastAsia="SimSun" w:hAnsi="Arial" w:cs="Arial"/>
                <w:sz w:val="14"/>
                <w:szCs w:val="14"/>
                <w:lang w:eastAsia="ja-JP" w:bidi="hi-IN"/>
              </w:rPr>
              <w:t>.2.3 Adjacent channel leakage ratio for CA</w:t>
            </w:r>
          </w:p>
        </w:tc>
        <w:tc>
          <w:tcPr>
            <w:tcW w:w="4114" w:type="dxa"/>
          </w:tcPr>
          <w:p w14:paraId="1DEE44ED"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6.5.2.3 under CA configuration</w:t>
            </w:r>
          </w:p>
        </w:tc>
      </w:tr>
      <w:tr w:rsidR="00260399" w:rsidRPr="00B121D9" w14:paraId="6F0FB36C" w14:textId="77777777" w:rsidTr="00554FAB">
        <w:tc>
          <w:tcPr>
            <w:tcW w:w="963" w:type="dxa"/>
            <w:shd w:val="clear" w:color="auto" w:fill="FFE599" w:themeFill="accent4" w:themeFillTint="66"/>
          </w:tcPr>
          <w:p w14:paraId="3EC63BC5" w14:textId="54BD51B0"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1B07C00A" w14:textId="584DE139"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A</w:t>
            </w:r>
            <w:r w:rsidRPr="00B121D9">
              <w:rPr>
                <w:rFonts w:ascii="Arial" w:eastAsia="SimSun" w:hAnsi="Arial" w:cs="Arial"/>
                <w:sz w:val="14"/>
                <w:szCs w:val="14"/>
                <w:lang w:eastAsia="ja-JP" w:bidi="hi-IN"/>
              </w:rPr>
              <w:t>.3.1 Spurious emission band UE co-existence for CA</w:t>
            </w:r>
          </w:p>
        </w:tc>
        <w:tc>
          <w:tcPr>
            <w:tcW w:w="4114" w:type="dxa"/>
          </w:tcPr>
          <w:p w14:paraId="3E1CB9C6"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Requirements protecting the new band and existing bands are needed</w:t>
            </w:r>
          </w:p>
        </w:tc>
      </w:tr>
      <w:tr w:rsidR="00260399" w:rsidRPr="00B121D9" w14:paraId="49DE9A5E" w14:textId="77777777" w:rsidTr="00554FAB">
        <w:tc>
          <w:tcPr>
            <w:tcW w:w="963" w:type="dxa"/>
            <w:shd w:val="clear" w:color="auto" w:fill="FFE599" w:themeFill="accent4" w:themeFillTint="66"/>
          </w:tcPr>
          <w:p w14:paraId="6DE20586" w14:textId="098DF83C"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486335E9" w14:textId="55EFDC44"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A</w:t>
            </w:r>
            <w:r w:rsidRPr="00B121D9">
              <w:rPr>
                <w:rFonts w:ascii="Arial" w:eastAsia="SimSun" w:hAnsi="Arial" w:cs="Arial"/>
                <w:sz w:val="14"/>
                <w:szCs w:val="14"/>
                <w:lang w:eastAsia="ja-JP" w:bidi="hi-IN"/>
              </w:rPr>
              <w:t>.3.2 Additional spurious emissions for CA</w:t>
            </w:r>
          </w:p>
        </w:tc>
        <w:tc>
          <w:tcPr>
            <w:tcW w:w="4114" w:type="dxa"/>
          </w:tcPr>
          <w:p w14:paraId="348E1594"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TBD whether NS values specific to n259 are needed</w:t>
            </w:r>
          </w:p>
        </w:tc>
      </w:tr>
      <w:tr w:rsidR="00260399" w:rsidRPr="00B121D9" w14:paraId="38BCC950" w14:textId="77777777" w:rsidTr="00554FAB">
        <w:tc>
          <w:tcPr>
            <w:tcW w:w="963" w:type="dxa"/>
            <w:shd w:val="clear" w:color="auto" w:fill="FFE599" w:themeFill="accent4" w:themeFillTint="66"/>
          </w:tcPr>
          <w:p w14:paraId="3EFB794B" w14:textId="00952DB6"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34861483" w14:textId="12FAEA4E"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D</w:t>
            </w:r>
            <w:r w:rsidRPr="00B121D9">
              <w:rPr>
                <w:rFonts w:ascii="Arial" w:eastAsia="SimSun" w:hAnsi="Arial" w:cs="Arial"/>
                <w:sz w:val="14"/>
                <w:szCs w:val="14"/>
                <w:lang w:eastAsia="ja-JP" w:bidi="hi-IN"/>
              </w:rPr>
              <w:t>.2.3 Adjacent channel leakage ratio for UL-MIMO</w:t>
            </w:r>
          </w:p>
        </w:tc>
        <w:tc>
          <w:tcPr>
            <w:tcW w:w="4114" w:type="dxa"/>
          </w:tcPr>
          <w:p w14:paraId="6BD72BEB"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6.5.2.3 under UL-MIMO configuration</w:t>
            </w:r>
          </w:p>
        </w:tc>
      </w:tr>
      <w:tr w:rsidR="00260399" w:rsidRPr="00B121D9" w14:paraId="15D93682" w14:textId="77777777" w:rsidTr="00554FAB">
        <w:tc>
          <w:tcPr>
            <w:tcW w:w="963" w:type="dxa"/>
            <w:shd w:val="clear" w:color="auto" w:fill="FFE599" w:themeFill="accent4" w:themeFillTint="66"/>
          </w:tcPr>
          <w:p w14:paraId="691598C2" w14:textId="1373D1D3"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3B39FB65" w14:textId="50690C9C"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D</w:t>
            </w:r>
            <w:r w:rsidRPr="00B121D9">
              <w:rPr>
                <w:rFonts w:ascii="Arial" w:eastAsia="SimSun" w:hAnsi="Arial" w:cs="Arial"/>
                <w:sz w:val="14"/>
                <w:szCs w:val="14"/>
                <w:lang w:eastAsia="ja-JP" w:bidi="hi-IN"/>
              </w:rPr>
              <w:t>.3.1 Spurious emission band UE co-existence for UL-MIMO</w:t>
            </w:r>
          </w:p>
        </w:tc>
        <w:tc>
          <w:tcPr>
            <w:tcW w:w="4114" w:type="dxa"/>
          </w:tcPr>
          <w:p w14:paraId="2C781563"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6.5.3.1 under UL-MIMO configuration</w:t>
            </w:r>
          </w:p>
        </w:tc>
      </w:tr>
      <w:tr w:rsidR="00260399" w:rsidRPr="00B121D9" w14:paraId="207ADE5D" w14:textId="77777777" w:rsidTr="00554FAB">
        <w:tc>
          <w:tcPr>
            <w:tcW w:w="963" w:type="dxa"/>
            <w:shd w:val="clear" w:color="auto" w:fill="FFE599" w:themeFill="accent4" w:themeFillTint="66"/>
          </w:tcPr>
          <w:p w14:paraId="0EE3D974" w14:textId="45349F6B"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490CCDE7" w14:textId="7C922D61"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D</w:t>
            </w:r>
            <w:r w:rsidRPr="00B121D9">
              <w:rPr>
                <w:rFonts w:ascii="Arial" w:eastAsia="SimSun" w:hAnsi="Arial" w:cs="Arial"/>
                <w:sz w:val="14"/>
                <w:szCs w:val="14"/>
                <w:lang w:eastAsia="ja-JP" w:bidi="hi-IN"/>
              </w:rPr>
              <w:t>.3.2 Additional spurious emissions for UL-MIMO</w:t>
            </w:r>
          </w:p>
        </w:tc>
        <w:tc>
          <w:tcPr>
            <w:tcW w:w="4114" w:type="dxa"/>
          </w:tcPr>
          <w:p w14:paraId="46B4C874"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TBD whether NS values specific to n259 are needed</w:t>
            </w:r>
          </w:p>
        </w:tc>
      </w:tr>
      <w:tr w:rsidR="00260399" w:rsidRPr="00B121D9" w14:paraId="2A2352F1" w14:textId="77777777" w:rsidTr="00554FAB">
        <w:tc>
          <w:tcPr>
            <w:tcW w:w="963" w:type="dxa"/>
            <w:shd w:val="clear" w:color="auto" w:fill="BDD6EE" w:themeFill="accent5" w:themeFillTint="66"/>
          </w:tcPr>
          <w:p w14:paraId="3B3F0197" w14:textId="16A97A6A"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lastRenderedPageBreak/>
              <w:t>OTA perf</w:t>
            </w:r>
          </w:p>
        </w:tc>
        <w:tc>
          <w:tcPr>
            <w:tcW w:w="4214" w:type="dxa"/>
          </w:tcPr>
          <w:p w14:paraId="24B14F8F" w14:textId="5619EA51"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6.6 Beam correspondence</w:t>
            </w:r>
          </w:p>
        </w:tc>
        <w:tc>
          <w:tcPr>
            <w:tcW w:w="4114" w:type="dxa"/>
          </w:tcPr>
          <w:p w14:paraId="2F35484C"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Beam correspondence tolerance sim</w:t>
            </w:r>
          </w:p>
        </w:tc>
      </w:tr>
      <w:tr w:rsidR="00260399" w:rsidRPr="00B121D9" w14:paraId="7C3FE1AE" w14:textId="77777777" w:rsidTr="00554FAB">
        <w:tc>
          <w:tcPr>
            <w:tcW w:w="963" w:type="dxa"/>
            <w:shd w:val="clear" w:color="auto" w:fill="BDD6EE" w:themeFill="accent5" w:themeFillTint="66"/>
          </w:tcPr>
          <w:p w14:paraId="7F02FFDF" w14:textId="3665D7DB"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OTA perf</w:t>
            </w:r>
          </w:p>
        </w:tc>
        <w:tc>
          <w:tcPr>
            <w:tcW w:w="4214" w:type="dxa"/>
          </w:tcPr>
          <w:p w14:paraId="2B20C695" w14:textId="7B2CC15D"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7.3.2 Reference sensitivity power level</w:t>
            </w:r>
          </w:p>
        </w:tc>
        <w:tc>
          <w:tcPr>
            <w:tcW w:w="4114" w:type="dxa"/>
          </w:tcPr>
          <w:p w14:paraId="738624D5"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Determine common assumption on UE receiver noise figure, reuse mmWave array sim and multi-band framework</w:t>
            </w:r>
          </w:p>
        </w:tc>
      </w:tr>
      <w:tr w:rsidR="00260399" w:rsidRPr="00B121D9" w14:paraId="1F1FA802" w14:textId="77777777" w:rsidTr="00554FAB">
        <w:tc>
          <w:tcPr>
            <w:tcW w:w="963" w:type="dxa"/>
            <w:shd w:val="clear" w:color="auto" w:fill="BDD6EE" w:themeFill="accent5" w:themeFillTint="66"/>
          </w:tcPr>
          <w:p w14:paraId="0F7125BB" w14:textId="1E7A5B4F"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OTA perf</w:t>
            </w:r>
          </w:p>
        </w:tc>
        <w:tc>
          <w:tcPr>
            <w:tcW w:w="4214" w:type="dxa"/>
          </w:tcPr>
          <w:p w14:paraId="39C1DC67" w14:textId="311F0E37"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7.3.4 EIS spherical coverage</w:t>
            </w:r>
          </w:p>
        </w:tc>
        <w:tc>
          <w:tcPr>
            <w:tcW w:w="4114" w:type="dxa"/>
          </w:tcPr>
          <w:p w14:paraId="42FA807A"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mmWave array sim and multi-band framework</w:t>
            </w:r>
          </w:p>
        </w:tc>
      </w:tr>
      <w:tr w:rsidR="00260399" w:rsidRPr="00B121D9" w14:paraId="7A07CFF3" w14:textId="77777777" w:rsidTr="00554FAB">
        <w:tc>
          <w:tcPr>
            <w:tcW w:w="963" w:type="dxa"/>
            <w:shd w:val="clear" w:color="auto" w:fill="BDD6EE" w:themeFill="accent5" w:themeFillTint="66"/>
          </w:tcPr>
          <w:p w14:paraId="487EE491" w14:textId="6A6F6253"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OTA perf</w:t>
            </w:r>
          </w:p>
        </w:tc>
        <w:tc>
          <w:tcPr>
            <w:tcW w:w="4214" w:type="dxa"/>
          </w:tcPr>
          <w:p w14:paraId="1C7D067B" w14:textId="02C130EF"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7.3A.2 Reference sensitivity power level for CA</w:t>
            </w:r>
          </w:p>
        </w:tc>
        <w:tc>
          <w:tcPr>
            <w:tcW w:w="4114" w:type="dxa"/>
          </w:tcPr>
          <w:p w14:paraId="3D86DE38"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7.3.2 under CA configuration</w:t>
            </w:r>
          </w:p>
        </w:tc>
      </w:tr>
      <w:tr w:rsidR="00260399" w:rsidRPr="00B121D9" w14:paraId="75515C70" w14:textId="77777777" w:rsidTr="00554FAB">
        <w:tc>
          <w:tcPr>
            <w:tcW w:w="963" w:type="dxa"/>
            <w:shd w:val="clear" w:color="auto" w:fill="BDD6EE" w:themeFill="accent5" w:themeFillTint="66"/>
          </w:tcPr>
          <w:p w14:paraId="4C8F704B" w14:textId="07289E56"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OTA perf</w:t>
            </w:r>
          </w:p>
        </w:tc>
        <w:tc>
          <w:tcPr>
            <w:tcW w:w="4214" w:type="dxa"/>
          </w:tcPr>
          <w:p w14:paraId="18C193AB" w14:textId="47135ACE"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7.3D Reference sensitivity for UL-MIMO</w:t>
            </w:r>
          </w:p>
        </w:tc>
        <w:tc>
          <w:tcPr>
            <w:tcW w:w="4114" w:type="dxa"/>
          </w:tcPr>
          <w:p w14:paraId="2ED9D1C6"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7.3.2 under UL-MIMO configuration</w:t>
            </w:r>
          </w:p>
        </w:tc>
      </w:tr>
      <w:tr w:rsidR="00260399" w:rsidRPr="00B121D9" w14:paraId="6AD64F99" w14:textId="77777777" w:rsidTr="00554FAB">
        <w:tc>
          <w:tcPr>
            <w:tcW w:w="963" w:type="dxa"/>
            <w:shd w:val="clear" w:color="auto" w:fill="C5E0B3" w:themeFill="accent6" w:themeFillTint="66"/>
          </w:tcPr>
          <w:p w14:paraId="1AE50D82" w14:textId="3E4A649E"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Rx</w:t>
            </w:r>
          </w:p>
        </w:tc>
        <w:tc>
          <w:tcPr>
            <w:tcW w:w="4214" w:type="dxa"/>
          </w:tcPr>
          <w:p w14:paraId="2767BB28" w14:textId="35D3D6D2"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7.5 Adjacent channel selectivity</w:t>
            </w:r>
          </w:p>
        </w:tc>
        <w:tc>
          <w:tcPr>
            <w:tcW w:w="4114" w:type="dxa"/>
          </w:tcPr>
          <w:p w14:paraId="4645478A"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New round of coexistence simulations if ACS from n260 cannot be reused</w:t>
            </w:r>
          </w:p>
        </w:tc>
      </w:tr>
      <w:tr w:rsidR="00260399" w:rsidRPr="00B121D9" w14:paraId="0C50C946" w14:textId="77777777" w:rsidTr="00554FAB">
        <w:tc>
          <w:tcPr>
            <w:tcW w:w="963" w:type="dxa"/>
            <w:shd w:val="clear" w:color="auto" w:fill="C5E0B3" w:themeFill="accent6" w:themeFillTint="66"/>
          </w:tcPr>
          <w:p w14:paraId="2A95199D" w14:textId="543CBDD9"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Rx</w:t>
            </w:r>
          </w:p>
        </w:tc>
        <w:tc>
          <w:tcPr>
            <w:tcW w:w="4214" w:type="dxa"/>
          </w:tcPr>
          <w:p w14:paraId="3AB891F3" w14:textId="6043F82F"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7.5 Adjacent channel selectivity for CA</w:t>
            </w:r>
          </w:p>
        </w:tc>
        <w:tc>
          <w:tcPr>
            <w:tcW w:w="4114" w:type="dxa"/>
          </w:tcPr>
          <w:p w14:paraId="58032935"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7.5 under CA configuration</w:t>
            </w:r>
          </w:p>
        </w:tc>
      </w:tr>
      <w:tr w:rsidR="00260399" w:rsidRPr="00B121D9" w14:paraId="27286647" w14:textId="77777777" w:rsidTr="00554FAB">
        <w:tc>
          <w:tcPr>
            <w:tcW w:w="963" w:type="dxa"/>
            <w:shd w:val="clear" w:color="auto" w:fill="C5E0B3" w:themeFill="accent6" w:themeFillTint="66"/>
          </w:tcPr>
          <w:p w14:paraId="03764EBA" w14:textId="35E316BE"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Rx</w:t>
            </w:r>
          </w:p>
        </w:tc>
        <w:tc>
          <w:tcPr>
            <w:tcW w:w="4214" w:type="dxa"/>
          </w:tcPr>
          <w:p w14:paraId="12462EF1" w14:textId="35045D26"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7.5 Adjacent channel selectivity for UL-MIMO</w:t>
            </w:r>
          </w:p>
        </w:tc>
        <w:tc>
          <w:tcPr>
            <w:tcW w:w="4114" w:type="dxa"/>
          </w:tcPr>
          <w:p w14:paraId="3544B033"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7.5 under UL-MIMO configuration</w:t>
            </w:r>
          </w:p>
        </w:tc>
      </w:tr>
      <w:tr w:rsidR="00260399" w:rsidRPr="00B121D9" w14:paraId="5BA35F96" w14:textId="77777777" w:rsidTr="00554FAB">
        <w:tc>
          <w:tcPr>
            <w:tcW w:w="963" w:type="dxa"/>
            <w:shd w:val="clear" w:color="auto" w:fill="C5E0B3" w:themeFill="accent6" w:themeFillTint="66"/>
          </w:tcPr>
          <w:p w14:paraId="429B2610" w14:textId="7A09D56C"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Rx</w:t>
            </w:r>
          </w:p>
        </w:tc>
        <w:tc>
          <w:tcPr>
            <w:tcW w:w="4214" w:type="dxa"/>
          </w:tcPr>
          <w:p w14:paraId="53E86BC9" w14:textId="6CB6F9D4"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7.6.2 In-band blocking</w:t>
            </w:r>
          </w:p>
        </w:tc>
        <w:tc>
          <w:tcPr>
            <w:tcW w:w="4114" w:type="dxa"/>
          </w:tcPr>
          <w:p w14:paraId="2B78FD8A"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Analyze IBB scenario for n259 and define new requirements</w:t>
            </w:r>
          </w:p>
        </w:tc>
      </w:tr>
      <w:tr w:rsidR="00260399" w:rsidRPr="00B121D9" w14:paraId="25148B61" w14:textId="77777777" w:rsidTr="00554FAB">
        <w:tc>
          <w:tcPr>
            <w:tcW w:w="963" w:type="dxa"/>
            <w:shd w:val="clear" w:color="auto" w:fill="C5E0B3" w:themeFill="accent6" w:themeFillTint="66"/>
          </w:tcPr>
          <w:p w14:paraId="638115FE" w14:textId="47A27655"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Rx</w:t>
            </w:r>
          </w:p>
        </w:tc>
        <w:tc>
          <w:tcPr>
            <w:tcW w:w="4214" w:type="dxa"/>
          </w:tcPr>
          <w:p w14:paraId="2596F022" w14:textId="55100AF4"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7.6A.2 In-band blocking for CA</w:t>
            </w:r>
          </w:p>
        </w:tc>
        <w:tc>
          <w:tcPr>
            <w:tcW w:w="4114" w:type="dxa"/>
          </w:tcPr>
          <w:p w14:paraId="1CB3496D"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Analyze IBB scenario for n259 and define new requirements</w:t>
            </w:r>
          </w:p>
        </w:tc>
      </w:tr>
      <w:tr w:rsidR="00260399" w:rsidRPr="00B121D9" w14:paraId="5087A7ED" w14:textId="77777777" w:rsidTr="00554FAB">
        <w:tc>
          <w:tcPr>
            <w:tcW w:w="963" w:type="dxa"/>
            <w:shd w:val="clear" w:color="auto" w:fill="C5E0B3" w:themeFill="accent6" w:themeFillTint="66"/>
          </w:tcPr>
          <w:p w14:paraId="2811B090" w14:textId="79B22505"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Rx</w:t>
            </w:r>
          </w:p>
        </w:tc>
        <w:tc>
          <w:tcPr>
            <w:tcW w:w="4214" w:type="dxa"/>
          </w:tcPr>
          <w:p w14:paraId="2033C53B" w14:textId="6A35ABEE"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7.6D Blocking characteristics for UL-MIMO</w:t>
            </w:r>
          </w:p>
        </w:tc>
        <w:tc>
          <w:tcPr>
            <w:tcW w:w="4114" w:type="dxa"/>
          </w:tcPr>
          <w:p w14:paraId="258092AC"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7.6.2 under UL-MIMO configuration</w:t>
            </w:r>
          </w:p>
        </w:tc>
      </w:tr>
    </w:tbl>
    <w:p w14:paraId="412C5F2E" w14:textId="5E4C45AB" w:rsidR="00260399" w:rsidRDefault="00260399" w:rsidP="00A56963">
      <w:pPr>
        <w:rPr>
          <w:rFonts w:eastAsia="SimSun"/>
          <w:lang w:eastAsia="ja-JP" w:bidi="hi-IN"/>
        </w:rPr>
      </w:pPr>
    </w:p>
    <w:p w14:paraId="2038F1A6" w14:textId="2691A46D" w:rsidR="006865BC" w:rsidRDefault="007E3383" w:rsidP="00A56963">
      <w:pPr>
        <w:rPr>
          <w:rFonts w:eastAsia="SimSun"/>
          <w:lang w:eastAsia="ja-JP" w:bidi="hi-IN"/>
        </w:rPr>
      </w:pPr>
      <w:r>
        <w:rPr>
          <w:rFonts w:eastAsia="SimSun"/>
          <w:lang w:eastAsia="ja-JP" w:bidi="hi-IN"/>
        </w:rPr>
        <w:t>Considering just the OTA performance work flow, a starting point is needed to progress the work.</w:t>
      </w:r>
    </w:p>
    <w:p w14:paraId="3C5DB4E7" w14:textId="71F1CA72" w:rsidR="007E3383" w:rsidRDefault="007E3383" w:rsidP="00A56963">
      <w:pPr>
        <w:rPr>
          <w:rFonts w:eastAsia="SimSun"/>
          <w:lang w:eastAsia="ja-JP" w:bidi="hi-IN"/>
        </w:rPr>
      </w:pPr>
    </w:p>
    <w:p w14:paraId="0F8A75A5" w14:textId="33B5256D" w:rsidR="00937BD3" w:rsidRDefault="00937BD3" w:rsidP="00937BD3">
      <w:pPr>
        <w:rPr>
          <w:rFonts w:eastAsia="SimSun"/>
          <w:lang w:eastAsia="ja-JP" w:bidi="hi-IN"/>
        </w:rPr>
      </w:pPr>
      <w:r w:rsidRPr="00937BD3">
        <w:rPr>
          <w:rFonts w:eastAsia="SimSun"/>
          <w:b/>
          <w:lang w:eastAsia="ja-JP" w:bidi="hi-IN"/>
        </w:rPr>
        <w:t>Proposal 1</w:t>
      </w:r>
      <w:r>
        <w:rPr>
          <w:rFonts w:eastAsia="SimSun"/>
          <w:lang w:eastAsia="ja-JP" w:bidi="hi-IN"/>
        </w:rPr>
        <w:t>:</w:t>
      </w:r>
      <w:r w:rsidRPr="00937BD3">
        <w:rPr>
          <w:rFonts w:eastAsia="SimSun"/>
          <w:lang w:eastAsia="ja-JP" w:bidi="hi-IN"/>
        </w:rPr>
        <w:t xml:space="preserve"> </w:t>
      </w:r>
      <w:r>
        <w:rPr>
          <w:rFonts w:eastAsia="SimSun"/>
          <w:lang w:eastAsia="ja-JP" w:bidi="hi-IN"/>
        </w:rPr>
        <w:t>Within the OTA performance work flow, i</w:t>
      </w:r>
      <w:r w:rsidRPr="00937BD3">
        <w:rPr>
          <w:rFonts w:eastAsia="SimSun"/>
          <w:lang w:eastAsia="ja-JP" w:bidi="hi-IN"/>
        </w:rPr>
        <w:t>t is useful to first focus on the single-band</w:t>
      </w:r>
      <w:r w:rsidRPr="00937BD3">
        <w:rPr>
          <w:rFonts w:ascii="MS Mincho" w:eastAsia="MS Mincho" w:hAnsi="MS Mincho" w:cs="MS Mincho" w:hint="eastAsia"/>
          <w:lang w:eastAsia="ja-JP" w:bidi="hi-IN"/>
        </w:rPr>
        <w:t> </w:t>
      </w:r>
      <w:r w:rsidRPr="00937BD3">
        <w:rPr>
          <w:rFonts w:eastAsia="SimSun"/>
          <w:lang w:eastAsia="ja-JP" w:bidi="hi-IN"/>
        </w:rPr>
        <w:t>peak/spherical EIRP/EIS requirement</w:t>
      </w:r>
      <w:r>
        <w:rPr>
          <w:rFonts w:eastAsia="SimSun"/>
          <w:lang w:eastAsia="ja-JP" w:bidi="hi-IN"/>
        </w:rPr>
        <w:t xml:space="preserve"> values</w:t>
      </w:r>
      <w:r w:rsidRPr="00937BD3">
        <w:rPr>
          <w:rFonts w:eastAsia="SimSun"/>
          <w:lang w:eastAsia="ja-JP" w:bidi="hi-IN"/>
        </w:rPr>
        <w:t xml:space="preserve"> and then to proceed to </w:t>
      </w:r>
      <w:r>
        <w:rPr>
          <w:rFonts w:eastAsia="SimSun"/>
          <w:lang w:eastAsia="ja-JP" w:bidi="hi-IN"/>
        </w:rPr>
        <w:t xml:space="preserve">extend the </w:t>
      </w:r>
      <w:r w:rsidRPr="00937BD3">
        <w:rPr>
          <w:rFonts w:eastAsia="SimSun"/>
          <w:lang w:eastAsia="ja-JP" w:bidi="hi-IN"/>
        </w:rPr>
        <w:t>multi-band</w:t>
      </w:r>
      <w:r>
        <w:rPr>
          <w:rFonts w:eastAsia="SimSun"/>
          <w:lang w:eastAsia="ja-JP" w:bidi="hi-IN"/>
        </w:rPr>
        <w:t xml:space="preserve"> framework to include Band n259.</w:t>
      </w:r>
    </w:p>
    <w:p w14:paraId="6E094740" w14:textId="74FF5291" w:rsidR="00937BD3" w:rsidRDefault="00937BD3" w:rsidP="00937BD3">
      <w:pPr>
        <w:rPr>
          <w:rFonts w:eastAsia="SimSun"/>
          <w:lang w:eastAsia="ja-JP" w:bidi="hi-IN"/>
        </w:rPr>
      </w:pPr>
    </w:p>
    <w:p w14:paraId="5C55312F" w14:textId="11B7A8B9" w:rsidR="00937BD3" w:rsidRDefault="00937BD3" w:rsidP="00937BD3">
      <w:pPr>
        <w:rPr>
          <w:rFonts w:eastAsia="SimSun"/>
          <w:lang w:eastAsia="ja-JP" w:bidi="hi-IN"/>
        </w:rPr>
      </w:pPr>
      <w:r>
        <w:rPr>
          <w:rFonts w:eastAsia="SimSun"/>
          <w:lang w:eastAsia="ja-JP" w:bidi="hi-IN"/>
        </w:rPr>
        <w:t xml:space="preserve">In the context of a UE supporting a single band, we observe that </w:t>
      </w:r>
      <w:r w:rsidRPr="00937BD3">
        <w:rPr>
          <w:rFonts w:eastAsia="SimSun"/>
          <w:lang w:eastAsia="ja-JP" w:bidi="hi-IN"/>
        </w:rPr>
        <w:t xml:space="preserve">Band n259 overlaps n260 by 500 MHz, </w:t>
      </w:r>
      <w:r>
        <w:rPr>
          <w:rFonts w:eastAsia="SimSun"/>
          <w:lang w:eastAsia="ja-JP" w:bidi="hi-IN"/>
        </w:rPr>
        <w:t>and it may be reasonable to reuse some antenna array performance assumptions from Band n260.</w:t>
      </w:r>
      <w:r w:rsidR="000171C2">
        <w:rPr>
          <w:rFonts w:eastAsia="SimSun"/>
          <w:lang w:eastAsia="ja-JP" w:bidi="hi-IN"/>
        </w:rPr>
        <w:t xml:space="preserve">  Thus, antenna array topology (i.e. the number of elements and their arrangement), antenna element gain, and form factor integration loss can be reused from Band n260 for a single-band UE.</w:t>
      </w:r>
    </w:p>
    <w:p w14:paraId="4DD08265" w14:textId="53273794" w:rsidR="000171C2" w:rsidRDefault="000171C2" w:rsidP="00937BD3">
      <w:pPr>
        <w:rPr>
          <w:rFonts w:eastAsia="SimSun"/>
          <w:lang w:eastAsia="ja-JP" w:bidi="hi-IN"/>
        </w:rPr>
      </w:pPr>
    </w:p>
    <w:p w14:paraId="228C0F45" w14:textId="32573C1C" w:rsidR="000171C2" w:rsidRDefault="000171C2" w:rsidP="00937BD3">
      <w:pPr>
        <w:rPr>
          <w:rFonts w:eastAsia="SimSun"/>
          <w:lang w:eastAsia="ja-JP" w:bidi="hi-IN"/>
        </w:rPr>
      </w:pPr>
      <w:r w:rsidRPr="000171C2">
        <w:rPr>
          <w:rFonts w:eastAsia="SimSun"/>
          <w:b/>
          <w:lang w:eastAsia="ja-JP" w:bidi="hi-IN"/>
        </w:rPr>
        <w:t>Proposal 2</w:t>
      </w:r>
      <w:r>
        <w:rPr>
          <w:rFonts w:eastAsia="SimSun"/>
          <w:lang w:eastAsia="ja-JP" w:bidi="hi-IN"/>
        </w:rPr>
        <w:t xml:space="preserve">: </w:t>
      </w:r>
      <w:r w:rsidR="00750D3F">
        <w:rPr>
          <w:rFonts w:eastAsia="SimSun"/>
          <w:lang w:eastAsia="ja-JP" w:bidi="hi-IN"/>
        </w:rPr>
        <w:t>I</w:t>
      </w:r>
      <w:r w:rsidRPr="00937BD3">
        <w:rPr>
          <w:rFonts w:eastAsia="SimSun"/>
          <w:lang w:eastAsia="ja-JP" w:bidi="hi-IN"/>
        </w:rPr>
        <w:t>t is reasonable to reuse the antenna array performance assumptions (in terms of peak gain and gain drop at the 50% CDF) from Band n260</w:t>
      </w:r>
      <w:r>
        <w:rPr>
          <w:rFonts w:eastAsia="SimSun"/>
          <w:lang w:eastAsia="ja-JP" w:bidi="hi-IN"/>
        </w:rPr>
        <w:t xml:space="preserve"> for Band n259 for a single-band UE.</w:t>
      </w:r>
    </w:p>
    <w:p w14:paraId="151309F1" w14:textId="16712491" w:rsidR="00937BD3" w:rsidRDefault="00937BD3" w:rsidP="00937BD3">
      <w:pPr>
        <w:rPr>
          <w:rFonts w:eastAsia="SimSun"/>
          <w:lang w:eastAsia="ja-JP" w:bidi="hi-IN"/>
        </w:rPr>
      </w:pPr>
    </w:p>
    <w:p w14:paraId="0D948321" w14:textId="206FCC50" w:rsidR="00937BD3" w:rsidRDefault="000171C2" w:rsidP="00937BD3">
      <w:pPr>
        <w:rPr>
          <w:rFonts w:eastAsia="SimSun"/>
          <w:lang w:eastAsia="ja-JP" w:bidi="hi-IN"/>
        </w:rPr>
      </w:pPr>
      <w:r>
        <w:rPr>
          <w:rFonts w:eastAsia="SimSun"/>
          <w:lang w:eastAsia="ja-JP" w:bidi="hi-IN"/>
        </w:rPr>
        <w:t>Shifting focus from the antenna subsystem to the Band n259 transmitter and receiver, the next step should be to determine whether the related parameters can be reused from Band n260 or updated.</w:t>
      </w:r>
    </w:p>
    <w:p w14:paraId="7BFDDE5E" w14:textId="5548BD06" w:rsidR="000171C2" w:rsidRDefault="000171C2" w:rsidP="00937BD3">
      <w:pPr>
        <w:rPr>
          <w:rFonts w:eastAsia="SimSun"/>
          <w:lang w:eastAsia="ja-JP" w:bidi="hi-IN"/>
        </w:rPr>
      </w:pPr>
    </w:p>
    <w:p w14:paraId="62887934" w14:textId="1F3E2F66" w:rsidR="000171C2" w:rsidRDefault="000171C2" w:rsidP="00937BD3">
      <w:pPr>
        <w:rPr>
          <w:rFonts w:eastAsia="SimSun"/>
          <w:lang w:eastAsia="ja-JP" w:bidi="hi-IN"/>
        </w:rPr>
      </w:pPr>
      <w:r w:rsidRPr="000171C2">
        <w:rPr>
          <w:rFonts w:eastAsia="SimSun"/>
          <w:b/>
          <w:lang w:eastAsia="ja-JP" w:bidi="hi-IN"/>
        </w:rPr>
        <w:t>Proposal 3</w:t>
      </w:r>
      <w:r>
        <w:rPr>
          <w:rFonts w:eastAsia="SimSun"/>
          <w:lang w:eastAsia="ja-JP" w:bidi="hi-IN"/>
        </w:rPr>
        <w:t>: As the next step, decisions whether the PA output power and receiver noise figure values assumed for Band n260 can be reused or should be updated for Band n259 are needed.</w:t>
      </w:r>
    </w:p>
    <w:p w14:paraId="687C845C" w14:textId="0BEEBB4E" w:rsidR="000171C2" w:rsidRDefault="000171C2" w:rsidP="00937BD3">
      <w:pPr>
        <w:rPr>
          <w:rFonts w:eastAsia="SimSun"/>
          <w:lang w:eastAsia="ja-JP" w:bidi="hi-IN"/>
        </w:rPr>
      </w:pPr>
    </w:p>
    <w:p w14:paraId="609458CE" w14:textId="32E7A9A7" w:rsidR="000171C2" w:rsidRDefault="00750D3F" w:rsidP="00937BD3">
      <w:pPr>
        <w:rPr>
          <w:rFonts w:eastAsia="SimSun"/>
          <w:lang w:eastAsia="ja-JP" w:bidi="hi-IN"/>
        </w:rPr>
      </w:pPr>
      <w:r>
        <w:rPr>
          <w:rFonts w:eastAsia="SimSun"/>
          <w:lang w:eastAsia="ja-JP" w:bidi="hi-IN"/>
        </w:rPr>
        <w:t>Once the Band n259 RF component capabilities are clarified, it should be possible to identify the single-band requirement values for peak/spherical EIRP/EIS.</w:t>
      </w:r>
    </w:p>
    <w:p w14:paraId="7C643937" w14:textId="2BF3F31C" w:rsidR="00750D3F" w:rsidRDefault="00750D3F" w:rsidP="00937BD3">
      <w:pPr>
        <w:rPr>
          <w:rFonts w:eastAsia="SimSun"/>
          <w:lang w:eastAsia="ja-JP" w:bidi="hi-IN"/>
        </w:rPr>
      </w:pPr>
    </w:p>
    <w:p w14:paraId="44EB3719" w14:textId="41FD6A65" w:rsidR="00750D3F" w:rsidRDefault="00750D3F" w:rsidP="00937BD3">
      <w:pPr>
        <w:rPr>
          <w:rFonts w:eastAsia="SimSun"/>
          <w:lang w:eastAsia="ja-JP" w:bidi="hi-IN"/>
        </w:rPr>
      </w:pPr>
      <w:r w:rsidRPr="00750D3F">
        <w:rPr>
          <w:rFonts w:eastAsia="SimSun"/>
          <w:b/>
          <w:lang w:eastAsia="ja-JP" w:bidi="hi-IN"/>
        </w:rPr>
        <w:t>Proposal 4</w:t>
      </w:r>
      <w:r>
        <w:rPr>
          <w:rFonts w:eastAsia="SimSun"/>
          <w:lang w:eastAsia="ja-JP" w:bidi="hi-IN"/>
        </w:rPr>
        <w:t>: Based on the antenna array performance assumptions and the RF component capabilities in Band n259, the single-band requirement values for peak/spherical EIRP/EIS can be identified.</w:t>
      </w:r>
    </w:p>
    <w:p w14:paraId="1D427A55" w14:textId="1A5BDA8F" w:rsidR="00750D3F" w:rsidRDefault="00750D3F" w:rsidP="00937BD3">
      <w:pPr>
        <w:rPr>
          <w:rFonts w:eastAsia="SimSun"/>
          <w:lang w:eastAsia="ja-JP" w:bidi="hi-IN"/>
        </w:rPr>
      </w:pPr>
    </w:p>
    <w:p w14:paraId="50DC64F5" w14:textId="2B1462AD" w:rsidR="00750D3F" w:rsidRDefault="006D3C0F" w:rsidP="00937BD3">
      <w:pPr>
        <w:rPr>
          <w:rFonts w:eastAsia="SimSun"/>
          <w:lang w:eastAsia="ja-JP" w:bidi="hi-IN"/>
        </w:rPr>
      </w:pPr>
      <w:r>
        <w:rPr>
          <w:rFonts w:eastAsia="SimSun"/>
          <w:lang w:eastAsia="ja-JP" w:bidi="hi-IN"/>
        </w:rPr>
        <w:t>Once single-band requirement values are identified, it becomes possible to include Band n259 in the multi-band framework.  In our understanding, there are two open issues associated with this aspect:</w:t>
      </w:r>
      <w:r w:rsidR="00727E51">
        <w:rPr>
          <w:rFonts w:eastAsia="SimSun"/>
          <w:lang w:eastAsia="ja-JP" w:bidi="hi-IN"/>
        </w:rPr>
        <w:t xml:space="preserve">  how to select combinations of supported bands and how to </w:t>
      </w:r>
      <w:r w:rsidR="00AE492E">
        <w:rPr>
          <w:rFonts w:eastAsia="SimSun"/>
          <w:lang w:eastAsia="ja-JP" w:bidi="hi-IN"/>
        </w:rPr>
        <w:t>determine</w:t>
      </w:r>
      <w:r w:rsidR="00727E51">
        <w:rPr>
          <w:rFonts w:eastAsia="SimSun"/>
          <w:lang w:eastAsia="ja-JP" w:bidi="hi-IN"/>
        </w:rPr>
        <w:t xml:space="preserve"> the multi-band relaxation factors for these combinations.</w:t>
      </w:r>
    </w:p>
    <w:p w14:paraId="5E1B015A" w14:textId="0F4724D9" w:rsidR="006D3C0F" w:rsidRDefault="006D3C0F" w:rsidP="00937BD3">
      <w:pPr>
        <w:rPr>
          <w:rFonts w:eastAsia="SimSun"/>
          <w:lang w:eastAsia="ja-JP" w:bidi="hi-IN"/>
        </w:rPr>
      </w:pPr>
    </w:p>
    <w:p w14:paraId="7041AB1A" w14:textId="3667975D" w:rsidR="006D3C0F" w:rsidRDefault="006D3C0F" w:rsidP="00937BD3">
      <w:pPr>
        <w:rPr>
          <w:rFonts w:eastAsia="SimSun"/>
          <w:lang w:eastAsia="ja-JP" w:bidi="hi-IN"/>
        </w:rPr>
      </w:pPr>
      <w:r>
        <w:rPr>
          <w:rFonts w:eastAsia="SimSun"/>
          <w:lang w:eastAsia="ja-JP" w:bidi="hi-IN"/>
        </w:rPr>
        <w:t>In Rel-15 there are only 4 FR2 bands</w:t>
      </w:r>
      <w:r w:rsidR="00E776F6">
        <w:rPr>
          <w:rFonts w:eastAsia="SimSun"/>
          <w:lang w:eastAsia="ja-JP" w:bidi="hi-IN"/>
        </w:rPr>
        <w:t>, and all possible combinations of these bands are:</w:t>
      </w:r>
    </w:p>
    <w:p w14:paraId="3F26A5C0" w14:textId="6596EBE8" w:rsidR="00E776F6" w:rsidRDefault="00195B60" w:rsidP="00937BD3">
      <w:pPr>
        <w:rPr>
          <w:rFonts w:eastAsia="SimSun"/>
          <w:lang w:eastAsia="ja-JP" w:bidi="hi-IN"/>
        </w:rPr>
      </w:pPr>
      <w:r>
        <w:rPr>
          <w:rFonts w:eastAsia="SimSun"/>
          <w:lang w:eastAsia="ja-JP" w:bidi="hi-IN"/>
        </w:rPr>
        <w:t>1 + 4!/(3!(4-3)!) + 4!/(2!(4-2)!) = 11</w:t>
      </w:r>
    </w:p>
    <w:p w14:paraId="3BEC9940" w14:textId="7FE0274C" w:rsidR="00195B60" w:rsidRDefault="00195B60" w:rsidP="00937BD3">
      <w:pPr>
        <w:rPr>
          <w:rFonts w:eastAsia="SimSun"/>
          <w:lang w:eastAsia="ja-JP" w:bidi="hi-IN"/>
        </w:rPr>
      </w:pPr>
    </w:p>
    <w:p w14:paraId="555090AF" w14:textId="1CD75387" w:rsidR="00195B60" w:rsidRDefault="00195B60" w:rsidP="00937BD3">
      <w:pPr>
        <w:rPr>
          <w:rFonts w:eastAsia="SimSun"/>
          <w:lang w:eastAsia="ja-JP" w:bidi="hi-IN"/>
        </w:rPr>
      </w:pPr>
      <w:r>
        <w:rPr>
          <w:rFonts w:eastAsia="SimSun"/>
          <w:lang w:eastAsia="ja-JP" w:bidi="hi-IN"/>
        </w:rPr>
        <w:t>In Rel-16, with the addition of Band n259, the number of possible combinations is:</w:t>
      </w:r>
    </w:p>
    <w:p w14:paraId="0BAC21BC" w14:textId="566335C7" w:rsidR="00195B60" w:rsidRDefault="00195B60" w:rsidP="00937BD3">
      <w:pPr>
        <w:rPr>
          <w:rFonts w:eastAsia="SimSun"/>
          <w:lang w:eastAsia="ja-JP" w:bidi="hi-IN"/>
        </w:rPr>
      </w:pPr>
      <w:r>
        <w:rPr>
          <w:rFonts w:eastAsia="SimSun"/>
          <w:lang w:eastAsia="ja-JP" w:bidi="hi-IN"/>
        </w:rPr>
        <w:t>1 + 5!/(4!(5-4)!) + 5!/(3!(5-3)!) + 5!/(2!(5-2)!) = 26</w:t>
      </w:r>
    </w:p>
    <w:p w14:paraId="3712FA05" w14:textId="6E0E6CC7" w:rsidR="00195B60" w:rsidRDefault="00195B60" w:rsidP="00937BD3">
      <w:pPr>
        <w:rPr>
          <w:rFonts w:eastAsia="SimSun"/>
          <w:lang w:eastAsia="ja-JP" w:bidi="hi-IN"/>
        </w:rPr>
      </w:pPr>
    </w:p>
    <w:p w14:paraId="3A6FFBC4" w14:textId="33671ADE" w:rsidR="00195B60" w:rsidRDefault="00195B60" w:rsidP="00937BD3">
      <w:pPr>
        <w:rPr>
          <w:rFonts w:eastAsia="SimSun"/>
          <w:lang w:eastAsia="ja-JP" w:bidi="hi-IN"/>
        </w:rPr>
      </w:pPr>
      <w:r>
        <w:rPr>
          <w:rFonts w:eastAsia="SimSun"/>
          <w:lang w:eastAsia="ja-JP" w:bidi="hi-IN"/>
        </w:rPr>
        <w:t xml:space="preserve">It </w:t>
      </w:r>
      <w:r w:rsidR="00C31948">
        <w:rPr>
          <w:rFonts w:eastAsia="SimSun"/>
          <w:lang w:eastAsia="ja-JP" w:bidi="hi-IN"/>
        </w:rPr>
        <w:t xml:space="preserve">is not </w:t>
      </w:r>
      <w:r w:rsidR="00AE492E">
        <w:rPr>
          <w:rFonts w:eastAsia="SimSun"/>
          <w:lang w:eastAsia="ja-JP" w:bidi="hi-IN"/>
        </w:rPr>
        <w:t>saleable</w:t>
      </w:r>
      <w:r w:rsidR="00C31948">
        <w:rPr>
          <w:rFonts w:eastAsia="SimSun"/>
          <w:lang w:eastAsia="ja-JP" w:bidi="hi-IN"/>
        </w:rPr>
        <w:t xml:space="preserve"> to record all possible combinations of bands in the specification, since the n choose k function grows non-linearly with n.  Thus, an approach to down-select the feasible combinations of supported bands is needed as an input to the multi-band requirement framework.</w:t>
      </w:r>
    </w:p>
    <w:p w14:paraId="2A5E88EA" w14:textId="07B750AD" w:rsidR="00C31948" w:rsidRDefault="00C31948" w:rsidP="00937BD3">
      <w:pPr>
        <w:rPr>
          <w:rFonts w:eastAsia="SimSun"/>
          <w:lang w:eastAsia="ja-JP" w:bidi="hi-IN"/>
        </w:rPr>
      </w:pPr>
    </w:p>
    <w:p w14:paraId="1E9EC442" w14:textId="7350F571" w:rsidR="00C31948" w:rsidRDefault="00C31948" w:rsidP="00937BD3">
      <w:pPr>
        <w:rPr>
          <w:rFonts w:eastAsia="SimSun"/>
          <w:lang w:eastAsia="ja-JP" w:bidi="hi-IN"/>
        </w:rPr>
      </w:pPr>
      <w:r w:rsidRPr="00C31948">
        <w:rPr>
          <w:rFonts w:eastAsia="SimSun"/>
          <w:b/>
          <w:lang w:eastAsia="ja-JP" w:bidi="hi-IN"/>
        </w:rPr>
        <w:lastRenderedPageBreak/>
        <w:t>Proposal 5</w:t>
      </w:r>
      <w:r>
        <w:rPr>
          <w:rFonts w:eastAsia="SimSun"/>
          <w:lang w:eastAsia="ja-JP" w:bidi="hi-IN"/>
        </w:rPr>
        <w:t>: An approach to down-select the feasible combinations of supported bands is needed as an input to the multi-band requirement framework</w:t>
      </w:r>
      <w:r w:rsidR="00727E51">
        <w:rPr>
          <w:rFonts w:eastAsia="SimSun"/>
          <w:lang w:eastAsia="ja-JP" w:bidi="hi-IN"/>
        </w:rPr>
        <w:t>.</w:t>
      </w:r>
    </w:p>
    <w:p w14:paraId="26C21D06" w14:textId="77777777" w:rsidR="00195B60" w:rsidRDefault="00195B60" w:rsidP="00937BD3">
      <w:pPr>
        <w:rPr>
          <w:rFonts w:eastAsia="SimSun"/>
          <w:lang w:eastAsia="ja-JP" w:bidi="hi-IN"/>
        </w:rPr>
      </w:pPr>
    </w:p>
    <w:p w14:paraId="133257CC" w14:textId="065AA029" w:rsidR="00750D3F" w:rsidRDefault="00727E51" w:rsidP="00937BD3">
      <w:pPr>
        <w:rPr>
          <w:rFonts w:eastAsia="SimSun"/>
          <w:lang w:eastAsia="ja-JP" w:bidi="hi-IN"/>
        </w:rPr>
      </w:pPr>
      <w:r>
        <w:rPr>
          <w:rFonts w:eastAsia="SimSun"/>
          <w:lang w:eastAsia="ja-JP" w:bidi="hi-IN"/>
        </w:rPr>
        <w:t>Once the combinations are identified, an analysis of antenna array performance based on form factor integration assumptions and trade-offs can be performed.</w:t>
      </w:r>
    </w:p>
    <w:p w14:paraId="022DEB65" w14:textId="6CA0B7C7" w:rsidR="00D14C26" w:rsidRPr="00871EA3" w:rsidRDefault="0036017F" w:rsidP="00F93EB0">
      <w:pPr>
        <w:pStyle w:val="Heading1"/>
        <w:rPr>
          <w:lang w:val="en-US"/>
        </w:rPr>
      </w:pPr>
      <w:r>
        <w:rPr>
          <w:lang w:val="en-US"/>
        </w:rPr>
        <w:t>Conclusions</w:t>
      </w:r>
    </w:p>
    <w:p w14:paraId="38AD26A9" w14:textId="4A24413F" w:rsidR="003E4E35" w:rsidRPr="00871EA3" w:rsidRDefault="00581089" w:rsidP="00B9532A">
      <w:r w:rsidRPr="00871EA3">
        <w:t xml:space="preserve">Based on the </w:t>
      </w:r>
      <w:r w:rsidR="00A61863" w:rsidRPr="00871EA3">
        <w:t xml:space="preserve">analysis provided in this paper, the following </w:t>
      </w:r>
      <w:r w:rsidR="0036017F">
        <w:t xml:space="preserve">observations </w:t>
      </w:r>
      <w:r w:rsidR="00853973">
        <w:t xml:space="preserve">and proposals </w:t>
      </w:r>
      <w:r w:rsidR="00A61863" w:rsidRPr="00871EA3">
        <w:t>can be made:</w:t>
      </w:r>
    </w:p>
    <w:p w14:paraId="3E31C800" w14:textId="5FF74B8A" w:rsidR="00A61863" w:rsidRDefault="00A61863" w:rsidP="00B9532A"/>
    <w:p w14:paraId="7C3B8C99" w14:textId="77777777" w:rsidR="00727E51" w:rsidRDefault="00727E51" w:rsidP="00727E51">
      <w:pPr>
        <w:rPr>
          <w:rFonts w:eastAsia="SimSun"/>
          <w:lang w:eastAsia="ja-JP" w:bidi="hi-IN"/>
        </w:rPr>
      </w:pPr>
      <w:r w:rsidRPr="00937BD3">
        <w:rPr>
          <w:rFonts w:eastAsia="SimSun"/>
          <w:b/>
          <w:lang w:eastAsia="ja-JP" w:bidi="hi-IN"/>
        </w:rPr>
        <w:t>Proposal 1</w:t>
      </w:r>
      <w:r>
        <w:rPr>
          <w:rFonts w:eastAsia="SimSun"/>
          <w:lang w:eastAsia="ja-JP" w:bidi="hi-IN"/>
        </w:rPr>
        <w:t>:</w:t>
      </w:r>
      <w:r w:rsidRPr="00937BD3">
        <w:rPr>
          <w:rFonts w:eastAsia="SimSun"/>
          <w:lang w:eastAsia="ja-JP" w:bidi="hi-IN"/>
        </w:rPr>
        <w:t xml:space="preserve"> </w:t>
      </w:r>
      <w:r>
        <w:rPr>
          <w:rFonts w:eastAsia="SimSun"/>
          <w:lang w:eastAsia="ja-JP" w:bidi="hi-IN"/>
        </w:rPr>
        <w:t>Within the OTA performance work flow, i</w:t>
      </w:r>
      <w:r w:rsidRPr="00937BD3">
        <w:rPr>
          <w:rFonts w:eastAsia="SimSun"/>
          <w:lang w:eastAsia="ja-JP" w:bidi="hi-IN"/>
        </w:rPr>
        <w:t>t is useful to first focus on the single-band</w:t>
      </w:r>
      <w:r w:rsidRPr="00937BD3">
        <w:rPr>
          <w:rFonts w:ascii="MS Mincho" w:eastAsia="MS Mincho" w:hAnsi="MS Mincho" w:cs="MS Mincho" w:hint="eastAsia"/>
          <w:lang w:eastAsia="ja-JP" w:bidi="hi-IN"/>
        </w:rPr>
        <w:t> </w:t>
      </w:r>
      <w:r w:rsidRPr="00937BD3">
        <w:rPr>
          <w:rFonts w:eastAsia="SimSun"/>
          <w:lang w:eastAsia="ja-JP" w:bidi="hi-IN"/>
        </w:rPr>
        <w:t>peak/spherical EIRP/EIS requirement</w:t>
      </w:r>
      <w:r>
        <w:rPr>
          <w:rFonts w:eastAsia="SimSun"/>
          <w:lang w:eastAsia="ja-JP" w:bidi="hi-IN"/>
        </w:rPr>
        <w:t xml:space="preserve"> values</w:t>
      </w:r>
      <w:r w:rsidRPr="00937BD3">
        <w:rPr>
          <w:rFonts w:eastAsia="SimSun"/>
          <w:lang w:eastAsia="ja-JP" w:bidi="hi-IN"/>
        </w:rPr>
        <w:t xml:space="preserve"> and then to proceed to </w:t>
      </w:r>
      <w:r>
        <w:rPr>
          <w:rFonts w:eastAsia="SimSun"/>
          <w:lang w:eastAsia="ja-JP" w:bidi="hi-IN"/>
        </w:rPr>
        <w:t xml:space="preserve">extend the </w:t>
      </w:r>
      <w:r w:rsidRPr="00937BD3">
        <w:rPr>
          <w:rFonts w:eastAsia="SimSun"/>
          <w:lang w:eastAsia="ja-JP" w:bidi="hi-IN"/>
        </w:rPr>
        <w:t>multi-band</w:t>
      </w:r>
      <w:r>
        <w:rPr>
          <w:rFonts w:eastAsia="SimSun"/>
          <w:lang w:eastAsia="ja-JP" w:bidi="hi-IN"/>
        </w:rPr>
        <w:t xml:space="preserve"> framework to include Band n259.</w:t>
      </w:r>
    </w:p>
    <w:p w14:paraId="5BE908B0" w14:textId="77777777" w:rsidR="00727E51" w:rsidRDefault="00727E51" w:rsidP="00727E51">
      <w:pPr>
        <w:rPr>
          <w:rFonts w:eastAsia="SimSun"/>
          <w:lang w:eastAsia="ja-JP" w:bidi="hi-IN"/>
        </w:rPr>
      </w:pPr>
    </w:p>
    <w:p w14:paraId="15FF2D05" w14:textId="77777777" w:rsidR="00727E51" w:rsidRDefault="00727E51" w:rsidP="00727E51">
      <w:pPr>
        <w:rPr>
          <w:rFonts w:eastAsia="SimSun"/>
          <w:lang w:eastAsia="ja-JP" w:bidi="hi-IN"/>
        </w:rPr>
      </w:pPr>
      <w:r w:rsidRPr="000171C2">
        <w:rPr>
          <w:rFonts w:eastAsia="SimSun"/>
          <w:b/>
          <w:lang w:eastAsia="ja-JP" w:bidi="hi-IN"/>
        </w:rPr>
        <w:t>Proposal 2</w:t>
      </w:r>
      <w:r>
        <w:rPr>
          <w:rFonts w:eastAsia="SimSun"/>
          <w:lang w:eastAsia="ja-JP" w:bidi="hi-IN"/>
        </w:rPr>
        <w:t>: I</w:t>
      </w:r>
      <w:r w:rsidRPr="00937BD3">
        <w:rPr>
          <w:rFonts w:eastAsia="SimSun"/>
          <w:lang w:eastAsia="ja-JP" w:bidi="hi-IN"/>
        </w:rPr>
        <w:t>t is reasonable to reuse the antenna array performance assumptions (in terms of peak gain and gain drop at the 50% CDF) from Band n260</w:t>
      </w:r>
      <w:r>
        <w:rPr>
          <w:rFonts w:eastAsia="SimSun"/>
          <w:lang w:eastAsia="ja-JP" w:bidi="hi-IN"/>
        </w:rPr>
        <w:t xml:space="preserve"> for Band n259 for a single-band UE.</w:t>
      </w:r>
    </w:p>
    <w:p w14:paraId="796ECD90" w14:textId="77777777" w:rsidR="00727E51" w:rsidRDefault="00727E51" w:rsidP="00727E51">
      <w:pPr>
        <w:rPr>
          <w:rFonts w:eastAsia="SimSun"/>
          <w:lang w:eastAsia="ja-JP" w:bidi="hi-IN"/>
        </w:rPr>
      </w:pPr>
    </w:p>
    <w:p w14:paraId="62D70462" w14:textId="77777777" w:rsidR="00727E51" w:rsidRDefault="00727E51" w:rsidP="00727E51">
      <w:pPr>
        <w:rPr>
          <w:rFonts w:eastAsia="SimSun"/>
          <w:lang w:eastAsia="ja-JP" w:bidi="hi-IN"/>
        </w:rPr>
      </w:pPr>
      <w:r w:rsidRPr="000171C2">
        <w:rPr>
          <w:rFonts w:eastAsia="SimSun"/>
          <w:b/>
          <w:lang w:eastAsia="ja-JP" w:bidi="hi-IN"/>
        </w:rPr>
        <w:t>Proposal 3</w:t>
      </w:r>
      <w:r>
        <w:rPr>
          <w:rFonts w:eastAsia="SimSun"/>
          <w:lang w:eastAsia="ja-JP" w:bidi="hi-IN"/>
        </w:rPr>
        <w:t>: As the next step, decisions whether the PA output power and receiver noise figure values assumed for Band n260 can be reused or should be updated for Band n259 are needed.</w:t>
      </w:r>
    </w:p>
    <w:p w14:paraId="6DCFFC17" w14:textId="77777777" w:rsidR="00727E51" w:rsidRDefault="00727E51" w:rsidP="00727E51">
      <w:pPr>
        <w:rPr>
          <w:rFonts w:eastAsia="SimSun"/>
          <w:lang w:eastAsia="ja-JP" w:bidi="hi-IN"/>
        </w:rPr>
      </w:pPr>
    </w:p>
    <w:p w14:paraId="6E02D328" w14:textId="0204123A" w:rsidR="00727E51" w:rsidRDefault="00727E51" w:rsidP="00727E51">
      <w:pPr>
        <w:rPr>
          <w:rFonts w:eastAsia="SimSun"/>
          <w:lang w:eastAsia="ja-JP" w:bidi="hi-IN"/>
        </w:rPr>
      </w:pPr>
      <w:r w:rsidRPr="00750D3F">
        <w:rPr>
          <w:rFonts w:eastAsia="SimSun"/>
          <w:b/>
          <w:lang w:eastAsia="ja-JP" w:bidi="hi-IN"/>
        </w:rPr>
        <w:t>Proposal 4</w:t>
      </w:r>
      <w:r>
        <w:rPr>
          <w:rFonts w:eastAsia="SimSun"/>
          <w:lang w:eastAsia="ja-JP" w:bidi="hi-IN"/>
        </w:rPr>
        <w:t>: Based on the antenna array performance assumptions and the RF component capabilities in Band n259, the single-band requirement values for peak/spherical EIRP/EIS can be identified.</w:t>
      </w:r>
    </w:p>
    <w:p w14:paraId="713BF3DD" w14:textId="2407595A" w:rsidR="00727E51" w:rsidRDefault="00727E51" w:rsidP="00727E51">
      <w:pPr>
        <w:rPr>
          <w:rFonts w:eastAsia="SimSun"/>
          <w:lang w:eastAsia="ja-JP" w:bidi="hi-IN"/>
        </w:rPr>
      </w:pPr>
    </w:p>
    <w:p w14:paraId="48FBAA09" w14:textId="6D0F594B" w:rsidR="00727E51" w:rsidRDefault="00727E51" w:rsidP="00727E51">
      <w:pPr>
        <w:rPr>
          <w:rFonts w:eastAsia="SimSun"/>
          <w:lang w:eastAsia="ja-JP" w:bidi="hi-IN"/>
        </w:rPr>
      </w:pPr>
      <w:r w:rsidRPr="00C31948">
        <w:rPr>
          <w:rFonts w:eastAsia="SimSun"/>
          <w:b/>
          <w:lang w:eastAsia="ja-JP" w:bidi="hi-IN"/>
        </w:rPr>
        <w:t>Proposal 5</w:t>
      </w:r>
      <w:r>
        <w:rPr>
          <w:rFonts w:eastAsia="SimSun"/>
          <w:lang w:eastAsia="ja-JP" w:bidi="hi-IN"/>
        </w:rPr>
        <w:t>: An approach to down-select the feasible combinations of supported bands is needed as an input to the multi-band requirement framework.</w:t>
      </w:r>
    </w:p>
    <w:p w14:paraId="47BA569A" w14:textId="77777777" w:rsidR="0017048A" w:rsidRPr="00871EA3" w:rsidRDefault="0017048A" w:rsidP="00342BBF">
      <w:pPr>
        <w:pStyle w:val="Heading1"/>
        <w:rPr>
          <w:lang w:val="en-US"/>
        </w:rPr>
      </w:pPr>
      <w:r w:rsidRPr="00871EA3">
        <w:rPr>
          <w:lang w:val="en-US"/>
        </w:rPr>
        <w:t>References</w:t>
      </w:r>
    </w:p>
    <w:p w14:paraId="2AFDDED3" w14:textId="62FA4CDD" w:rsidR="008B2A22" w:rsidRDefault="008B2A22" w:rsidP="00A60163">
      <w:pPr>
        <w:widowControl w:val="0"/>
        <w:numPr>
          <w:ilvl w:val="0"/>
          <w:numId w:val="5"/>
        </w:numPr>
      </w:pPr>
      <w:bookmarkStart w:id="2" w:name="_Ref4588121"/>
      <w:bookmarkStart w:id="3" w:name="_Ref525858808"/>
      <w:r w:rsidRPr="008B2A22">
        <w:t>RP-190765</w:t>
      </w:r>
      <w:r>
        <w:t>, “</w:t>
      </w:r>
      <w:r w:rsidRPr="008B2A22">
        <w:t>New WID: introduction of Band n259</w:t>
      </w:r>
      <w:r>
        <w:t>,” Ericsson, Huawei, HiSilicon, 3GPP RAN #83, March 2019</w:t>
      </w:r>
      <w:bookmarkEnd w:id="2"/>
    </w:p>
    <w:p w14:paraId="6112DF9C" w14:textId="56A97DF1" w:rsidR="00A96312" w:rsidRDefault="00A96312" w:rsidP="00A96312">
      <w:pPr>
        <w:widowControl w:val="0"/>
        <w:numPr>
          <w:ilvl w:val="0"/>
          <w:numId w:val="5"/>
        </w:numPr>
      </w:pPr>
      <w:bookmarkStart w:id="4" w:name="_Ref4619908"/>
      <w:bookmarkStart w:id="5" w:name="_Ref4615322"/>
      <w:r>
        <w:t>3GPP TS38.101-2, “</w:t>
      </w:r>
      <w:r w:rsidRPr="008B2A22">
        <w:t>User Equipment (UE) radio transmission and reception; Part 2: Range 2</w:t>
      </w:r>
      <w:r>
        <w:t xml:space="preserve"> </w:t>
      </w:r>
      <w:r w:rsidRPr="008B2A22">
        <w:t>Standalone</w:t>
      </w:r>
      <w:r>
        <w:t>,” V15.5.0, 3GPP RAN #83, March 2019</w:t>
      </w:r>
      <w:bookmarkEnd w:id="4"/>
    </w:p>
    <w:p w14:paraId="204B9882" w14:textId="1ADE669A" w:rsidR="00D32144" w:rsidRDefault="00D32144" w:rsidP="00A60163">
      <w:pPr>
        <w:widowControl w:val="0"/>
        <w:numPr>
          <w:ilvl w:val="0"/>
          <w:numId w:val="5"/>
        </w:numPr>
      </w:pPr>
      <w:r w:rsidRPr="00D32144">
        <w:t>RP-190761</w:t>
      </w:r>
      <w:r>
        <w:t>, “</w:t>
      </w:r>
      <w:r w:rsidRPr="00D32144">
        <w:t>NR RF requirements for FR2</w:t>
      </w:r>
      <w:r>
        <w:t>,” Nokia, Nokia Shanghai Bell, 3GPP RAN #83, March 2019</w:t>
      </w:r>
      <w:bookmarkEnd w:id="5"/>
    </w:p>
    <w:bookmarkEnd w:id="3"/>
    <w:p w14:paraId="1D11E5D5" w14:textId="0F36D305" w:rsidR="00A56963" w:rsidRDefault="008B2A22" w:rsidP="00006A25">
      <w:pPr>
        <w:widowControl w:val="0"/>
        <w:numPr>
          <w:ilvl w:val="0"/>
          <w:numId w:val="5"/>
        </w:numPr>
      </w:pPr>
      <w:r>
        <w:t>3GPP TR38.817-01, “</w:t>
      </w:r>
      <w:r w:rsidRPr="008B2A22">
        <w:t>General aspects for User Equipment (UE) Radio Frequency (RF) for NR</w:t>
      </w:r>
      <w:r>
        <w:t>,” V15.2.0, 3GPP RAN #82, December 2018</w:t>
      </w:r>
    </w:p>
    <w:p w14:paraId="454A2DA0" w14:textId="0BC0D17B" w:rsidR="007E3383" w:rsidRDefault="007E3383" w:rsidP="00006A25">
      <w:pPr>
        <w:widowControl w:val="0"/>
        <w:numPr>
          <w:ilvl w:val="0"/>
          <w:numId w:val="5"/>
        </w:numPr>
      </w:pPr>
      <w:bookmarkStart w:id="6" w:name="_Ref7661841"/>
      <w:r w:rsidRPr="007E3383">
        <w:t>R4-1904379</w:t>
      </w:r>
      <w:r>
        <w:t>, “</w:t>
      </w:r>
      <w:r w:rsidRPr="007E3383">
        <w:t>Scope and workplan for introduction of Band n259 WI</w:t>
      </w:r>
      <w:r>
        <w:t>,” Ericsson, 3GPP RAN4 #90bis, April 2019</w:t>
      </w:r>
      <w:bookmarkEnd w:id="6"/>
    </w:p>
    <w:p w14:paraId="7F31020B" w14:textId="4EF5A924" w:rsidR="007E3383" w:rsidRDefault="007E3383" w:rsidP="00006A25">
      <w:pPr>
        <w:widowControl w:val="0"/>
        <w:numPr>
          <w:ilvl w:val="0"/>
          <w:numId w:val="5"/>
        </w:numPr>
      </w:pPr>
      <w:bookmarkStart w:id="7" w:name="_Ref7661872"/>
      <w:r w:rsidRPr="007E3383">
        <w:t>R4-1903072</w:t>
      </w:r>
      <w:r>
        <w:t>, “</w:t>
      </w:r>
      <w:r w:rsidRPr="007E3383">
        <w:t>Recommendations for the work plan on Band n259</w:t>
      </w:r>
      <w:r>
        <w:t>,” Apple Inc., 3GPP RAN4 #90bis, April 2019</w:t>
      </w:r>
      <w:bookmarkEnd w:id="7"/>
    </w:p>
    <w:p w14:paraId="774865BF" w14:textId="65C2D960" w:rsidR="00546E72" w:rsidRPr="00636092" w:rsidRDefault="00546E72" w:rsidP="00636092">
      <w:pPr>
        <w:rPr>
          <w:rFonts w:ascii="Arial" w:eastAsia="SimSun" w:hAnsi="Arial"/>
          <w:sz w:val="36"/>
          <w:szCs w:val="20"/>
        </w:rPr>
      </w:pPr>
    </w:p>
    <w:sectPr w:rsidR="00546E72" w:rsidRPr="00636092"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C09EA" w14:textId="77777777" w:rsidR="00896767" w:rsidRDefault="00896767">
      <w:r>
        <w:separator/>
      </w:r>
    </w:p>
  </w:endnote>
  <w:endnote w:type="continuationSeparator" w:id="0">
    <w:p w14:paraId="13D909FD" w14:textId="77777777" w:rsidR="00896767" w:rsidRDefault="00896767">
      <w:r>
        <w:continuationSeparator/>
      </w:r>
    </w:p>
  </w:endnote>
  <w:endnote w:type="continuationNotice" w:id="1">
    <w:p w14:paraId="064473E0" w14:textId="77777777" w:rsidR="00896767" w:rsidRDefault="008967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60399" w:rsidRDefault="0026039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60399" w:rsidRDefault="0026039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60399" w:rsidRPr="00DB1239" w:rsidRDefault="00260399"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3B99B" w14:textId="77777777" w:rsidR="00896767" w:rsidRDefault="00896767">
      <w:r>
        <w:separator/>
      </w:r>
    </w:p>
  </w:footnote>
  <w:footnote w:type="continuationSeparator" w:id="0">
    <w:p w14:paraId="58C01A10" w14:textId="77777777" w:rsidR="00896767" w:rsidRDefault="00896767">
      <w:r>
        <w:continuationSeparator/>
      </w:r>
    </w:p>
  </w:footnote>
  <w:footnote w:type="continuationNotice" w:id="1">
    <w:p w14:paraId="1E7FBDC5" w14:textId="77777777" w:rsidR="00896767" w:rsidRDefault="008967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60399" w:rsidRDefault="0026039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9"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29"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3"/>
  </w:num>
  <w:num w:numId="4">
    <w:abstractNumId w:val="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2"/>
  </w:num>
  <w:num w:numId="8">
    <w:abstractNumId w:val="17"/>
  </w:num>
  <w:num w:numId="9">
    <w:abstractNumId w:val="19"/>
  </w:num>
  <w:num w:numId="10">
    <w:abstractNumId w:val="29"/>
  </w:num>
  <w:num w:numId="11">
    <w:abstractNumId w:val="6"/>
  </w:num>
  <w:num w:numId="12">
    <w:abstractNumId w:val="2"/>
  </w:num>
  <w:num w:numId="13">
    <w:abstractNumId w:val="20"/>
  </w:num>
  <w:num w:numId="14">
    <w:abstractNumId w:val="25"/>
  </w:num>
  <w:num w:numId="15">
    <w:abstractNumId w:val="24"/>
  </w:num>
  <w:num w:numId="16">
    <w:abstractNumId w:val="10"/>
  </w:num>
  <w:num w:numId="17">
    <w:abstractNumId w:val="18"/>
  </w:num>
  <w:num w:numId="18">
    <w:abstractNumId w:val="21"/>
  </w:num>
  <w:num w:numId="19">
    <w:abstractNumId w:val="14"/>
  </w:num>
  <w:num w:numId="20">
    <w:abstractNumId w:val="16"/>
  </w:num>
  <w:num w:numId="21">
    <w:abstractNumId w:val="23"/>
  </w:num>
  <w:num w:numId="22">
    <w:abstractNumId w:val="0"/>
  </w:num>
  <w:num w:numId="23">
    <w:abstractNumId w:val="9"/>
  </w:num>
  <w:num w:numId="24">
    <w:abstractNumId w:val="15"/>
  </w:num>
  <w:num w:numId="25">
    <w:abstractNumId w:val="3"/>
  </w:num>
  <w:num w:numId="26">
    <w:abstractNumId w:val="26"/>
  </w:num>
  <w:num w:numId="27">
    <w:abstractNumId w:val="27"/>
  </w:num>
  <w:num w:numId="28">
    <w:abstractNumId w:val="4"/>
  </w:num>
  <w:num w:numId="29">
    <w:abstractNumId w:val="5"/>
  </w:num>
  <w:num w:numId="3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A25"/>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1C2"/>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554"/>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2E0"/>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767"/>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54B"/>
    <w:rsid w:val="00193747"/>
    <w:rsid w:val="00193845"/>
    <w:rsid w:val="00193987"/>
    <w:rsid w:val="00195082"/>
    <w:rsid w:val="0019573B"/>
    <w:rsid w:val="0019592C"/>
    <w:rsid w:val="00195B60"/>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EBF"/>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0F2F"/>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5"/>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399"/>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76F"/>
    <w:rsid w:val="002C6F88"/>
    <w:rsid w:val="002C7014"/>
    <w:rsid w:val="002C782F"/>
    <w:rsid w:val="002C7907"/>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1934"/>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1A1"/>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47D73"/>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4FAB"/>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EBB"/>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6657"/>
    <w:rsid w:val="00646965"/>
    <w:rsid w:val="0064795E"/>
    <w:rsid w:val="00647CB1"/>
    <w:rsid w:val="00647CB3"/>
    <w:rsid w:val="00647D60"/>
    <w:rsid w:val="00647DD1"/>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5B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C0F"/>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67D"/>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51"/>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D3F"/>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A82"/>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1EB3"/>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7D"/>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6FA"/>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383"/>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E4C"/>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5D1"/>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767"/>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2"/>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940"/>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45F"/>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BD3"/>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BAA"/>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5EE5"/>
    <w:rsid w:val="009D610C"/>
    <w:rsid w:val="009D62E7"/>
    <w:rsid w:val="009D6311"/>
    <w:rsid w:val="009D6BC4"/>
    <w:rsid w:val="009D74BA"/>
    <w:rsid w:val="009D75A4"/>
    <w:rsid w:val="009D766D"/>
    <w:rsid w:val="009D7DD5"/>
    <w:rsid w:val="009E00D4"/>
    <w:rsid w:val="009E06AD"/>
    <w:rsid w:val="009E10A3"/>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4DDA"/>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963"/>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312"/>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92E"/>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1D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6D3A"/>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012"/>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6DF"/>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201"/>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48"/>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84"/>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3A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982"/>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8DE"/>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144"/>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0F9E"/>
    <w:rsid w:val="00DD128A"/>
    <w:rsid w:val="00DD12B1"/>
    <w:rsid w:val="00DD12B5"/>
    <w:rsid w:val="00DD1422"/>
    <w:rsid w:val="00DD1947"/>
    <w:rsid w:val="00DD1992"/>
    <w:rsid w:val="00DD1A59"/>
    <w:rsid w:val="00DD1ED7"/>
    <w:rsid w:val="00DD2068"/>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45"/>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6F6"/>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B41"/>
    <w:rsid w:val="00EE0E09"/>
    <w:rsid w:val="00EE0EF9"/>
    <w:rsid w:val="00EE12DA"/>
    <w:rsid w:val="00EE14B3"/>
    <w:rsid w:val="00EE15CA"/>
    <w:rsid w:val="00EE17D7"/>
    <w:rsid w:val="00EE182C"/>
    <w:rsid w:val="00EE18BB"/>
    <w:rsid w:val="00EE19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5BC"/>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0226546">
      <w:bodyDiv w:val="1"/>
      <w:marLeft w:val="0"/>
      <w:marRight w:val="0"/>
      <w:marTop w:val="0"/>
      <w:marBottom w:val="0"/>
      <w:divBdr>
        <w:top w:val="none" w:sz="0" w:space="0" w:color="auto"/>
        <w:left w:val="none" w:sz="0" w:space="0" w:color="auto"/>
        <w:bottom w:val="none" w:sz="0" w:space="0" w:color="auto"/>
        <w:right w:val="none" w:sz="0" w:space="0" w:color="auto"/>
      </w:divBdr>
      <w:divsChild>
        <w:div w:id="42949916">
          <w:marLeft w:val="0"/>
          <w:marRight w:val="0"/>
          <w:marTop w:val="0"/>
          <w:marBottom w:val="0"/>
          <w:divBdr>
            <w:top w:val="none" w:sz="0" w:space="0" w:color="auto"/>
            <w:left w:val="none" w:sz="0" w:space="0" w:color="auto"/>
            <w:bottom w:val="none" w:sz="0" w:space="0" w:color="auto"/>
            <w:right w:val="none" w:sz="0" w:space="0" w:color="auto"/>
          </w:divBdr>
          <w:divsChild>
            <w:div w:id="390271751">
              <w:marLeft w:val="0"/>
              <w:marRight w:val="0"/>
              <w:marTop w:val="0"/>
              <w:marBottom w:val="0"/>
              <w:divBdr>
                <w:top w:val="none" w:sz="0" w:space="0" w:color="auto"/>
                <w:left w:val="none" w:sz="0" w:space="0" w:color="auto"/>
                <w:bottom w:val="none" w:sz="0" w:space="0" w:color="auto"/>
                <w:right w:val="none" w:sz="0" w:space="0" w:color="auto"/>
              </w:divBdr>
              <w:divsChild>
                <w:div w:id="106379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699707">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630589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AF6BDDB-A16A-094B-9854-E6384FB6DBE6}">
  <ds:schemaRefs>
    <ds:schemaRef ds:uri="http://schemas.openxmlformats.org/officeDocument/2006/bibliography"/>
  </ds:schemaRefs>
</ds:datastoreItem>
</file>

<file path=customXml/itemProps4.xml><?xml version="1.0" encoding="utf-8"?>
<ds:datastoreItem xmlns:ds="http://schemas.openxmlformats.org/officeDocument/2006/customXml" ds:itemID="{4386EE33-6D52-1E4E-901E-313200C36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466</TotalTime>
  <Pages>3</Pages>
  <Words>1244</Words>
  <Characters>7092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158</cp:revision>
  <cp:lastPrinted>2017-11-08T23:02:00Z</cp:lastPrinted>
  <dcterms:created xsi:type="dcterms:W3CDTF">2018-09-26T22:02:00Z</dcterms:created>
  <dcterms:modified xsi:type="dcterms:W3CDTF">2019-05-03T21:26:00Z</dcterms:modified>
  <cp:category/>
</cp:coreProperties>
</file>