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3A933366" w:rsidR="00E064A5" w:rsidRPr="00FD166F" w:rsidRDefault="00E064A5" w:rsidP="00E064A5">
      <w:pPr>
        <w:tabs>
          <w:tab w:val="left" w:pos="7920"/>
        </w:tabs>
        <w:rPr>
          <w:rFonts w:ascii="Arial" w:hAnsi="Arial" w:cs="Arial"/>
          <w:b/>
        </w:rPr>
      </w:pPr>
      <w:bookmarkStart w:id="0" w:name="_GoBack"/>
      <w:bookmarkEnd w:id="0"/>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8B2A22">
        <w:rPr>
          <w:rFonts w:ascii="Arial" w:hAnsi="Arial" w:cs="Arial"/>
          <w:b/>
          <w:lang w:val="de-DE"/>
        </w:rPr>
        <w:t>bis</w:t>
      </w:r>
      <w:r>
        <w:rPr>
          <w:rFonts w:ascii="Arial" w:hAnsi="Arial" w:cs="Arial"/>
          <w:b/>
          <w:lang w:val="de-DE"/>
        </w:rPr>
        <w:tab/>
      </w:r>
      <w:r w:rsidR="001D227E" w:rsidRPr="001D227E">
        <w:rPr>
          <w:rFonts w:ascii="Arial" w:hAnsi="Arial" w:cs="Arial"/>
          <w:b/>
          <w:lang w:val="de-DE"/>
        </w:rPr>
        <w:t>R4-1903059</w:t>
      </w:r>
      <w:r>
        <w:rPr>
          <w:rFonts w:ascii="Arial" w:hAnsi="Arial" w:cs="Arial"/>
          <w:b/>
          <w:lang w:val="de-DE"/>
        </w:rPr>
        <w:br/>
      </w:r>
      <w:r w:rsidR="008B2A22">
        <w:rPr>
          <w:rFonts w:ascii="Arial" w:hAnsi="Arial" w:cs="Arial"/>
          <w:b/>
        </w:rPr>
        <w:t>Xi’an</w:t>
      </w:r>
      <w:r>
        <w:rPr>
          <w:rFonts w:ascii="Arial" w:hAnsi="Arial" w:cs="Arial"/>
          <w:b/>
        </w:rPr>
        <w:t xml:space="preserve">, </w:t>
      </w:r>
      <w:r w:rsidR="008B2A22">
        <w:rPr>
          <w:rFonts w:ascii="Arial" w:hAnsi="Arial" w:cs="Arial"/>
          <w:b/>
        </w:rPr>
        <w:t>China</w:t>
      </w:r>
      <w:r>
        <w:rPr>
          <w:rFonts w:ascii="Arial" w:hAnsi="Arial" w:cs="Arial"/>
          <w:b/>
        </w:rPr>
        <w:t xml:space="preserve">, </w:t>
      </w:r>
      <w:r w:rsidR="008B2A22">
        <w:rPr>
          <w:rFonts w:ascii="Arial" w:hAnsi="Arial" w:cs="Arial"/>
          <w:b/>
        </w:rPr>
        <w:t>April</w:t>
      </w:r>
      <w:r w:rsidR="006D0B66">
        <w:rPr>
          <w:rFonts w:ascii="Arial" w:hAnsi="Arial" w:cs="Arial"/>
          <w:b/>
        </w:rPr>
        <w:t xml:space="preserve"> </w:t>
      </w:r>
      <w:r w:rsidR="008B2A22">
        <w:rPr>
          <w:rFonts w:ascii="Arial" w:hAnsi="Arial" w:cs="Arial"/>
          <w:b/>
        </w:rPr>
        <w:t>8</w:t>
      </w:r>
      <w:r w:rsidR="006D0B66">
        <w:rPr>
          <w:rFonts w:ascii="Arial" w:hAnsi="Arial" w:cs="Arial"/>
          <w:b/>
        </w:rPr>
        <w:t xml:space="preserve"> – </w:t>
      </w:r>
      <w:r w:rsidR="008B2A22">
        <w:rPr>
          <w:rFonts w:ascii="Arial" w:hAnsi="Arial" w:cs="Arial"/>
          <w:b/>
        </w:rPr>
        <w:t>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5B1C88F1"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5A7EE0" w:rsidRPr="005A7EE0">
        <w:rPr>
          <w:rFonts w:ascii="Arial" w:hAnsi="Arial" w:cs="Arial"/>
          <w:b/>
        </w:rPr>
        <w:t>6.5.</w:t>
      </w:r>
      <w:r w:rsidR="001D227E">
        <w:rPr>
          <w:rFonts w:ascii="Arial" w:hAnsi="Arial" w:cs="Arial"/>
          <w:b/>
        </w:rPr>
        <w:t>10</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1DBA5A5E"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1D227E" w:rsidRPr="001D227E">
        <w:rPr>
          <w:rFonts w:ascii="Arial" w:hAnsi="Arial" w:cs="Arial"/>
          <w:b/>
        </w:rPr>
        <w:t>Views on the relationship between FR2 peak and spherical requirements in core and test specifications</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3F638BC1" w14:textId="7F85C19D" w:rsidR="00FB4011" w:rsidRDefault="00FB4011" w:rsidP="006B6A1A">
      <w:r w:rsidRPr="00FB4011">
        <w:t>With the finalization of the FR2 requirements on peak EIRP, spherical coverage EIRP, peak EIS, spherical coverage EIS, and multi-band applicability for power class 3 UEs in TS38.101-2</w:t>
      </w:r>
      <w:r>
        <w:t xml:space="preserve"> </w:t>
      </w:r>
      <w:r>
        <w:fldChar w:fldCharType="begin"/>
      </w:r>
      <w:r>
        <w:instrText xml:space="preserve"> REF _Ref4674769 \r \h </w:instrText>
      </w:r>
      <w:r>
        <w:fldChar w:fldCharType="separate"/>
      </w:r>
      <w:r w:rsidR="008C77A0">
        <w:t>[1]</w:t>
      </w:r>
      <w:r>
        <w:fldChar w:fldCharType="end"/>
      </w:r>
      <w:r w:rsidRPr="00FB4011">
        <w:t xml:space="preserve">, it </w:t>
      </w:r>
      <w:r>
        <w:t>is useful to review the principles by which these requirements were defined, how they influence the design requirements of emerging NR FR2 UEs, and whether the conformance testing specification in TS38.521-2</w:t>
      </w:r>
      <w:r w:rsidR="00C820E6">
        <w:t xml:space="preserve"> </w:t>
      </w:r>
      <w:r w:rsidR="00C820E6">
        <w:fldChar w:fldCharType="begin"/>
      </w:r>
      <w:r w:rsidR="00C820E6">
        <w:instrText xml:space="preserve"> REF _Ref4805548 \r \h </w:instrText>
      </w:r>
      <w:r w:rsidR="00C820E6">
        <w:fldChar w:fldCharType="separate"/>
      </w:r>
      <w:r w:rsidR="008C77A0">
        <w:t>[2]</w:t>
      </w:r>
      <w:r w:rsidR="00C820E6">
        <w:fldChar w:fldCharType="end"/>
      </w:r>
      <w:r>
        <w:t>, currently under development in RAN5, will reflect these principles.</w:t>
      </w:r>
    </w:p>
    <w:p w14:paraId="21A2D600" w14:textId="79D7DBF3" w:rsidR="00FB4011" w:rsidRDefault="00FB4011" w:rsidP="006B6A1A"/>
    <w:p w14:paraId="5E0826A1" w14:textId="4184CE4E" w:rsidR="00B66B52" w:rsidRDefault="005E5F3C" w:rsidP="006B6A1A">
      <w:r>
        <w:t xml:space="preserve">The motivation for this paper emerged during the RAN #83 meeting, during which a RAN5 CR for the maximum peak EIRP conformance test case was flagged and revised </w:t>
      </w:r>
      <w:r>
        <w:fldChar w:fldCharType="begin"/>
      </w:r>
      <w:r>
        <w:instrText xml:space="preserve"> REF _Ref4803722 \r \h </w:instrText>
      </w:r>
      <w:r>
        <w:fldChar w:fldCharType="separate"/>
      </w:r>
      <w:r w:rsidR="008C77A0">
        <w:t>[4]</w:t>
      </w:r>
      <w:r>
        <w:fldChar w:fldCharType="end"/>
      </w:r>
      <w:r>
        <w:t xml:space="preserve">.  At the heart of the issue was a RAN5 decision to </w:t>
      </w:r>
      <w:r w:rsidR="0025288C">
        <w:t>change</w:t>
      </w:r>
      <w:r>
        <w:t xml:space="preserve"> the conformance test limit for maximum peak EIRP to 33 dBm from the core requirement of 43 dBm.  However, because </w:t>
      </w:r>
      <w:r w:rsidR="0025288C">
        <w:t xml:space="preserve">in a practical design </w:t>
      </w:r>
      <w:r>
        <w:t xml:space="preserve">the nominal design targets </w:t>
      </w:r>
      <w:r w:rsidR="0025288C">
        <w:t xml:space="preserve">are set </w:t>
      </w:r>
      <w:r>
        <w:t>above minimum performance requirements and, at the same time, require excellent confidence</w:t>
      </w:r>
      <w:r w:rsidR="0025288C">
        <w:t xml:space="preserve"> (better than 99%)</w:t>
      </w:r>
      <w:r>
        <w:t xml:space="preserve"> that they will not violate regulatory requirements on maximum peak EIRP, the RAN5 decision risked shrinking the design margin for the OEM and had the unintended consequence of </w:t>
      </w:r>
      <w:r w:rsidR="0025288C">
        <w:t xml:space="preserve">potentially </w:t>
      </w:r>
      <w:r>
        <w:t>pushing the OEM to not optimize the design for best network performance.  Thus, based on this lesson learned, it is useful to check whether the conformance test requirement development for the rest of the FR2 OTA performance metrics risks diverging from the principles which were used to derive the core requirements.</w:t>
      </w:r>
    </w:p>
    <w:p w14:paraId="0B79E8C2" w14:textId="5EE315AB" w:rsidR="005E5F3C" w:rsidRDefault="005E5F3C" w:rsidP="006B6A1A"/>
    <w:p w14:paraId="50F9D236" w14:textId="466D74CB" w:rsidR="005E5F3C" w:rsidRDefault="00443590" w:rsidP="006B6A1A">
      <w:r>
        <w:t>This paper examines the impact of the test tolerance discussion for peak and spherical coverage EIRP/EIS metrics in RAN5 and checks whether it has any impact on the principles which were used to derive these core requirements.</w:t>
      </w:r>
    </w:p>
    <w:p w14:paraId="442DEB4F" w14:textId="666F3A3B" w:rsidR="006B6A1A" w:rsidRDefault="006B6A1A" w:rsidP="006B6A1A">
      <w:pPr>
        <w:pStyle w:val="Heading1"/>
        <w:rPr>
          <w:lang w:val="en-US"/>
        </w:rPr>
      </w:pPr>
      <w:r w:rsidRPr="00871EA3">
        <w:rPr>
          <w:lang w:val="en-US"/>
        </w:rPr>
        <w:t>Discussion</w:t>
      </w:r>
    </w:p>
    <w:p w14:paraId="1EA0F7EF" w14:textId="45CFDBCA" w:rsidR="00443590" w:rsidRDefault="00443590" w:rsidP="00443590">
      <w:r>
        <w:t xml:space="preserve">During the RAN5 January adhoc meeting </w:t>
      </w:r>
      <w:r w:rsidR="00B83CAA">
        <w:t xml:space="preserve">a summary of the test tolerance (TT) discussion was provided in </w:t>
      </w:r>
      <w:r w:rsidR="00B83CAA">
        <w:fldChar w:fldCharType="begin"/>
      </w:r>
      <w:r w:rsidR="00B83CAA">
        <w:instrText xml:space="preserve"> REF _Ref4804145 \r \h </w:instrText>
      </w:r>
      <w:r w:rsidR="00B83CAA">
        <w:fldChar w:fldCharType="separate"/>
      </w:r>
      <w:r w:rsidR="008C77A0">
        <w:t>[5]</w:t>
      </w:r>
      <w:r w:rsidR="00B83CAA">
        <w:fldChar w:fldCharType="end"/>
      </w:r>
      <w:r w:rsidR="00B83CAA">
        <w:t xml:space="preserve">; </w:t>
      </w:r>
      <w:r w:rsidR="00D07B59">
        <w:t xml:space="preserve">the latest MU of the spherical coverage is [4.4-4.8] dB [6]; </w:t>
      </w:r>
      <w:r w:rsidR="00B83CAA">
        <w:t>the agreements related to FR2 TT are excerpted below:</w:t>
      </w:r>
    </w:p>
    <w:p w14:paraId="20544DFD" w14:textId="77777777" w:rsidR="00443590" w:rsidRDefault="00443590" w:rsidP="00443590"/>
    <w:p w14:paraId="5D40A54C" w14:textId="77777777" w:rsidR="00443590" w:rsidRDefault="00443590" w:rsidP="00443590">
      <w:r>
        <w:rPr>
          <w:noProof/>
        </w:rPr>
        <mc:AlternateContent>
          <mc:Choice Requires="wps">
            <w:drawing>
              <wp:inline distT="0" distB="0" distL="0" distR="0" wp14:anchorId="182B07D9" wp14:editId="45D8DBE2">
                <wp:extent cx="1828800" cy="1828800"/>
                <wp:effectExtent l="0" t="0" r="6985" b="13335"/>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EF62AF" w14:textId="77777777" w:rsidR="00443590" w:rsidRPr="005E5F3C" w:rsidRDefault="00443590" w:rsidP="00443590">
                            <w:pPr>
                              <w:pStyle w:val="ListParagraph"/>
                              <w:numPr>
                                <w:ilvl w:val="0"/>
                                <w:numId w:val="34"/>
                              </w:numPr>
                              <w:overflowPunct w:val="0"/>
                              <w:autoSpaceDE w:val="0"/>
                              <w:autoSpaceDN w:val="0"/>
                              <w:adjustRightInd w:val="0"/>
                              <w:snapToGrid w:val="0"/>
                              <w:ind w:right="-101"/>
                              <w:rPr>
                                <w:rFonts w:eastAsia="Malgun Gothic"/>
                                <w:sz w:val="16"/>
                                <w:szCs w:val="16"/>
                                <w:lang w:eastAsia="ko-KR"/>
                              </w:rPr>
                            </w:pPr>
                            <w:r w:rsidRPr="005E5F3C">
                              <w:rPr>
                                <w:rFonts w:eastAsia="Malgun Gothic"/>
                                <w:sz w:val="16"/>
                                <w:szCs w:val="16"/>
                                <w:lang w:eastAsia="ko-KR"/>
                              </w:rPr>
                              <w:t>TT = 0.65 * MU (the upper bound of MU value used for TT calculation is 5.5 dB, 0.65 upper bound TT/MU ratio)</w:t>
                            </w:r>
                          </w:p>
                          <w:p w14:paraId="33A9858D" w14:textId="77777777" w:rsidR="00443590" w:rsidRPr="005E5F3C" w:rsidRDefault="00443590" w:rsidP="00443590">
                            <w:pPr>
                              <w:pStyle w:val="ListParagraph"/>
                              <w:numPr>
                                <w:ilvl w:val="1"/>
                                <w:numId w:val="34"/>
                              </w:numPr>
                              <w:overflowPunct w:val="0"/>
                              <w:autoSpaceDE w:val="0"/>
                              <w:autoSpaceDN w:val="0"/>
                              <w:adjustRightInd w:val="0"/>
                              <w:snapToGrid w:val="0"/>
                              <w:ind w:right="-101"/>
                              <w:rPr>
                                <w:rFonts w:eastAsia="Malgun Gothic"/>
                                <w:sz w:val="16"/>
                                <w:szCs w:val="16"/>
                                <w:lang w:eastAsia="ko-KR"/>
                              </w:rPr>
                            </w:pPr>
                            <w:r w:rsidRPr="005E5F3C">
                              <w:rPr>
                                <w:rFonts w:eastAsia="Malgun Gothic"/>
                                <w:sz w:val="16"/>
                                <w:szCs w:val="16"/>
                                <w:lang w:eastAsia="ko-KR"/>
                              </w:rPr>
                              <w:t xml:space="preserve">Applies to following Test Cases:  </w:t>
                            </w:r>
                          </w:p>
                          <w:p w14:paraId="097551FC" w14:textId="77777777" w:rsidR="00443590" w:rsidRPr="005E5F3C" w:rsidRDefault="00443590" w:rsidP="00443590">
                            <w:pPr>
                              <w:pStyle w:val="ListParagraph"/>
                              <w:numPr>
                                <w:ilvl w:val="2"/>
                                <w:numId w:val="34"/>
                              </w:numPr>
                              <w:overflowPunct w:val="0"/>
                              <w:autoSpaceDE w:val="0"/>
                              <w:autoSpaceDN w:val="0"/>
                              <w:adjustRightInd w:val="0"/>
                              <w:snapToGrid w:val="0"/>
                              <w:ind w:right="-101"/>
                              <w:rPr>
                                <w:rFonts w:eastAsia="Malgun Gothic"/>
                                <w:sz w:val="16"/>
                                <w:szCs w:val="16"/>
                                <w:lang w:eastAsia="ko-KR"/>
                              </w:rPr>
                            </w:pPr>
                            <w:r w:rsidRPr="005E5F3C">
                              <w:rPr>
                                <w:rFonts w:eastAsia="Malgun Gothic"/>
                                <w:sz w:val="16"/>
                                <w:szCs w:val="16"/>
                                <w:lang w:eastAsia="ko-KR"/>
                              </w:rPr>
                              <w:t>Min Peak EIRP</w:t>
                            </w:r>
                          </w:p>
                          <w:p w14:paraId="74D6E944" w14:textId="77777777" w:rsidR="00443590" w:rsidRPr="005E5F3C" w:rsidRDefault="00443590" w:rsidP="00443590">
                            <w:pPr>
                              <w:pStyle w:val="ListParagraph"/>
                              <w:numPr>
                                <w:ilvl w:val="2"/>
                                <w:numId w:val="34"/>
                              </w:numPr>
                              <w:overflowPunct w:val="0"/>
                              <w:autoSpaceDE w:val="0"/>
                              <w:autoSpaceDN w:val="0"/>
                              <w:adjustRightInd w:val="0"/>
                              <w:snapToGrid w:val="0"/>
                              <w:ind w:right="-101"/>
                              <w:rPr>
                                <w:rFonts w:eastAsia="Malgun Gothic"/>
                                <w:sz w:val="16"/>
                                <w:szCs w:val="16"/>
                                <w:lang w:eastAsia="ko-KR"/>
                              </w:rPr>
                            </w:pPr>
                            <w:r w:rsidRPr="005E5F3C">
                              <w:rPr>
                                <w:rFonts w:eastAsia="Malgun Gothic"/>
                                <w:sz w:val="16"/>
                                <w:szCs w:val="16"/>
                                <w:lang w:eastAsia="ko-KR"/>
                              </w:rPr>
                              <w:t>Max TRP</w:t>
                            </w:r>
                          </w:p>
                          <w:p w14:paraId="73BFC2CC" w14:textId="77777777" w:rsidR="00443590" w:rsidRPr="005E5F3C" w:rsidRDefault="00443590" w:rsidP="00443590">
                            <w:pPr>
                              <w:pStyle w:val="ListParagraph"/>
                              <w:numPr>
                                <w:ilvl w:val="2"/>
                                <w:numId w:val="34"/>
                              </w:numPr>
                              <w:overflowPunct w:val="0"/>
                              <w:autoSpaceDE w:val="0"/>
                              <w:autoSpaceDN w:val="0"/>
                              <w:adjustRightInd w:val="0"/>
                              <w:snapToGrid w:val="0"/>
                              <w:ind w:right="-101"/>
                              <w:rPr>
                                <w:rFonts w:eastAsia="Malgun Gothic"/>
                                <w:sz w:val="16"/>
                                <w:szCs w:val="16"/>
                                <w:lang w:eastAsia="ko-KR"/>
                              </w:rPr>
                            </w:pPr>
                            <w:r w:rsidRPr="005E5F3C">
                              <w:rPr>
                                <w:rFonts w:eastAsia="Malgun Gothic"/>
                                <w:sz w:val="16"/>
                                <w:szCs w:val="16"/>
                                <w:lang w:eastAsia="ko-KR"/>
                              </w:rPr>
                              <w:t>Reference Sensitivity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82B07D9"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textbox style="mso-fit-shape-to-text:t">
                  <w:txbxContent>
                    <w:p w14:paraId="0DEF62AF" w14:textId="77777777" w:rsidR="00443590" w:rsidRPr="005E5F3C" w:rsidRDefault="00443590" w:rsidP="00443590">
                      <w:pPr>
                        <w:pStyle w:val="ListParagraph"/>
                        <w:numPr>
                          <w:ilvl w:val="0"/>
                          <w:numId w:val="34"/>
                        </w:numPr>
                        <w:overflowPunct w:val="0"/>
                        <w:autoSpaceDE w:val="0"/>
                        <w:autoSpaceDN w:val="0"/>
                        <w:adjustRightInd w:val="0"/>
                        <w:snapToGrid w:val="0"/>
                        <w:ind w:right="-101"/>
                        <w:rPr>
                          <w:rFonts w:eastAsia="Malgun Gothic"/>
                          <w:sz w:val="16"/>
                          <w:szCs w:val="16"/>
                          <w:lang w:eastAsia="ko-KR"/>
                        </w:rPr>
                      </w:pPr>
                      <w:r w:rsidRPr="005E5F3C">
                        <w:rPr>
                          <w:rFonts w:eastAsia="Malgun Gothic"/>
                          <w:sz w:val="16"/>
                          <w:szCs w:val="16"/>
                          <w:lang w:eastAsia="ko-KR"/>
                        </w:rPr>
                        <w:t>TT = 0.65 * MU (the upper bound of MU value used for TT calculation is 5.5 dB, 0.65 upper bound TT/MU ratio)</w:t>
                      </w:r>
                    </w:p>
                    <w:p w14:paraId="33A9858D" w14:textId="77777777" w:rsidR="00443590" w:rsidRPr="005E5F3C" w:rsidRDefault="00443590" w:rsidP="00443590">
                      <w:pPr>
                        <w:pStyle w:val="ListParagraph"/>
                        <w:numPr>
                          <w:ilvl w:val="1"/>
                          <w:numId w:val="34"/>
                        </w:numPr>
                        <w:overflowPunct w:val="0"/>
                        <w:autoSpaceDE w:val="0"/>
                        <w:autoSpaceDN w:val="0"/>
                        <w:adjustRightInd w:val="0"/>
                        <w:snapToGrid w:val="0"/>
                        <w:ind w:right="-101"/>
                        <w:rPr>
                          <w:rFonts w:eastAsia="Malgun Gothic"/>
                          <w:sz w:val="16"/>
                          <w:szCs w:val="16"/>
                          <w:lang w:eastAsia="ko-KR"/>
                        </w:rPr>
                      </w:pPr>
                      <w:r w:rsidRPr="005E5F3C">
                        <w:rPr>
                          <w:rFonts w:eastAsia="Malgun Gothic"/>
                          <w:sz w:val="16"/>
                          <w:szCs w:val="16"/>
                          <w:lang w:eastAsia="ko-KR"/>
                        </w:rPr>
                        <w:t xml:space="preserve">Applies to following Test Cases:  </w:t>
                      </w:r>
                    </w:p>
                    <w:p w14:paraId="097551FC" w14:textId="77777777" w:rsidR="00443590" w:rsidRPr="005E5F3C" w:rsidRDefault="00443590" w:rsidP="00443590">
                      <w:pPr>
                        <w:pStyle w:val="ListParagraph"/>
                        <w:numPr>
                          <w:ilvl w:val="2"/>
                          <w:numId w:val="34"/>
                        </w:numPr>
                        <w:overflowPunct w:val="0"/>
                        <w:autoSpaceDE w:val="0"/>
                        <w:autoSpaceDN w:val="0"/>
                        <w:adjustRightInd w:val="0"/>
                        <w:snapToGrid w:val="0"/>
                        <w:ind w:right="-101"/>
                        <w:rPr>
                          <w:rFonts w:eastAsia="Malgun Gothic"/>
                          <w:sz w:val="16"/>
                          <w:szCs w:val="16"/>
                          <w:lang w:eastAsia="ko-KR"/>
                        </w:rPr>
                      </w:pPr>
                      <w:r w:rsidRPr="005E5F3C">
                        <w:rPr>
                          <w:rFonts w:eastAsia="Malgun Gothic"/>
                          <w:sz w:val="16"/>
                          <w:szCs w:val="16"/>
                          <w:lang w:eastAsia="ko-KR"/>
                        </w:rPr>
                        <w:t>Min Peak EIRP</w:t>
                      </w:r>
                    </w:p>
                    <w:p w14:paraId="74D6E944" w14:textId="77777777" w:rsidR="00443590" w:rsidRPr="005E5F3C" w:rsidRDefault="00443590" w:rsidP="00443590">
                      <w:pPr>
                        <w:pStyle w:val="ListParagraph"/>
                        <w:numPr>
                          <w:ilvl w:val="2"/>
                          <w:numId w:val="34"/>
                        </w:numPr>
                        <w:overflowPunct w:val="0"/>
                        <w:autoSpaceDE w:val="0"/>
                        <w:autoSpaceDN w:val="0"/>
                        <w:adjustRightInd w:val="0"/>
                        <w:snapToGrid w:val="0"/>
                        <w:ind w:right="-101"/>
                        <w:rPr>
                          <w:rFonts w:eastAsia="Malgun Gothic"/>
                          <w:sz w:val="16"/>
                          <w:szCs w:val="16"/>
                          <w:lang w:eastAsia="ko-KR"/>
                        </w:rPr>
                      </w:pPr>
                      <w:r w:rsidRPr="005E5F3C">
                        <w:rPr>
                          <w:rFonts w:eastAsia="Malgun Gothic"/>
                          <w:sz w:val="16"/>
                          <w:szCs w:val="16"/>
                          <w:lang w:eastAsia="ko-KR"/>
                        </w:rPr>
                        <w:t>Max TRP</w:t>
                      </w:r>
                    </w:p>
                    <w:p w14:paraId="73BFC2CC" w14:textId="77777777" w:rsidR="00443590" w:rsidRPr="005E5F3C" w:rsidRDefault="00443590" w:rsidP="00443590">
                      <w:pPr>
                        <w:pStyle w:val="ListParagraph"/>
                        <w:numPr>
                          <w:ilvl w:val="2"/>
                          <w:numId w:val="34"/>
                        </w:numPr>
                        <w:overflowPunct w:val="0"/>
                        <w:autoSpaceDE w:val="0"/>
                        <w:autoSpaceDN w:val="0"/>
                        <w:adjustRightInd w:val="0"/>
                        <w:snapToGrid w:val="0"/>
                        <w:ind w:right="-101"/>
                        <w:rPr>
                          <w:rFonts w:eastAsia="Malgun Gothic"/>
                          <w:sz w:val="16"/>
                          <w:szCs w:val="16"/>
                          <w:lang w:eastAsia="ko-KR"/>
                        </w:rPr>
                      </w:pPr>
                      <w:r w:rsidRPr="005E5F3C">
                        <w:rPr>
                          <w:rFonts w:eastAsia="Malgun Gothic"/>
                          <w:sz w:val="16"/>
                          <w:szCs w:val="16"/>
                          <w:lang w:eastAsia="ko-KR"/>
                        </w:rPr>
                        <w:t>Reference Sensitivity</w:t>
                      </w:r>
                    </w:p>
                  </w:txbxContent>
                </v:textbox>
                <w10:anchorlock/>
              </v:shape>
            </w:pict>
          </mc:Fallback>
        </mc:AlternateContent>
      </w:r>
    </w:p>
    <w:p w14:paraId="14122BE7" w14:textId="77777777" w:rsidR="00443590" w:rsidRDefault="00443590" w:rsidP="00443590"/>
    <w:p w14:paraId="13854E35" w14:textId="66036BBE" w:rsidR="00B83CAA" w:rsidRDefault="00B83CAA" w:rsidP="00A56963">
      <w:pPr>
        <w:rPr>
          <w:rFonts w:eastAsia="SimSun"/>
        </w:rPr>
      </w:pPr>
      <w:r w:rsidRPr="00507E0F">
        <w:rPr>
          <w:rFonts w:eastAsia="SimSun"/>
          <w:b/>
        </w:rPr>
        <w:t>Observation 1</w:t>
      </w:r>
      <w:r>
        <w:rPr>
          <w:rFonts w:eastAsia="SimSun"/>
        </w:rPr>
        <w:t>: The conformance test limits for peak requirements on EIRP and REFSENS are offset from the corresponding RAN4 core requirements by TT = 0.65*MU.</w:t>
      </w:r>
    </w:p>
    <w:p w14:paraId="2C49572E" w14:textId="14A23C8E" w:rsidR="00B83CAA" w:rsidRDefault="00B83CAA" w:rsidP="00A56963">
      <w:pPr>
        <w:rPr>
          <w:rFonts w:eastAsia="SimSun"/>
        </w:rPr>
      </w:pPr>
    </w:p>
    <w:p w14:paraId="2EF9D9F2" w14:textId="08DFC208" w:rsidR="00B83CAA" w:rsidRDefault="00B83CAA" w:rsidP="00A56963">
      <w:pPr>
        <w:rPr>
          <w:rFonts w:eastAsia="SimSun"/>
        </w:rPr>
      </w:pPr>
      <w:r>
        <w:rPr>
          <w:rFonts w:eastAsia="SimSun"/>
        </w:rPr>
        <w:t xml:space="preserve">Discussions to finalize the spherical coverage TT have not yet resulted in agreement, but a proposal in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sidR="008C77A0">
        <w:rPr>
          <w:rFonts w:eastAsia="SimSun"/>
        </w:rPr>
        <w:t>[7]</w:t>
      </w:r>
      <w:r>
        <w:rPr>
          <w:rFonts w:eastAsia="SimSun"/>
        </w:rPr>
        <w:fldChar w:fldCharType="end"/>
      </w:r>
      <w:r>
        <w:rPr>
          <w:rFonts w:eastAsia="SimSun"/>
        </w:rPr>
        <w:t xml:space="preserve"> motivates a concern related to the following:</w:t>
      </w:r>
    </w:p>
    <w:p w14:paraId="0C67F936" w14:textId="0BD04544" w:rsidR="00B83CAA" w:rsidRDefault="00B83CAA" w:rsidP="00A56963">
      <w:pPr>
        <w:rPr>
          <w:rFonts w:eastAsia="SimSun"/>
        </w:rPr>
      </w:pPr>
    </w:p>
    <w:p w14:paraId="2719055C" w14:textId="18C668AF" w:rsidR="00B83CAA" w:rsidRDefault="00B83CAA" w:rsidP="00A56963">
      <w:pPr>
        <w:rPr>
          <w:rFonts w:eastAsia="SimSun"/>
        </w:rPr>
      </w:pPr>
      <w:r>
        <w:rPr>
          <w:noProof/>
        </w:rPr>
        <w:lastRenderedPageBreak/>
        <mc:AlternateContent>
          <mc:Choice Requires="wps">
            <w:drawing>
              <wp:inline distT="0" distB="0" distL="0" distR="0" wp14:anchorId="0EAABE1F" wp14:editId="6286BDB8">
                <wp:extent cx="1828800" cy="1828800"/>
                <wp:effectExtent l="0" t="0" r="6985" b="1143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A8AC578" w14:textId="77777777" w:rsidR="00B83CAA" w:rsidRPr="00BB49F3" w:rsidRDefault="00B83CAA">
                            <w:pPr>
                              <w:rPr>
                                <w:rFonts w:eastAsia="SimSun"/>
                              </w:rPr>
                            </w:pPr>
                            <w:r w:rsidRPr="00B83CAA">
                              <w:rPr>
                                <w:rFonts w:eastAsia="SimSun"/>
                              </w:rPr>
                              <w:t>Proposal: to consider the criticality for operator’s perspective in terms of network coverage impact it is proposed to introduce a TT = 2 dB for Spherical coverage measurements (Min EIRP at 50t%-tile CDF and EIS spherical coverage for PC3).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EAABE1F" id="Text Box 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" filled="f" strokeweight=".5pt">
                <v:fill o:detectmouseclick="t"/>
                <v:textbox style="mso-fit-shape-to-text:t">
                  <w:txbxContent>
                    <w:p w14:paraId="5A8AC578" w14:textId="77777777" w:rsidR="00B83CAA" w:rsidRPr="00BB49F3" w:rsidRDefault="00B83CAA">
                      <w:pPr>
                        <w:rPr>
                          <w:rFonts w:eastAsia="SimSun"/>
                        </w:rPr>
                      </w:pPr>
                      <w:r w:rsidRPr="00B83CAA">
                        <w:rPr>
                          <w:rFonts w:eastAsia="SimSun"/>
                        </w:rPr>
                        <w:t>Proposal: to consider the criticality for operator’s perspective in terms of network coverage impact it is proposed to introduce a TT = 2 dB for Spherical coverage measurements (Min EIRP at 50t%-tile CDF and EIS spherical coverage for PC3).</w:t>
                      </w:r>
                    </w:p>
                  </w:txbxContent>
                </v:textbox>
                <w10:anchorlock/>
              </v:shape>
            </w:pict>
          </mc:Fallback>
        </mc:AlternateContent>
      </w:r>
    </w:p>
    <w:p w14:paraId="4958590B" w14:textId="581D2E0C" w:rsidR="00B83CAA" w:rsidRDefault="00B83CAA" w:rsidP="00A56963">
      <w:pPr>
        <w:rPr>
          <w:rFonts w:eastAsia="SimSun"/>
        </w:rPr>
      </w:pPr>
    </w:p>
    <w:p w14:paraId="727C6EC7" w14:textId="6721422D" w:rsidR="00507E0F" w:rsidRDefault="00507E0F" w:rsidP="00A56963">
      <w:pPr>
        <w:rPr>
          <w:rFonts w:eastAsia="SimSun"/>
        </w:rPr>
      </w:pPr>
      <w:r w:rsidRPr="00A57EFB">
        <w:rPr>
          <w:rFonts w:eastAsia="SimSun"/>
          <w:b/>
        </w:rPr>
        <w:t>Observation 2</w:t>
      </w:r>
      <w:r>
        <w:rPr>
          <w:rFonts w:eastAsia="SimSun"/>
        </w:rPr>
        <w:t xml:space="preserve">: If the proposal from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sidR="008C77A0">
        <w:rPr>
          <w:rFonts w:eastAsia="SimSun"/>
        </w:rPr>
        <w:t>[7]</w:t>
      </w:r>
      <w:r>
        <w:rPr>
          <w:rFonts w:eastAsia="SimSun"/>
        </w:rPr>
        <w:fldChar w:fldCharType="end"/>
      </w:r>
      <w:r>
        <w:rPr>
          <w:rFonts w:eastAsia="SimSun"/>
        </w:rPr>
        <w:t xml:space="preserve"> is adopted, then the test conformance limits for spherical coverage requirements on EIRP and EIS are offset from the corresponding RAN4 core requirements by TT = 0.</w:t>
      </w:r>
      <w:r w:rsidR="00D07B59">
        <w:rPr>
          <w:rFonts w:eastAsia="SimSun"/>
        </w:rPr>
        <w:t>44</w:t>
      </w:r>
      <w:r>
        <w:rPr>
          <w:rFonts w:eastAsia="SimSun"/>
        </w:rPr>
        <w:t>*MU</w:t>
      </w:r>
      <w:r w:rsidR="00B669B6">
        <w:rPr>
          <w:rFonts w:eastAsia="SimSun"/>
        </w:rPr>
        <w:t>.</w:t>
      </w:r>
    </w:p>
    <w:p w14:paraId="6CA2F093" w14:textId="41F41D28" w:rsidR="00CF3ABF" w:rsidRDefault="00CF3ABF" w:rsidP="00A56963">
      <w:pPr>
        <w:rPr>
          <w:rFonts w:eastAsia="SimSun"/>
        </w:rPr>
      </w:pPr>
    </w:p>
    <w:p w14:paraId="1519A580" w14:textId="54D0B611" w:rsidR="00A57EFB" w:rsidRDefault="00B669B6" w:rsidP="00A56963">
      <w:pPr>
        <w:rPr>
          <w:rFonts w:eastAsia="SimSun"/>
        </w:rPr>
      </w:pPr>
      <w:r>
        <w:rPr>
          <w:rFonts w:eastAsia="SimSun"/>
        </w:rPr>
        <w:t xml:space="preserve">A potential decision by RAN5 to define different values of test tolerance for these two metrics impacts the design requirement, which is defined by the mmWave antenna array gain drop from peak to spherical coverage value at a given percentile.  </w:t>
      </w:r>
      <w:r w:rsidR="008C1516">
        <w:rPr>
          <w:rFonts w:eastAsia="SimSun"/>
        </w:rPr>
        <w:t xml:space="preserve">Using the examples above, while the difference between peak and spherical requirements in the core specification is </w:t>
      </w:r>
      <w:r w:rsidR="00A57EFB">
        <w:rPr>
          <w:rFonts w:eastAsia="SimSun"/>
        </w:rPr>
        <w:t>10.9 dB for n257/n258/n261 and 12.6 dB for n260, there exists a risk that the conformance test specification may redefine these gain drops to 9.</w:t>
      </w:r>
      <w:r w:rsidR="00D07B59">
        <w:rPr>
          <w:rFonts w:eastAsia="SimSun"/>
        </w:rPr>
        <w:t>9</w:t>
      </w:r>
      <w:r w:rsidR="00A57EFB">
        <w:rPr>
          <w:rFonts w:eastAsia="SimSun"/>
        </w:rPr>
        <w:t xml:space="preserve"> dB and 11.</w:t>
      </w:r>
      <w:r w:rsidR="00D07B59">
        <w:rPr>
          <w:rFonts w:eastAsia="SimSun"/>
        </w:rPr>
        <w:t>6</w:t>
      </w:r>
      <w:r w:rsidR="00A57EFB">
        <w:rPr>
          <w:rFonts w:eastAsia="SimSun"/>
        </w:rPr>
        <w:t xml:space="preserve"> dB, respectively.</w:t>
      </w:r>
    </w:p>
    <w:p w14:paraId="4EA47586" w14:textId="77777777" w:rsidR="00A57EFB" w:rsidRDefault="00A57EFB" w:rsidP="00A56963">
      <w:pPr>
        <w:rPr>
          <w:rFonts w:eastAsia="SimSun"/>
        </w:rPr>
      </w:pPr>
    </w:p>
    <w:p w14:paraId="163FD300" w14:textId="22DA7C19" w:rsidR="00A57EFB" w:rsidRDefault="00A57EFB" w:rsidP="00A56963">
      <w:pPr>
        <w:rPr>
          <w:rFonts w:eastAsia="SimSun"/>
        </w:rPr>
      </w:pPr>
      <w:r w:rsidRPr="00A57EFB">
        <w:rPr>
          <w:rFonts w:eastAsia="SimSun"/>
          <w:b/>
        </w:rPr>
        <w:t>Observation 3</w:t>
      </w:r>
      <w:r>
        <w:rPr>
          <w:rFonts w:eastAsia="SimSun"/>
        </w:rPr>
        <w:t xml:space="preserve">: If the proposal from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sidR="008C77A0">
        <w:rPr>
          <w:rFonts w:eastAsia="SimSun"/>
        </w:rPr>
        <w:t>[7]</w:t>
      </w:r>
      <w:r>
        <w:rPr>
          <w:rFonts w:eastAsia="SimSun"/>
        </w:rPr>
        <w:fldChar w:fldCharType="end"/>
      </w:r>
      <w:r>
        <w:rPr>
          <w:rFonts w:eastAsia="SimSun"/>
        </w:rPr>
        <w:t xml:space="preserve"> is adopted, it effectively represents a 1.</w:t>
      </w:r>
      <w:r w:rsidR="00D07B59">
        <w:rPr>
          <w:rFonts w:eastAsia="SimSun"/>
        </w:rPr>
        <w:t>0</w:t>
      </w:r>
      <w:r>
        <w:rPr>
          <w:rFonts w:eastAsia="SimSun"/>
        </w:rPr>
        <w:t xml:space="preserve"> dB tightening of the spherical coverage requirement relative to the agreements made in RAN4.</w:t>
      </w:r>
    </w:p>
    <w:p w14:paraId="7B87F7D9" w14:textId="77777777" w:rsidR="008C1516" w:rsidRDefault="008C1516" w:rsidP="00A56963">
      <w:pPr>
        <w:rPr>
          <w:rFonts w:eastAsia="SimSun"/>
        </w:rPr>
      </w:pPr>
    </w:p>
    <w:p w14:paraId="4D0F54C8" w14:textId="320B6E01" w:rsidR="00CF3ABF" w:rsidRDefault="00B669B6" w:rsidP="00A56963">
      <w:pPr>
        <w:rPr>
          <w:rFonts w:eastAsia="SimSun"/>
        </w:rPr>
      </w:pPr>
      <w:r>
        <w:rPr>
          <w:rFonts w:eastAsia="SimSun"/>
        </w:rPr>
        <w:t>Because this array gain drop can be directly translated to the antenna array design requirement independently of conducted performance of the RF front end components, having different gain drops defined in the UE RF core specification and UE RF conformance test specification is difficult to justify.</w:t>
      </w:r>
    </w:p>
    <w:p w14:paraId="0957BEE1" w14:textId="064279E9" w:rsidR="00B669B6" w:rsidRDefault="00B669B6" w:rsidP="00A56963">
      <w:pPr>
        <w:rPr>
          <w:rFonts w:eastAsia="SimSun"/>
        </w:rPr>
      </w:pPr>
    </w:p>
    <w:p w14:paraId="144F586A" w14:textId="11B46A64" w:rsidR="008C1516" w:rsidRPr="008C1516" w:rsidRDefault="008C1516" w:rsidP="008C1516">
      <w:pPr>
        <w:rPr>
          <w:rFonts w:eastAsia="SimSun"/>
          <w:bCs/>
        </w:rPr>
      </w:pPr>
      <w:r w:rsidRPr="008C1516">
        <w:rPr>
          <w:rFonts w:eastAsia="SimSun"/>
          <w:bCs/>
        </w:rPr>
        <w:t>The RAN4 TR38.817-01</w:t>
      </w:r>
      <w:r w:rsidR="00015768">
        <w:rPr>
          <w:rFonts w:eastAsia="SimSun"/>
          <w:bCs/>
        </w:rPr>
        <w:t xml:space="preserve"> </w:t>
      </w:r>
      <w:r w:rsidR="00015768">
        <w:rPr>
          <w:rFonts w:eastAsia="SimSun"/>
          <w:bCs/>
        </w:rPr>
        <w:fldChar w:fldCharType="begin"/>
      </w:r>
      <w:r w:rsidR="00015768">
        <w:rPr>
          <w:rFonts w:eastAsia="SimSun"/>
          <w:bCs/>
        </w:rPr>
        <w:instrText xml:space="preserve"> REF _Ref4805406 \r \h </w:instrText>
      </w:r>
      <w:r w:rsidR="00015768">
        <w:rPr>
          <w:rFonts w:eastAsia="SimSun"/>
          <w:bCs/>
        </w:rPr>
      </w:r>
      <w:r w:rsidR="00015768">
        <w:rPr>
          <w:rFonts w:eastAsia="SimSun"/>
          <w:bCs/>
        </w:rPr>
        <w:fldChar w:fldCharType="separate"/>
      </w:r>
      <w:r w:rsidR="008C77A0">
        <w:rPr>
          <w:rFonts w:eastAsia="SimSun"/>
          <w:bCs/>
        </w:rPr>
        <w:t>[3]</w:t>
      </w:r>
      <w:r w:rsidR="00015768">
        <w:rPr>
          <w:rFonts w:eastAsia="SimSun"/>
          <w:bCs/>
        </w:rPr>
        <w:fldChar w:fldCharType="end"/>
      </w:r>
      <w:r w:rsidRPr="008C1516">
        <w:rPr>
          <w:rFonts w:eastAsia="SimSun"/>
          <w:bCs/>
        </w:rPr>
        <w:t xml:space="preserve"> has documented the assumptions and data used in the derivation of the PC3 requirements in Clause 7.2.1.4.  RAN4 initially defined the requirements for peak EIRP based on a common UE architecture assumption and a survey of relevant parameters, then proceeded to derive the EIRP CDF percentile from network performance simulations, and finally determined the EIRP CDF value based on antenna array performance simulations.  These simulations yielded array gain “drops” relative to peak EIRP, and after achieving consensus on the value of this array gain “drop,” RAN4 defined the absolute value of the spherical coverage requirement.  A similar process was followed for peak EIS and spherical coverage EIS.</w:t>
      </w:r>
    </w:p>
    <w:p w14:paraId="42FF8CC9" w14:textId="77777777" w:rsidR="008C1516" w:rsidRPr="008C1516" w:rsidRDefault="008C1516" w:rsidP="008C1516">
      <w:pPr>
        <w:rPr>
          <w:rFonts w:eastAsia="SimSun"/>
          <w:bCs/>
        </w:rPr>
      </w:pPr>
    </w:p>
    <w:p w14:paraId="60C8D049" w14:textId="1C42B2D0" w:rsidR="008C1516" w:rsidRPr="008C1516" w:rsidRDefault="009F28C3" w:rsidP="008C1516">
      <w:pPr>
        <w:rPr>
          <w:rFonts w:eastAsia="SimSun"/>
          <w:bCs/>
        </w:rPr>
      </w:pPr>
      <w:r w:rsidRPr="009F28C3">
        <w:rPr>
          <w:rFonts w:eastAsia="SimSun"/>
          <w:b/>
          <w:bCs/>
        </w:rPr>
        <w:t>Proposal 1</w:t>
      </w:r>
      <w:r>
        <w:rPr>
          <w:rFonts w:eastAsia="SimSun"/>
          <w:bCs/>
        </w:rPr>
        <w:t>: F</w:t>
      </w:r>
      <w:r w:rsidR="008C1516" w:rsidRPr="008C1516">
        <w:rPr>
          <w:rFonts w:eastAsia="SimSun"/>
          <w:bCs/>
        </w:rPr>
        <w:t>rom the perspective of core RF requirements, the difference between peak and spherical coverage requirements constitutes a core design parameter which was used to derive the corresponding requirements</w:t>
      </w:r>
      <w:r>
        <w:rPr>
          <w:rFonts w:eastAsia="SimSun"/>
          <w:bCs/>
        </w:rPr>
        <w:t xml:space="preserve"> and should be reflected in the conformance test specification</w:t>
      </w:r>
      <w:r w:rsidR="008C1516" w:rsidRPr="008C1516">
        <w:rPr>
          <w:rFonts w:eastAsia="SimSun"/>
          <w:bCs/>
        </w:rPr>
        <w:t>.</w:t>
      </w:r>
    </w:p>
    <w:p w14:paraId="3F4B8DA7" w14:textId="40D5C132" w:rsidR="00B669B6" w:rsidRDefault="00B669B6" w:rsidP="00A56963">
      <w:pPr>
        <w:rPr>
          <w:rFonts w:eastAsia="SimSun"/>
        </w:rPr>
      </w:pPr>
    </w:p>
    <w:p w14:paraId="51B8C62B" w14:textId="4298956B" w:rsidR="00B83CAA" w:rsidRDefault="009F28C3" w:rsidP="00A56963">
      <w:pPr>
        <w:rPr>
          <w:rFonts w:eastAsia="SimSun"/>
        </w:rPr>
      </w:pPr>
      <w:r>
        <w:rPr>
          <w:rFonts w:eastAsia="SimSun"/>
        </w:rPr>
        <w:t xml:space="preserve">A draft LS implements the proposal in </w:t>
      </w:r>
      <w:r>
        <w:rPr>
          <w:rFonts w:eastAsia="SimSun"/>
        </w:rPr>
        <w:fldChar w:fldCharType="begin"/>
      </w:r>
      <w:r>
        <w:rPr>
          <w:rFonts w:eastAsia="SimSun"/>
        </w:rPr>
        <w:instrText xml:space="preserve"> REF _Ref4805517 \r \h </w:instrText>
      </w:r>
      <w:r>
        <w:rPr>
          <w:rFonts w:eastAsia="SimSun"/>
        </w:rPr>
      </w:r>
      <w:r>
        <w:rPr>
          <w:rFonts w:eastAsia="SimSun"/>
        </w:rPr>
        <w:fldChar w:fldCharType="separate"/>
      </w:r>
      <w:r w:rsidR="008C77A0">
        <w:rPr>
          <w:rFonts w:eastAsia="SimSun"/>
        </w:rPr>
        <w:t>[8]</w:t>
      </w:r>
      <w:r>
        <w:rPr>
          <w:rFonts w:eastAsia="SimSun"/>
        </w:rPr>
        <w:fldChar w:fldCharType="end"/>
      </w:r>
      <w:r>
        <w:rPr>
          <w:rFonts w:eastAsia="SimSun"/>
        </w:rPr>
        <w:t>.</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5734437B" w14:textId="28EAC253" w:rsidR="008C77A0" w:rsidRDefault="008C77A0" w:rsidP="008C77A0">
      <w:pPr>
        <w:rPr>
          <w:rFonts w:eastAsia="SimSun"/>
        </w:rPr>
      </w:pPr>
      <w:r w:rsidRPr="00507E0F">
        <w:rPr>
          <w:rFonts w:eastAsia="SimSun"/>
          <w:b/>
        </w:rPr>
        <w:t>Observation 1</w:t>
      </w:r>
      <w:r>
        <w:rPr>
          <w:rFonts w:eastAsia="SimSun"/>
        </w:rPr>
        <w:t>: The conformance test limits for peak requirements on EIRP and REFSENS are offset from the corresponding RAN4 core requirements by TT = 0.65*MU.</w:t>
      </w:r>
    </w:p>
    <w:p w14:paraId="512DBD19" w14:textId="62BC44D7" w:rsidR="008C77A0" w:rsidRDefault="008C77A0" w:rsidP="008C77A0">
      <w:pPr>
        <w:rPr>
          <w:rFonts w:eastAsia="SimSun"/>
        </w:rPr>
      </w:pPr>
    </w:p>
    <w:p w14:paraId="3D7F1D1E" w14:textId="77777777" w:rsidR="008C77A0" w:rsidRDefault="008C77A0" w:rsidP="008C77A0">
      <w:pPr>
        <w:rPr>
          <w:rFonts w:eastAsia="SimSun"/>
        </w:rPr>
      </w:pPr>
      <w:r w:rsidRPr="00A57EFB">
        <w:rPr>
          <w:rFonts w:eastAsia="SimSun"/>
          <w:b/>
        </w:rPr>
        <w:t>Observation 2</w:t>
      </w:r>
      <w:r>
        <w:rPr>
          <w:rFonts w:eastAsia="SimSun"/>
        </w:rPr>
        <w:t xml:space="preserve">: If the proposal from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is adopted, then the test conformance limits for spherical coverage requirements on EIRP and EIS are offset from the corresponding RAN4 core requirements by TT = 0.44*MU.</w:t>
      </w:r>
    </w:p>
    <w:p w14:paraId="6BA9E75C" w14:textId="480D5DB6" w:rsidR="008C77A0" w:rsidRDefault="008C77A0" w:rsidP="008C77A0">
      <w:pPr>
        <w:rPr>
          <w:rFonts w:eastAsia="SimSun"/>
        </w:rPr>
      </w:pPr>
    </w:p>
    <w:p w14:paraId="19E33355" w14:textId="77777777" w:rsidR="008C77A0" w:rsidRDefault="008C77A0" w:rsidP="008C77A0">
      <w:pPr>
        <w:rPr>
          <w:rFonts w:eastAsia="SimSun"/>
        </w:rPr>
      </w:pPr>
      <w:r w:rsidRPr="00A57EFB">
        <w:rPr>
          <w:rFonts w:eastAsia="SimSun"/>
          <w:b/>
        </w:rPr>
        <w:lastRenderedPageBreak/>
        <w:t>Observation 3</w:t>
      </w:r>
      <w:r>
        <w:rPr>
          <w:rFonts w:eastAsia="SimSun"/>
        </w:rPr>
        <w:t xml:space="preserve">: If the proposal from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is adopted, it effectively represents a 1.0 dB tightening of the spherical coverage requirement relative to the agreements made in RAN4.</w:t>
      </w:r>
    </w:p>
    <w:p w14:paraId="43D0E835" w14:textId="5A74A807" w:rsidR="008C77A0" w:rsidRDefault="008C77A0" w:rsidP="008C77A0">
      <w:pPr>
        <w:rPr>
          <w:rFonts w:eastAsia="SimSun"/>
        </w:rPr>
      </w:pPr>
    </w:p>
    <w:p w14:paraId="485EEEC2" w14:textId="36284F4B" w:rsidR="008C77A0" w:rsidRPr="008C77A0" w:rsidRDefault="008C77A0" w:rsidP="008C77A0">
      <w:pPr>
        <w:rPr>
          <w:rFonts w:eastAsia="SimSun"/>
          <w:bCs/>
        </w:rPr>
      </w:pPr>
      <w:r w:rsidRPr="009F28C3">
        <w:rPr>
          <w:rFonts w:eastAsia="SimSun"/>
          <w:b/>
          <w:bCs/>
        </w:rPr>
        <w:t>Proposal 1</w:t>
      </w:r>
      <w:r>
        <w:rPr>
          <w:rFonts w:eastAsia="SimSun"/>
          <w:bCs/>
        </w:rPr>
        <w:t>: F</w:t>
      </w:r>
      <w:r w:rsidRPr="008C1516">
        <w:rPr>
          <w:rFonts w:eastAsia="SimSun"/>
          <w:bCs/>
        </w:rPr>
        <w:t>rom the perspective of core RF requirements, the difference between peak and spherical coverage requirements constitutes a core design parameter which was used to derive the corresponding requirements</w:t>
      </w:r>
      <w:r>
        <w:rPr>
          <w:rFonts w:eastAsia="SimSun"/>
          <w:bCs/>
        </w:rPr>
        <w:t xml:space="preserve"> and should be reflected in the conformance test specification</w:t>
      </w:r>
      <w:r w:rsidRPr="008C1516">
        <w:rPr>
          <w:rFonts w:eastAsia="SimSun"/>
          <w:bCs/>
        </w:rPr>
        <w:t>.</w:t>
      </w:r>
    </w:p>
    <w:p w14:paraId="47BA569A" w14:textId="77777777" w:rsidR="0017048A" w:rsidRPr="00871EA3" w:rsidRDefault="0017048A" w:rsidP="00342BBF">
      <w:pPr>
        <w:pStyle w:val="Heading1"/>
        <w:rPr>
          <w:lang w:val="en-US"/>
        </w:rPr>
      </w:pPr>
      <w:r w:rsidRPr="00871EA3">
        <w:rPr>
          <w:lang w:val="en-US"/>
        </w:rPr>
        <w:t>References</w:t>
      </w:r>
    </w:p>
    <w:p w14:paraId="32EC013D" w14:textId="05E54097" w:rsidR="005007F2" w:rsidRPr="001E43FB" w:rsidRDefault="008B2A22" w:rsidP="00804EBC">
      <w:pPr>
        <w:widowControl w:val="0"/>
        <w:numPr>
          <w:ilvl w:val="0"/>
          <w:numId w:val="5"/>
        </w:numPr>
      </w:pPr>
      <w:bookmarkStart w:id="1" w:name="_Ref525858808"/>
      <w:bookmarkStart w:id="2" w:name="_Ref4674769"/>
      <w:r w:rsidRPr="001E43FB">
        <w:t xml:space="preserve">3GPP </w:t>
      </w:r>
      <w:r w:rsidR="0036017F" w:rsidRPr="001E43FB">
        <w:t>TS38.101-2</w:t>
      </w:r>
      <w:bookmarkEnd w:id="1"/>
      <w:r w:rsidRPr="001E43FB">
        <w:t>, “</w:t>
      </w:r>
      <w:r w:rsidR="00312D4D" w:rsidRPr="001E43FB">
        <w:t xml:space="preserve">NR; </w:t>
      </w:r>
      <w:r w:rsidRPr="001E43FB">
        <w:t>User Equipment (UE) radio transmission and reception; Part 2: Range 2 Standalone,” V15.5.0, 3GPP RAN #83, March 2019</w:t>
      </w:r>
      <w:bookmarkEnd w:id="2"/>
    </w:p>
    <w:p w14:paraId="6B1025CA" w14:textId="5F9F9CF4" w:rsidR="007A2E2C" w:rsidRPr="001E43FB" w:rsidRDefault="00FB4011" w:rsidP="00A60163">
      <w:pPr>
        <w:widowControl w:val="0"/>
        <w:numPr>
          <w:ilvl w:val="0"/>
          <w:numId w:val="5"/>
        </w:numPr>
      </w:pPr>
      <w:bookmarkStart w:id="3" w:name="_Ref4805548"/>
      <w:bookmarkStart w:id="4" w:name="_Ref4665285"/>
      <w:r w:rsidRPr="001E43FB">
        <w:t>3GPP TS38.521-2</w:t>
      </w:r>
      <w:bookmarkEnd w:id="3"/>
    </w:p>
    <w:p w14:paraId="774865BF" w14:textId="08F52866" w:rsidR="00546E72" w:rsidRDefault="000B1487" w:rsidP="00433F00">
      <w:pPr>
        <w:widowControl w:val="0"/>
        <w:numPr>
          <w:ilvl w:val="0"/>
          <w:numId w:val="5"/>
        </w:numPr>
      </w:pPr>
      <w:bookmarkStart w:id="5" w:name="_Ref4805406"/>
      <w:r>
        <w:t>3GPP TR38.817-01</w:t>
      </w:r>
      <w:bookmarkEnd w:id="4"/>
      <w:bookmarkEnd w:id="5"/>
    </w:p>
    <w:p w14:paraId="401B78B1" w14:textId="11B34546" w:rsidR="00433F00" w:rsidRDefault="00433F00" w:rsidP="00433F00">
      <w:pPr>
        <w:widowControl w:val="0"/>
        <w:numPr>
          <w:ilvl w:val="0"/>
          <w:numId w:val="5"/>
        </w:numPr>
      </w:pPr>
      <w:bookmarkStart w:id="6" w:name="_Ref4803722"/>
      <w:r w:rsidRPr="00433F00">
        <w:t>RP-190746</w:t>
      </w:r>
      <w:r>
        <w:t>, “</w:t>
      </w:r>
      <w:r w:rsidRPr="00433F00">
        <w:t>Updates to maximum output power test cases</w:t>
      </w:r>
      <w:r>
        <w:t>,” Ericsson, Apple, 3GPP RAN #83, March 2019</w:t>
      </w:r>
      <w:bookmarkEnd w:id="6"/>
    </w:p>
    <w:p w14:paraId="2575558A" w14:textId="0DBA4173" w:rsidR="00433F00" w:rsidRDefault="00E87B34" w:rsidP="00433F00">
      <w:pPr>
        <w:widowControl w:val="0"/>
        <w:numPr>
          <w:ilvl w:val="0"/>
          <w:numId w:val="5"/>
        </w:numPr>
      </w:pPr>
      <w:bookmarkStart w:id="7" w:name="_Ref4804145"/>
      <w:r w:rsidRPr="00E87B34">
        <w:t>R5-190940</w:t>
      </w:r>
      <w:r>
        <w:t>, “</w:t>
      </w:r>
      <w:r w:rsidR="005E5F3C" w:rsidRPr="005E5F3C">
        <w:t>NR TT Way Forward update</w:t>
      </w:r>
      <w:r w:rsidR="005E5F3C">
        <w:t>,” Telecom Italia, 3GPP RAN5 AH#4, January 2019</w:t>
      </w:r>
      <w:bookmarkEnd w:id="7"/>
    </w:p>
    <w:p w14:paraId="3D6D90D3" w14:textId="0BB148B5" w:rsidR="00D07B59" w:rsidRDefault="00D07B59" w:rsidP="00D07B59">
      <w:pPr>
        <w:widowControl w:val="0"/>
        <w:numPr>
          <w:ilvl w:val="0"/>
          <w:numId w:val="5"/>
        </w:numPr>
      </w:pPr>
      <w:r>
        <w:t>R5-191005, “</w:t>
      </w:r>
      <w:r w:rsidRPr="003279DA">
        <w:t>CR to TR38.903 to update MU tables and element descriptions</w:t>
      </w:r>
      <w:r>
        <w:t>,” Keysight Technologies</w:t>
      </w:r>
    </w:p>
    <w:p w14:paraId="68DBAB0A" w14:textId="45D2A9B5" w:rsidR="00B83CAA" w:rsidRDefault="00B83CAA" w:rsidP="00433F00">
      <w:pPr>
        <w:widowControl w:val="0"/>
        <w:numPr>
          <w:ilvl w:val="0"/>
          <w:numId w:val="5"/>
        </w:numPr>
      </w:pPr>
      <w:bookmarkStart w:id="8" w:name="_Ref4804503"/>
      <w:r w:rsidRPr="00B83CAA">
        <w:t>R5-192657</w:t>
      </w:r>
      <w:r>
        <w:t>, “</w:t>
      </w:r>
      <w:r w:rsidRPr="00B83CAA">
        <w:t>Spherical Coverage TT Proposal</w:t>
      </w:r>
      <w:r>
        <w:t xml:space="preserve">,” </w:t>
      </w:r>
      <w:r w:rsidRPr="00B83CAA">
        <w:t>Telecom Italia, Orange, AT&amp;T, Vodafone, CMCC, China Unicom</w:t>
      </w:r>
      <w:r>
        <w:t>, 3GPP RAN5 #82, February 2019</w:t>
      </w:r>
      <w:bookmarkEnd w:id="8"/>
    </w:p>
    <w:p w14:paraId="3DC55DEB" w14:textId="0C99DA77" w:rsidR="009F28C3" w:rsidRDefault="009F28C3" w:rsidP="00433F00">
      <w:pPr>
        <w:widowControl w:val="0"/>
        <w:numPr>
          <w:ilvl w:val="0"/>
          <w:numId w:val="5"/>
        </w:numPr>
      </w:pPr>
      <w:bookmarkStart w:id="9" w:name="_Ref4805517"/>
      <w:r w:rsidRPr="009F28C3">
        <w:t>R4-1903060</w:t>
      </w:r>
      <w:r>
        <w:t>, “</w:t>
      </w:r>
      <w:r w:rsidRPr="009F28C3">
        <w:t>Draft LS to RAN5 on the relationship between FR2 peak and spherical requirements in core and test specifications</w:t>
      </w:r>
      <w:r>
        <w:t>,” Apple Inc., 3GPP RAN4 #90bis, April 2019</w:t>
      </w:r>
      <w:bookmarkEnd w:id="9"/>
    </w:p>
    <w:p w14:paraId="055ED1CA" w14:textId="1C79F50A" w:rsidR="00D07B59" w:rsidRPr="00433F00" w:rsidRDefault="00D07B59" w:rsidP="008C77A0">
      <w:pPr>
        <w:widowControl w:val="0"/>
        <w:ind w:left="420"/>
      </w:pPr>
    </w:p>
    <w:sectPr w:rsidR="00D07B59" w:rsidRPr="00433F00"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C1E00" w14:textId="77777777" w:rsidR="00351C44" w:rsidRDefault="00351C44">
      <w:r>
        <w:separator/>
      </w:r>
    </w:p>
  </w:endnote>
  <w:endnote w:type="continuationSeparator" w:id="0">
    <w:p w14:paraId="44EF1E09" w14:textId="77777777" w:rsidR="00351C44" w:rsidRDefault="00351C44">
      <w:r>
        <w:continuationSeparator/>
      </w:r>
    </w:p>
  </w:endnote>
  <w:endnote w:type="continuationNotice" w:id="1">
    <w:p w14:paraId="1434A9EB" w14:textId="77777777" w:rsidR="00351C44" w:rsidRDefault="00351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BFFC8" w14:textId="77777777" w:rsidR="00351C44" w:rsidRDefault="00351C44">
      <w:r>
        <w:separator/>
      </w:r>
    </w:p>
  </w:footnote>
  <w:footnote w:type="continuationSeparator" w:id="0">
    <w:p w14:paraId="29C5D81C" w14:textId="77777777" w:rsidR="00351C44" w:rsidRDefault="00351C44">
      <w:r>
        <w:continuationSeparator/>
      </w:r>
    </w:p>
  </w:footnote>
  <w:footnote w:type="continuationNotice" w:id="1">
    <w:p w14:paraId="7C4B3EF7" w14:textId="77777777" w:rsidR="00351C44" w:rsidRDefault="00351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77D0"/>
    <w:multiLevelType w:val="hybridMultilevel"/>
    <w:tmpl w:val="753A97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2B2877"/>
    <w:multiLevelType w:val="hybridMultilevel"/>
    <w:tmpl w:val="2A767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3"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6"/>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6"/>
  </w:num>
  <w:num w:numId="8">
    <w:abstractNumId w:val="20"/>
  </w:num>
  <w:num w:numId="9">
    <w:abstractNumId w:val="23"/>
  </w:num>
  <w:num w:numId="10">
    <w:abstractNumId w:val="33"/>
  </w:num>
  <w:num w:numId="11">
    <w:abstractNumId w:val="8"/>
  </w:num>
  <w:num w:numId="12">
    <w:abstractNumId w:val="2"/>
  </w:num>
  <w:num w:numId="13">
    <w:abstractNumId w:val="24"/>
  </w:num>
  <w:num w:numId="14">
    <w:abstractNumId w:val="29"/>
  </w:num>
  <w:num w:numId="15">
    <w:abstractNumId w:val="28"/>
  </w:num>
  <w:num w:numId="16">
    <w:abstractNumId w:val="13"/>
  </w:num>
  <w:num w:numId="17">
    <w:abstractNumId w:val="22"/>
  </w:num>
  <w:num w:numId="18">
    <w:abstractNumId w:val="25"/>
  </w:num>
  <w:num w:numId="19">
    <w:abstractNumId w:val="17"/>
  </w:num>
  <w:num w:numId="20">
    <w:abstractNumId w:val="19"/>
  </w:num>
  <w:num w:numId="21">
    <w:abstractNumId w:val="27"/>
  </w:num>
  <w:num w:numId="22">
    <w:abstractNumId w:val="0"/>
  </w:num>
  <w:num w:numId="23">
    <w:abstractNumId w:val="12"/>
  </w:num>
  <w:num w:numId="24">
    <w:abstractNumId w:val="18"/>
  </w:num>
  <w:num w:numId="25">
    <w:abstractNumId w:val="3"/>
  </w:num>
  <w:num w:numId="26">
    <w:abstractNumId w:val="30"/>
  </w:num>
  <w:num w:numId="27">
    <w:abstractNumId w:val="31"/>
  </w:num>
  <w:num w:numId="28">
    <w:abstractNumId w:val="5"/>
  </w:num>
  <w:num w:numId="29">
    <w:abstractNumId w:val="6"/>
  </w:num>
  <w:num w:numId="30">
    <w:abstractNumId w:val="9"/>
  </w:num>
  <w:num w:numId="31">
    <w:abstractNumId w:val="4"/>
  </w:num>
  <w:num w:numId="32">
    <w:abstractNumId w:val="7"/>
  </w:num>
  <w:num w:numId="33">
    <w:abstractNumId w:val="11"/>
  </w:num>
  <w:num w:numId="3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768"/>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3CB"/>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E2"/>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1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CD"/>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487"/>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6B5C"/>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66"/>
    <w:rsid w:val="001806B6"/>
    <w:rsid w:val="00180DC7"/>
    <w:rsid w:val="00180E60"/>
    <w:rsid w:val="0018105C"/>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848"/>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27E"/>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25A"/>
    <w:rsid w:val="001D6581"/>
    <w:rsid w:val="001D6659"/>
    <w:rsid w:val="001D6E61"/>
    <w:rsid w:val="001D6F30"/>
    <w:rsid w:val="001D6F9A"/>
    <w:rsid w:val="001D6FE7"/>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3F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88C"/>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6BF5"/>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128"/>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063"/>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4D"/>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44"/>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4C8"/>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4EA4"/>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1BEC"/>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00"/>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590"/>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276"/>
    <w:rsid w:val="004525E6"/>
    <w:rsid w:val="004527C0"/>
    <w:rsid w:val="004536B5"/>
    <w:rsid w:val="00453871"/>
    <w:rsid w:val="00453DEF"/>
    <w:rsid w:val="00453E84"/>
    <w:rsid w:val="00453F94"/>
    <w:rsid w:val="004543E4"/>
    <w:rsid w:val="004546B1"/>
    <w:rsid w:val="004548E5"/>
    <w:rsid w:val="00454F08"/>
    <w:rsid w:val="00455105"/>
    <w:rsid w:val="004553C8"/>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0C"/>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0D8B"/>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07E0F"/>
    <w:rsid w:val="00510374"/>
    <w:rsid w:val="00510444"/>
    <w:rsid w:val="00510B25"/>
    <w:rsid w:val="00510B64"/>
    <w:rsid w:val="00510FF3"/>
    <w:rsid w:val="00511233"/>
    <w:rsid w:val="0051179B"/>
    <w:rsid w:val="00511B1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EE0"/>
    <w:rsid w:val="005A7F6B"/>
    <w:rsid w:val="005A7F72"/>
    <w:rsid w:val="005B00FD"/>
    <w:rsid w:val="005B0209"/>
    <w:rsid w:val="005B06EC"/>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5F3C"/>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3D5"/>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A2B"/>
    <w:rsid w:val="00763D32"/>
    <w:rsid w:val="00763F7A"/>
    <w:rsid w:val="00764A37"/>
    <w:rsid w:val="00764C3D"/>
    <w:rsid w:val="00764CDD"/>
    <w:rsid w:val="00764E4E"/>
    <w:rsid w:val="00764EB8"/>
    <w:rsid w:val="00764F42"/>
    <w:rsid w:val="00765098"/>
    <w:rsid w:val="007657DE"/>
    <w:rsid w:val="007657E5"/>
    <w:rsid w:val="0076598E"/>
    <w:rsid w:val="00765B4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2E2C"/>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4EBC"/>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6AC"/>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A75"/>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0ABF"/>
    <w:rsid w:val="008C1516"/>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7A0"/>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05"/>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59B"/>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0F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0A6"/>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8C3"/>
    <w:rsid w:val="009F2E50"/>
    <w:rsid w:val="009F2E7E"/>
    <w:rsid w:val="009F32A3"/>
    <w:rsid w:val="009F3713"/>
    <w:rsid w:val="009F3769"/>
    <w:rsid w:val="009F37A0"/>
    <w:rsid w:val="009F39A6"/>
    <w:rsid w:val="009F39E2"/>
    <w:rsid w:val="009F3A4B"/>
    <w:rsid w:val="009F3D85"/>
    <w:rsid w:val="009F3DF4"/>
    <w:rsid w:val="009F3E03"/>
    <w:rsid w:val="009F3E1D"/>
    <w:rsid w:val="009F41E1"/>
    <w:rsid w:val="009F4375"/>
    <w:rsid w:val="009F4834"/>
    <w:rsid w:val="009F4CDB"/>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7DD"/>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7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EFB"/>
    <w:rsid w:val="00A57F96"/>
    <w:rsid w:val="00A60163"/>
    <w:rsid w:val="00A6034D"/>
    <w:rsid w:val="00A6067D"/>
    <w:rsid w:val="00A606E6"/>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DE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527"/>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9B6"/>
    <w:rsid w:val="00B66B52"/>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CAA"/>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F01"/>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ECC"/>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A5A"/>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16"/>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2C9"/>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0E6"/>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3B01"/>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61E"/>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E22"/>
    <w:rsid w:val="00CF2FBF"/>
    <w:rsid w:val="00CF33BA"/>
    <w:rsid w:val="00CF3ABF"/>
    <w:rsid w:val="00CF3F01"/>
    <w:rsid w:val="00CF4079"/>
    <w:rsid w:val="00CF43E3"/>
    <w:rsid w:val="00CF46E1"/>
    <w:rsid w:val="00CF470F"/>
    <w:rsid w:val="00CF4743"/>
    <w:rsid w:val="00CF4D5E"/>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B59"/>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106"/>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0DC"/>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48A"/>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5C"/>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56"/>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28B"/>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B34"/>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D60"/>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4DC"/>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08"/>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3F36"/>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B5A"/>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2D8"/>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0C"/>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11"/>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44"/>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188725">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006003">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F8AF88C-F4B4-8445-9BAB-A1105E111D4F}">
  <ds:schemaRefs>
    <ds:schemaRef ds:uri="http://schemas.openxmlformats.org/officeDocument/2006/bibliography"/>
  </ds:schemaRefs>
</ds:datastoreItem>
</file>

<file path=customXml/itemProps4.xml><?xml version="1.0" encoding="utf-8"?>
<ds:datastoreItem xmlns:ds="http://schemas.openxmlformats.org/officeDocument/2006/customXml" ds:itemID="{9AD96ACC-12DC-5242-9651-DFF9A2ACA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TotalTime>
  <Pages>3</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4</cp:revision>
  <cp:lastPrinted>2017-11-08T23:02:00Z</cp:lastPrinted>
  <dcterms:created xsi:type="dcterms:W3CDTF">2019-04-01T18:12:00Z</dcterms:created>
  <dcterms:modified xsi:type="dcterms:W3CDTF">2019-04-01T18:25:00Z</dcterms:modified>
  <cp:category/>
</cp:coreProperties>
</file>