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0F4" w:rsidRPr="005650F4" w:rsidRDefault="005650F4" w:rsidP="005650F4">
      <w:pPr>
        <w:pStyle w:val="Header-3gppTdoc"/>
      </w:pPr>
      <w:r w:rsidRPr="005650F4">
        <w:t>3GPP TSG-RAN WG4 Meeting #90</w:t>
      </w:r>
      <w:r w:rsidRPr="005650F4">
        <w:tab/>
      </w:r>
      <w:r>
        <w:t xml:space="preserve"> </w:t>
      </w:r>
      <w:r>
        <w:tab/>
      </w:r>
      <w:r w:rsidRPr="00315E1C">
        <w:t>R4-190</w:t>
      </w:r>
      <w:r w:rsidR="00315E1C" w:rsidRPr="00315E1C">
        <w:t>0119</w:t>
      </w:r>
    </w:p>
    <w:p w:rsidR="00F25FDF" w:rsidRPr="00F25FDF" w:rsidRDefault="005650F4" w:rsidP="005650F4">
      <w:pPr>
        <w:pStyle w:val="Header-3gppTdoc"/>
      </w:pPr>
      <w:r w:rsidRPr="005650F4">
        <w:t>Athens</w:t>
      </w:r>
      <w:r w:rsidRPr="005650F4">
        <w:rPr>
          <w:rFonts w:hint="eastAsia"/>
        </w:rPr>
        <w:t xml:space="preserve">, </w:t>
      </w:r>
      <w:r w:rsidRPr="005650F4">
        <w:t>GR, 25</w:t>
      </w:r>
      <w:r w:rsidRPr="005650F4">
        <w:rPr>
          <w:vertAlign w:val="superscript"/>
        </w:rPr>
        <w:t xml:space="preserve">th </w:t>
      </w:r>
      <w:r w:rsidRPr="005650F4">
        <w:t>Feb –</w:t>
      </w:r>
      <w:r w:rsidRPr="005650F4">
        <w:rPr>
          <w:rFonts w:hint="eastAsia"/>
        </w:rPr>
        <w:t xml:space="preserve"> </w:t>
      </w:r>
      <w:r w:rsidRPr="005650F4">
        <w:t>1</w:t>
      </w:r>
      <w:r w:rsidRPr="005650F4">
        <w:rPr>
          <w:vertAlign w:val="superscript"/>
        </w:rPr>
        <w:t>st</w:t>
      </w:r>
      <w:r w:rsidRPr="005650F4">
        <w:t xml:space="preserve"> March, 2019</w:t>
      </w:r>
    </w:p>
    <w:p w:rsidR="00F25FDF" w:rsidRPr="00F25FDF" w:rsidRDefault="00F25FDF" w:rsidP="005650F4">
      <w:pPr>
        <w:pStyle w:val="Header-3gppTdoc"/>
        <w:spacing w:before="240"/>
      </w:pPr>
      <w:r w:rsidRPr="00F25FDF">
        <w:t xml:space="preserve">Agenda item:      </w:t>
      </w:r>
      <w:r w:rsidR="007E108E">
        <w:t xml:space="preserve"> </w:t>
      </w:r>
      <w:r w:rsidR="00194E1A">
        <w:t>6.14.1.3</w:t>
      </w:r>
    </w:p>
    <w:p w:rsidR="00F25FDF" w:rsidRPr="00F25FDF" w:rsidRDefault="00F25FDF" w:rsidP="005650F4">
      <w:pPr>
        <w:pStyle w:val="Header-3gppTdoc"/>
        <w:spacing w:before="240"/>
      </w:pPr>
      <w:r w:rsidRPr="00F25FDF">
        <w:t>Source:                Intel Corporation</w:t>
      </w:r>
    </w:p>
    <w:p w:rsidR="00F25FDF" w:rsidRPr="00F25FDF" w:rsidRDefault="00037226" w:rsidP="005650F4">
      <w:pPr>
        <w:pStyle w:val="Header-3gppTdoc"/>
        <w:tabs>
          <w:tab w:val="clear" w:pos="4153"/>
          <w:tab w:val="center" w:pos="1980"/>
        </w:tabs>
        <w:spacing w:before="240"/>
      </w:pPr>
      <w:r>
        <w:t>Title:</w:t>
      </w:r>
      <w:r>
        <w:tab/>
        <w:t xml:space="preserve">                     </w:t>
      </w:r>
      <w:r w:rsidR="00194E1A">
        <w:t xml:space="preserve">NR PBCH UE Performance Requirements </w:t>
      </w:r>
    </w:p>
    <w:p w:rsidR="00F25FDF" w:rsidRPr="00F25FDF" w:rsidRDefault="00F25FDF" w:rsidP="005650F4">
      <w:pPr>
        <w:pStyle w:val="Header-3gppTdoc"/>
        <w:spacing w:before="240"/>
      </w:pPr>
      <w:r w:rsidRPr="00F25FDF">
        <w:t>Document for:     Discussion</w:t>
      </w:r>
    </w:p>
    <w:p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Introduction</w:t>
      </w:r>
    </w:p>
    <w:p w:rsidR="00C96717" w:rsidRDefault="00C96717" w:rsidP="005D0E32">
      <w:pPr>
        <w:spacing w:before="120" w:after="120"/>
      </w:pPr>
      <w:r>
        <w:t xml:space="preserve">In RAN4#89 NR PBCH requirements were discussed and way forward [1] was approved. </w:t>
      </w:r>
      <w:r w:rsidR="00B60378">
        <w:t xml:space="preserve">Companies were encouraged to provide alignment and impairment results on the agreed test cases in order to define NR PBCH performance requirements.  </w:t>
      </w:r>
    </w:p>
    <w:p w:rsidR="00B13CAE" w:rsidRDefault="00C96717" w:rsidP="005D0E32">
      <w:pPr>
        <w:spacing w:before="120" w:after="120"/>
      </w:pPr>
      <w:r>
        <w:t>The open items and proposed way forward related to NR PBCH requirements are captured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96717" w:rsidTr="00C96717">
        <w:tc>
          <w:tcPr>
            <w:tcW w:w="9350" w:type="dxa"/>
          </w:tcPr>
          <w:p w:rsidR="002405A3" w:rsidRPr="00C96717" w:rsidRDefault="00421F2C" w:rsidP="005D0E32">
            <w:pPr>
              <w:spacing w:before="120" w:after="120"/>
              <w:rPr>
                <w:b/>
                <w:i/>
              </w:rPr>
            </w:pPr>
            <w:r w:rsidRPr="00C96717">
              <w:rPr>
                <w:b/>
                <w:i/>
              </w:rPr>
              <w:t>Necessity of 4Rx PBCH test cases</w:t>
            </w:r>
          </w:p>
          <w:p w:rsidR="002405A3" w:rsidRPr="00C96717" w:rsidRDefault="00421F2C" w:rsidP="005D0E32">
            <w:pPr>
              <w:numPr>
                <w:ilvl w:val="1"/>
                <w:numId w:val="24"/>
              </w:numPr>
              <w:spacing w:before="120" w:after="120"/>
              <w:rPr>
                <w:i/>
              </w:rPr>
            </w:pPr>
            <w:r w:rsidRPr="00C96717">
              <w:rPr>
                <w:i/>
              </w:rPr>
              <w:t>Option 1: introducing 4Rx PBCH test cases</w:t>
            </w:r>
          </w:p>
          <w:p w:rsidR="002405A3" w:rsidRPr="00C96717" w:rsidRDefault="00421F2C" w:rsidP="005D0E32">
            <w:pPr>
              <w:numPr>
                <w:ilvl w:val="1"/>
                <w:numId w:val="24"/>
              </w:numPr>
              <w:spacing w:before="120" w:after="120"/>
              <w:rPr>
                <w:i/>
              </w:rPr>
            </w:pPr>
            <w:r w:rsidRPr="00C96717">
              <w:rPr>
                <w:i/>
              </w:rPr>
              <w:t>Option 2: not introducing 4Rx PBCH test cases</w:t>
            </w:r>
          </w:p>
          <w:p w:rsidR="002405A3" w:rsidRPr="00C96717" w:rsidRDefault="00421F2C" w:rsidP="005D0E32">
            <w:pPr>
              <w:spacing w:before="120" w:after="120"/>
              <w:ind w:left="607"/>
              <w:rPr>
                <w:i/>
              </w:rPr>
            </w:pPr>
            <w:r w:rsidRPr="00C96717">
              <w:rPr>
                <w:i/>
              </w:rPr>
              <w:t>Proposal:</w:t>
            </w:r>
          </w:p>
          <w:p w:rsidR="002405A3" w:rsidRPr="00C96717" w:rsidRDefault="00421F2C" w:rsidP="005D0E32">
            <w:pPr>
              <w:numPr>
                <w:ilvl w:val="1"/>
                <w:numId w:val="24"/>
              </w:numPr>
              <w:spacing w:before="120" w:after="120"/>
              <w:rPr>
                <w:i/>
              </w:rPr>
            </w:pPr>
            <w:r w:rsidRPr="00C96717">
              <w:rPr>
                <w:i/>
              </w:rPr>
              <w:t>Further discuss whether to introduce 4Rx PBCH test cases after collecting results from more companies in next meeting</w:t>
            </w:r>
          </w:p>
          <w:p w:rsidR="002405A3" w:rsidRPr="00C96717" w:rsidRDefault="00421F2C" w:rsidP="005D0E32">
            <w:pPr>
              <w:numPr>
                <w:ilvl w:val="1"/>
                <w:numId w:val="24"/>
              </w:numPr>
              <w:spacing w:before="120" w:after="120"/>
              <w:rPr>
                <w:i/>
              </w:rPr>
            </w:pPr>
            <w:r w:rsidRPr="00C96717">
              <w:rPr>
                <w:i/>
              </w:rPr>
              <w:t xml:space="preserve">If 4Rx PBCH requirements is introduced, </w:t>
            </w:r>
          </w:p>
          <w:p w:rsidR="002405A3" w:rsidRPr="00C96717" w:rsidRDefault="00421F2C" w:rsidP="005D0E32">
            <w:pPr>
              <w:numPr>
                <w:ilvl w:val="2"/>
                <w:numId w:val="24"/>
              </w:numPr>
              <w:spacing w:before="120" w:after="120"/>
              <w:rPr>
                <w:i/>
              </w:rPr>
            </w:pPr>
            <w:r w:rsidRPr="00C96717">
              <w:rPr>
                <w:i/>
              </w:rPr>
              <w:t>whether to apply 4Rx PBCH requirements is up to UE declaration</w:t>
            </w:r>
          </w:p>
          <w:p w:rsidR="002405A3" w:rsidRPr="00C96717" w:rsidRDefault="00421F2C" w:rsidP="005D0E32">
            <w:pPr>
              <w:numPr>
                <w:ilvl w:val="2"/>
                <w:numId w:val="24"/>
              </w:numPr>
              <w:spacing w:before="120" w:after="120"/>
              <w:rPr>
                <w:i/>
              </w:rPr>
            </w:pPr>
            <w:r w:rsidRPr="00C96717">
              <w:rPr>
                <w:i/>
              </w:rPr>
              <w:t>Note the PBCH demodulation requirements do not need to be tested in RAN5 as same as LTE PBCH demodulation requirements. (i.e. no conformance requirements)</w:t>
            </w:r>
          </w:p>
          <w:p w:rsidR="002405A3" w:rsidRPr="00C96717" w:rsidRDefault="00421F2C" w:rsidP="005D0E32">
            <w:pPr>
              <w:spacing w:before="120" w:after="120"/>
              <w:rPr>
                <w:b/>
                <w:i/>
              </w:rPr>
            </w:pPr>
            <w:r w:rsidRPr="00C96717">
              <w:rPr>
                <w:b/>
                <w:i/>
              </w:rPr>
              <w:t>UE assumption on DMRS SSB index acquisition for PBCH demodulation</w:t>
            </w:r>
          </w:p>
          <w:p w:rsidR="002405A3" w:rsidRPr="00C96717" w:rsidRDefault="00421F2C" w:rsidP="005D0E32">
            <w:pPr>
              <w:numPr>
                <w:ilvl w:val="1"/>
                <w:numId w:val="24"/>
              </w:numPr>
              <w:spacing w:before="120" w:after="120"/>
              <w:rPr>
                <w:i/>
              </w:rPr>
            </w:pPr>
            <w:r w:rsidRPr="00C96717">
              <w:rPr>
                <w:i/>
                <w:lang w:val="en-GB"/>
              </w:rPr>
              <w:t>Option 1: Derive requirements assuming without  knowledge of  SSB  index</w:t>
            </w:r>
          </w:p>
          <w:p w:rsidR="002405A3" w:rsidRPr="00C96717" w:rsidRDefault="00421F2C" w:rsidP="005D0E32">
            <w:pPr>
              <w:numPr>
                <w:ilvl w:val="1"/>
                <w:numId w:val="24"/>
              </w:numPr>
              <w:spacing w:before="120" w:after="120"/>
              <w:rPr>
                <w:i/>
              </w:rPr>
            </w:pPr>
            <w:r w:rsidRPr="00C96717">
              <w:rPr>
                <w:i/>
                <w:lang w:val="en-GB"/>
              </w:rPr>
              <w:t xml:space="preserve">Option 2: Derive two kinds of requirements with and without knowledge of SSB index  </w:t>
            </w:r>
          </w:p>
          <w:p w:rsidR="002405A3" w:rsidRPr="00C96717" w:rsidRDefault="00421F2C" w:rsidP="005D0E32">
            <w:pPr>
              <w:spacing w:before="120" w:after="120"/>
              <w:ind w:left="697"/>
              <w:rPr>
                <w:i/>
              </w:rPr>
            </w:pPr>
            <w:r w:rsidRPr="00C96717">
              <w:rPr>
                <w:i/>
              </w:rPr>
              <w:t>Proposal:</w:t>
            </w:r>
          </w:p>
          <w:p w:rsidR="002405A3" w:rsidRPr="00C96717" w:rsidRDefault="00421F2C" w:rsidP="005D0E32">
            <w:pPr>
              <w:numPr>
                <w:ilvl w:val="1"/>
                <w:numId w:val="24"/>
              </w:numPr>
              <w:spacing w:before="120" w:after="120"/>
              <w:rPr>
                <w:i/>
              </w:rPr>
            </w:pPr>
            <w:r w:rsidRPr="00C96717">
              <w:rPr>
                <w:i/>
                <w:lang w:val="en-GB"/>
              </w:rPr>
              <w:t>Introduce</w:t>
            </w:r>
            <w:r w:rsidRPr="00C96717">
              <w:rPr>
                <w:i/>
              </w:rPr>
              <w:t xml:space="preserve"> PBCH requirements assuming without knowledge of SSB index. </w:t>
            </w:r>
          </w:p>
          <w:p w:rsidR="002405A3" w:rsidRPr="00C96717" w:rsidRDefault="00421F2C" w:rsidP="005D0E32">
            <w:pPr>
              <w:numPr>
                <w:ilvl w:val="2"/>
                <w:numId w:val="24"/>
              </w:numPr>
              <w:spacing w:before="120" w:after="120"/>
              <w:rPr>
                <w:i/>
              </w:rPr>
            </w:pPr>
            <w:r w:rsidRPr="00C96717">
              <w:rPr>
                <w:i/>
              </w:rPr>
              <w:t>PBCH requirements  is derived with the combination of SSB index detection probability and MIB decoding probability</w:t>
            </w:r>
          </w:p>
          <w:p w:rsidR="00C96717" w:rsidRDefault="00421F2C" w:rsidP="005D0E32">
            <w:pPr>
              <w:numPr>
                <w:ilvl w:val="1"/>
                <w:numId w:val="24"/>
              </w:numPr>
              <w:spacing w:before="120" w:after="120"/>
            </w:pPr>
            <w:r w:rsidRPr="00C96717">
              <w:rPr>
                <w:i/>
              </w:rPr>
              <w:t>Whether to introduce requirements with knowledge of SSB index will be further discussed after collecting results from more companies in next meeting</w:t>
            </w:r>
          </w:p>
        </w:tc>
      </w:tr>
    </w:tbl>
    <w:p w:rsidR="00C96717" w:rsidRDefault="00B60378" w:rsidP="005D0E32">
      <w:pPr>
        <w:spacing w:before="120" w:after="120"/>
      </w:pPr>
      <w:r>
        <w:t>In this contribution we provide simulation results for NR PBCH test cases and views on PBCH demodulation requirements.</w:t>
      </w:r>
    </w:p>
    <w:p w:rsidR="00F25FDF" w:rsidRDefault="00F25FDF" w:rsidP="00F25FDF"/>
    <w:p w:rsidR="00F25FDF" w:rsidRDefault="00C96717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lastRenderedPageBreak/>
        <w:t>Simulation Results</w:t>
      </w:r>
    </w:p>
    <w:p w:rsidR="00F25FDF" w:rsidRPr="00C96717" w:rsidRDefault="00C96717" w:rsidP="00C96717">
      <w:pPr>
        <w:pStyle w:val="Heading2"/>
        <w:numPr>
          <w:ilvl w:val="1"/>
          <w:numId w:val="28"/>
        </w:numPr>
        <w:rPr>
          <w:rFonts w:ascii="Arial" w:hAnsi="Arial" w:cs="Arial"/>
          <w:sz w:val="28"/>
        </w:rPr>
      </w:pPr>
      <w:r w:rsidRPr="00C96717">
        <w:rPr>
          <w:rFonts w:ascii="Arial" w:hAnsi="Arial" w:cs="Arial"/>
          <w:sz w:val="28"/>
        </w:rPr>
        <w:t>Simulation Assumptions</w:t>
      </w:r>
    </w:p>
    <w:p w:rsidR="00C96717" w:rsidRPr="005D0E32" w:rsidRDefault="00B60378" w:rsidP="005D0E32">
      <w:pPr>
        <w:spacing w:before="120" w:after="120"/>
      </w:pPr>
      <w:r w:rsidRPr="005D0E32">
        <w:t>The simulation parameters for PBCH test cases agreed in [1] are summarized below.</w:t>
      </w:r>
    </w:p>
    <w:p w:rsidR="00B60378" w:rsidRDefault="00B60378" w:rsidP="00C96717">
      <w:pPr>
        <w:rPr>
          <w:lang w:val="en-GB" w:eastAsia="en-GB"/>
        </w:rPr>
      </w:pPr>
    </w:p>
    <w:p w:rsidR="00E54836" w:rsidRDefault="00E54836" w:rsidP="00E54836">
      <w:pPr>
        <w:pStyle w:val="Caption"/>
        <w:keepNext/>
        <w:spacing w:before="120" w:after="120"/>
        <w:jc w:val="center"/>
      </w:pPr>
      <w:r>
        <w:t xml:space="preserve">Table </w:t>
      </w:r>
      <w:fldSimple w:instr=" SEQ Table \* ARABIC ">
        <w:r w:rsidR="00E67181">
          <w:rPr>
            <w:noProof/>
          </w:rPr>
          <w:t>1</w:t>
        </w:r>
      </w:fldSimple>
      <w:r>
        <w:t>: Common parameters for PBCH test cases</w:t>
      </w:r>
    </w:p>
    <w:tbl>
      <w:tblPr>
        <w:tblW w:w="530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573"/>
        <w:gridCol w:w="696"/>
        <w:gridCol w:w="1031"/>
      </w:tblGrid>
      <w:tr w:rsidR="00B60378" w:rsidRPr="00B60378" w:rsidTr="00B60378">
        <w:trPr>
          <w:trHeight w:val="240"/>
          <w:jc w:val="center"/>
        </w:trPr>
        <w:tc>
          <w:tcPr>
            <w:tcW w:w="357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378" w:rsidRPr="00B60378" w:rsidRDefault="00B60378" w:rsidP="00B60378">
            <w:pPr>
              <w:rPr>
                <w:lang w:eastAsia="en-GB"/>
              </w:rPr>
            </w:pPr>
            <w:r w:rsidRPr="00B60378">
              <w:rPr>
                <w:b/>
                <w:bCs/>
                <w:lang w:eastAsia="en-GB"/>
              </w:rPr>
              <w:t>Parameters</w:t>
            </w:r>
          </w:p>
        </w:tc>
        <w:tc>
          <w:tcPr>
            <w:tcW w:w="69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378" w:rsidRPr="00B60378" w:rsidRDefault="00B60378" w:rsidP="00B60378">
            <w:pPr>
              <w:rPr>
                <w:lang w:eastAsia="en-GB"/>
              </w:rPr>
            </w:pPr>
            <w:r w:rsidRPr="00B60378">
              <w:rPr>
                <w:b/>
                <w:bCs/>
                <w:lang w:eastAsia="en-GB"/>
              </w:rPr>
              <w:t>Unit</w:t>
            </w:r>
          </w:p>
        </w:tc>
        <w:tc>
          <w:tcPr>
            <w:tcW w:w="103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378" w:rsidRPr="00B60378" w:rsidRDefault="00B60378" w:rsidP="00B60378">
            <w:pPr>
              <w:rPr>
                <w:lang w:eastAsia="en-GB"/>
              </w:rPr>
            </w:pPr>
            <w:r w:rsidRPr="00B60378">
              <w:rPr>
                <w:b/>
                <w:bCs/>
                <w:lang w:eastAsia="en-GB"/>
              </w:rPr>
              <w:t>Value</w:t>
            </w:r>
          </w:p>
        </w:tc>
      </w:tr>
      <w:tr w:rsidR="00B60378" w:rsidRPr="00B60378" w:rsidTr="00B60378">
        <w:trPr>
          <w:trHeight w:val="270"/>
          <w:jc w:val="center"/>
        </w:trPr>
        <w:tc>
          <w:tcPr>
            <w:tcW w:w="357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378" w:rsidRPr="00B60378" w:rsidRDefault="00B60378" w:rsidP="00B60378">
            <w:pPr>
              <w:rPr>
                <w:lang w:eastAsia="en-GB"/>
              </w:rPr>
            </w:pPr>
            <w:r w:rsidRPr="00B60378">
              <w:rPr>
                <w:lang w:eastAsia="en-GB"/>
              </w:rPr>
              <w:t>Cell ID</w:t>
            </w:r>
          </w:p>
        </w:tc>
        <w:tc>
          <w:tcPr>
            <w:tcW w:w="69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378" w:rsidRPr="00B60378" w:rsidRDefault="00B60378" w:rsidP="00B60378">
            <w:pPr>
              <w:rPr>
                <w:lang w:eastAsia="en-GB"/>
              </w:rPr>
            </w:pPr>
          </w:p>
        </w:tc>
        <w:tc>
          <w:tcPr>
            <w:tcW w:w="103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378" w:rsidRPr="00B60378" w:rsidRDefault="00B60378" w:rsidP="00B60378">
            <w:pPr>
              <w:rPr>
                <w:lang w:eastAsia="en-GB"/>
              </w:rPr>
            </w:pPr>
            <w:r w:rsidRPr="00B60378">
              <w:rPr>
                <w:lang w:eastAsia="en-GB"/>
              </w:rPr>
              <w:t>0</w:t>
            </w:r>
          </w:p>
        </w:tc>
      </w:tr>
      <w:tr w:rsidR="00B60378" w:rsidRPr="00B60378" w:rsidTr="00B60378">
        <w:trPr>
          <w:trHeight w:val="270"/>
          <w:jc w:val="center"/>
        </w:trPr>
        <w:tc>
          <w:tcPr>
            <w:tcW w:w="357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378" w:rsidRPr="00B60378" w:rsidRDefault="00B60378" w:rsidP="00B60378">
            <w:pPr>
              <w:rPr>
                <w:lang w:eastAsia="en-GB"/>
              </w:rPr>
            </w:pPr>
            <w:r w:rsidRPr="00B60378">
              <w:rPr>
                <w:lang w:eastAsia="en-GB"/>
              </w:rPr>
              <w:t>CP length</w:t>
            </w:r>
          </w:p>
        </w:tc>
        <w:tc>
          <w:tcPr>
            <w:tcW w:w="6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378" w:rsidRPr="00B60378" w:rsidRDefault="00B60378" w:rsidP="00B60378">
            <w:pPr>
              <w:rPr>
                <w:lang w:eastAsia="en-GB"/>
              </w:rPr>
            </w:pPr>
          </w:p>
        </w:tc>
        <w:tc>
          <w:tcPr>
            <w:tcW w:w="10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378" w:rsidRPr="00B60378" w:rsidRDefault="00B60378" w:rsidP="00B60378">
            <w:pPr>
              <w:rPr>
                <w:lang w:eastAsia="en-GB"/>
              </w:rPr>
            </w:pPr>
            <w:r w:rsidRPr="00B60378">
              <w:rPr>
                <w:lang w:eastAsia="en-GB"/>
              </w:rPr>
              <w:t>Normal</w:t>
            </w:r>
          </w:p>
        </w:tc>
      </w:tr>
      <w:tr w:rsidR="00B60378" w:rsidRPr="00B60378" w:rsidTr="00B60378">
        <w:trPr>
          <w:trHeight w:val="342"/>
          <w:jc w:val="center"/>
        </w:trPr>
        <w:tc>
          <w:tcPr>
            <w:tcW w:w="357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378" w:rsidRPr="00B60378" w:rsidRDefault="00B60378" w:rsidP="00B60378">
            <w:pPr>
              <w:rPr>
                <w:lang w:eastAsia="en-GB"/>
              </w:rPr>
            </w:pPr>
            <w:r w:rsidRPr="00B60378">
              <w:rPr>
                <w:lang w:eastAsia="en-GB"/>
              </w:rPr>
              <w:t>Number of SS/PBCH blocks within an SS burst set periodicity</w:t>
            </w:r>
          </w:p>
        </w:tc>
        <w:tc>
          <w:tcPr>
            <w:tcW w:w="6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378" w:rsidRPr="00B60378" w:rsidRDefault="00B60378" w:rsidP="00B60378">
            <w:pPr>
              <w:rPr>
                <w:lang w:eastAsia="en-GB"/>
              </w:rPr>
            </w:pPr>
          </w:p>
        </w:tc>
        <w:tc>
          <w:tcPr>
            <w:tcW w:w="10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378" w:rsidRPr="00B60378" w:rsidRDefault="00B60378" w:rsidP="00B60378">
            <w:pPr>
              <w:rPr>
                <w:lang w:eastAsia="en-GB"/>
              </w:rPr>
            </w:pPr>
            <w:r w:rsidRPr="00B60378">
              <w:rPr>
                <w:lang w:eastAsia="en-GB"/>
              </w:rPr>
              <w:t>1</w:t>
            </w:r>
          </w:p>
        </w:tc>
      </w:tr>
      <w:tr w:rsidR="00B60378" w:rsidRPr="00B60378" w:rsidTr="00B60378">
        <w:trPr>
          <w:trHeight w:val="270"/>
          <w:jc w:val="center"/>
        </w:trPr>
        <w:tc>
          <w:tcPr>
            <w:tcW w:w="357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378" w:rsidRPr="00B60378" w:rsidRDefault="00B60378" w:rsidP="00B60378">
            <w:pPr>
              <w:rPr>
                <w:lang w:eastAsia="en-GB"/>
              </w:rPr>
            </w:pPr>
            <w:r w:rsidRPr="00B60378">
              <w:rPr>
                <w:lang w:eastAsia="en-GB"/>
              </w:rPr>
              <w:t>SS/PBCH block index</w:t>
            </w:r>
          </w:p>
        </w:tc>
        <w:tc>
          <w:tcPr>
            <w:tcW w:w="6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378" w:rsidRPr="00B60378" w:rsidRDefault="00B60378" w:rsidP="00B60378">
            <w:pPr>
              <w:rPr>
                <w:lang w:eastAsia="en-GB"/>
              </w:rPr>
            </w:pPr>
          </w:p>
        </w:tc>
        <w:tc>
          <w:tcPr>
            <w:tcW w:w="10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378" w:rsidRPr="00B60378" w:rsidRDefault="00B60378" w:rsidP="00B60378">
            <w:pPr>
              <w:rPr>
                <w:lang w:eastAsia="en-GB"/>
              </w:rPr>
            </w:pPr>
            <w:r w:rsidRPr="00B60378">
              <w:rPr>
                <w:lang w:eastAsia="en-GB"/>
              </w:rPr>
              <w:t>0</w:t>
            </w:r>
          </w:p>
        </w:tc>
      </w:tr>
      <w:tr w:rsidR="00B60378" w:rsidRPr="00B60378" w:rsidTr="00B60378">
        <w:trPr>
          <w:trHeight w:val="270"/>
          <w:jc w:val="center"/>
        </w:trPr>
        <w:tc>
          <w:tcPr>
            <w:tcW w:w="357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378" w:rsidRPr="00B60378" w:rsidRDefault="00B60378" w:rsidP="00B60378">
            <w:pPr>
              <w:rPr>
                <w:lang w:eastAsia="en-GB"/>
              </w:rPr>
            </w:pPr>
            <w:r w:rsidRPr="00B60378">
              <w:rPr>
                <w:lang w:eastAsia="en-GB"/>
              </w:rPr>
              <w:t>SS burst periodicity</w:t>
            </w:r>
          </w:p>
        </w:tc>
        <w:tc>
          <w:tcPr>
            <w:tcW w:w="6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378" w:rsidRPr="00B60378" w:rsidRDefault="00B60378" w:rsidP="00B60378">
            <w:pPr>
              <w:rPr>
                <w:lang w:eastAsia="en-GB"/>
              </w:rPr>
            </w:pPr>
            <w:proofErr w:type="spellStart"/>
            <w:r w:rsidRPr="00B60378">
              <w:rPr>
                <w:lang w:eastAsia="en-GB"/>
              </w:rPr>
              <w:t>ms</w:t>
            </w:r>
            <w:proofErr w:type="spellEnd"/>
          </w:p>
        </w:tc>
        <w:tc>
          <w:tcPr>
            <w:tcW w:w="10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378" w:rsidRPr="00B60378" w:rsidRDefault="00B60378" w:rsidP="00B60378">
            <w:pPr>
              <w:rPr>
                <w:lang w:eastAsia="en-GB"/>
              </w:rPr>
            </w:pPr>
            <w:r w:rsidRPr="00B60378">
              <w:rPr>
                <w:lang w:eastAsia="en-GB"/>
              </w:rPr>
              <w:t>20</w:t>
            </w:r>
          </w:p>
        </w:tc>
      </w:tr>
      <w:tr w:rsidR="00B60378" w:rsidRPr="00B60378" w:rsidTr="00B60378">
        <w:trPr>
          <w:trHeight w:val="270"/>
          <w:jc w:val="center"/>
        </w:trPr>
        <w:tc>
          <w:tcPr>
            <w:tcW w:w="357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378" w:rsidRPr="00B60378" w:rsidRDefault="00B60378" w:rsidP="00B60378">
            <w:pPr>
              <w:rPr>
                <w:lang w:eastAsia="en-GB"/>
              </w:rPr>
            </w:pPr>
            <w:r w:rsidRPr="00B60378">
              <w:rPr>
                <w:lang w:eastAsia="en-GB"/>
              </w:rPr>
              <w:t>MIB size</w:t>
            </w:r>
          </w:p>
        </w:tc>
        <w:tc>
          <w:tcPr>
            <w:tcW w:w="6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378" w:rsidRPr="00B60378" w:rsidRDefault="00B60378" w:rsidP="00B60378">
            <w:pPr>
              <w:rPr>
                <w:lang w:eastAsia="en-GB"/>
              </w:rPr>
            </w:pPr>
            <w:r w:rsidRPr="00B60378">
              <w:rPr>
                <w:lang w:eastAsia="en-GB"/>
              </w:rPr>
              <w:t>bits</w:t>
            </w:r>
          </w:p>
        </w:tc>
        <w:tc>
          <w:tcPr>
            <w:tcW w:w="10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378" w:rsidRPr="00B60378" w:rsidRDefault="00B60378" w:rsidP="00B60378">
            <w:pPr>
              <w:rPr>
                <w:lang w:eastAsia="en-GB"/>
              </w:rPr>
            </w:pPr>
            <w:r w:rsidRPr="00B60378">
              <w:rPr>
                <w:lang w:eastAsia="en-GB"/>
              </w:rPr>
              <w:t>24</w:t>
            </w:r>
          </w:p>
        </w:tc>
      </w:tr>
      <w:tr w:rsidR="00B60378" w:rsidRPr="00B60378" w:rsidTr="00B60378">
        <w:trPr>
          <w:trHeight w:val="210"/>
          <w:jc w:val="center"/>
        </w:trPr>
        <w:tc>
          <w:tcPr>
            <w:tcW w:w="357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378" w:rsidRPr="00B60378" w:rsidRDefault="00B60378" w:rsidP="00B60378">
            <w:pPr>
              <w:rPr>
                <w:lang w:eastAsia="en-GB"/>
              </w:rPr>
            </w:pPr>
            <w:r w:rsidRPr="00B60378">
              <w:rPr>
                <w:lang w:eastAsia="en-GB"/>
              </w:rPr>
              <w:t>PBCH payload size (including 24 bits CRC and 8 bits of SS/PBCH location information)</w:t>
            </w:r>
          </w:p>
        </w:tc>
        <w:tc>
          <w:tcPr>
            <w:tcW w:w="6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378" w:rsidRPr="00B60378" w:rsidRDefault="00B60378" w:rsidP="00B60378">
            <w:pPr>
              <w:rPr>
                <w:lang w:eastAsia="en-GB"/>
              </w:rPr>
            </w:pPr>
            <w:r w:rsidRPr="00B60378">
              <w:rPr>
                <w:lang w:eastAsia="en-GB"/>
              </w:rPr>
              <w:t>bits</w:t>
            </w:r>
          </w:p>
        </w:tc>
        <w:tc>
          <w:tcPr>
            <w:tcW w:w="10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378" w:rsidRPr="00B60378" w:rsidRDefault="00B60378" w:rsidP="00B60378">
            <w:pPr>
              <w:rPr>
                <w:lang w:eastAsia="en-GB"/>
              </w:rPr>
            </w:pPr>
            <w:r w:rsidRPr="00B60378">
              <w:rPr>
                <w:lang w:eastAsia="en-GB"/>
              </w:rPr>
              <w:t>56</w:t>
            </w:r>
          </w:p>
        </w:tc>
      </w:tr>
      <w:tr w:rsidR="00B60378" w:rsidRPr="00B60378" w:rsidTr="00B60378">
        <w:trPr>
          <w:trHeight w:val="210"/>
          <w:jc w:val="center"/>
        </w:trPr>
        <w:tc>
          <w:tcPr>
            <w:tcW w:w="357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378" w:rsidRPr="00B60378" w:rsidRDefault="00B60378" w:rsidP="00B60378">
            <w:pPr>
              <w:rPr>
                <w:lang w:eastAsia="en-GB"/>
              </w:rPr>
            </w:pPr>
            <w:r w:rsidRPr="00B60378">
              <w:rPr>
                <w:lang w:eastAsia="en-GB"/>
              </w:rPr>
              <w:t>Receiver assumption</w:t>
            </w:r>
          </w:p>
        </w:tc>
        <w:tc>
          <w:tcPr>
            <w:tcW w:w="6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378" w:rsidRPr="00B60378" w:rsidRDefault="00B60378" w:rsidP="00B60378">
            <w:pPr>
              <w:rPr>
                <w:lang w:eastAsia="en-GB"/>
              </w:rPr>
            </w:pPr>
          </w:p>
        </w:tc>
        <w:tc>
          <w:tcPr>
            <w:tcW w:w="10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378" w:rsidRPr="00B60378" w:rsidRDefault="00B60378" w:rsidP="00B60378">
            <w:pPr>
              <w:rPr>
                <w:lang w:eastAsia="en-GB"/>
              </w:rPr>
            </w:pPr>
            <w:r w:rsidRPr="00B60378">
              <w:rPr>
                <w:lang w:eastAsia="en-GB"/>
              </w:rPr>
              <w:t>LMMSE</w:t>
            </w:r>
          </w:p>
        </w:tc>
      </w:tr>
    </w:tbl>
    <w:p w:rsidR="00B60378" w:rsidRDefault="00B60378" w:rsidP="00C96717">
      <w:pPr>
        <w:rPr>
          <w:lang w:val="en-GB" w:eastAsia="en-GB"/>
        </w:rPr>
      </w:pPr>
    </w:p>
    <w:p w:rsidR="00E54836" w:rsidRDefault="00E54836" w:rsidP="00E54836">
      <w:pPr>
        <w:pStyle w:val="Caption"/>
        <w:keepNext/>
        <w:spacing w:before="120" w:after="120"/>
        <w:jc w:val="center"/>
      </w:pPr>
      <w:r>
        <w:t xml:space="preserve">Table </w:t>
      </w:r>
      <w:fldSimple w:instr=" SEQ Table \* ARABIC ">
        <w:r w:rsidR="00E67181">
          <w:rPr>
            <w:noProof/>
          </w:rPr>
          <w:t>2</w:t>
        </w:r>
      </w:fldSimple>
      <w:r>
        <w:t>: Test cases for PBCH Demodulation</w:t>
      </w:r>
    </w:p>
    <w:tbl>
      <w:tblPr>
        <w:tblW w:w="7937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30"/>
        <w:gridCol w:w="1543"/>
        <w:gridCol w:w="1470"/>
        <w:gridCol w:w="1470"/>
        <w:gridCol w:w="1324"/>
      </w:tblGrid>
      <w:tr w:rsidR="00E54836" w:rsidRPr="00E54836" w:rsidTr="00E54836">
        <w:trPr>
          <w:trHeight w:val="356"/>
          <w:jc w:val="center"/>
        </w:trPr>
        <w:tc>
          <w:tcPr>
            <w:tcW w:w="213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b/>
                <w:bCs/>
                <w:lang w:eastAsia="en-GB"/>
              </w:rPr>
              <w:t>Parameters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b/>
                <w:bCs/>
                <w:lang w:eastAsia="en-GB"/>
              </w:rPr>
              <w:t>Test 1</w:t>
            </w:r>
          </w:p>
        </w:tc>
        <w:tc>
          <w:tcPr>
            <w:tcW w:w="147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b/>
                <w:bCs/>
                <w:lang w:eastAsia="en-GB"/>
              </w:rPr>
              <w:t>Test 2</w:t>
            </w:r>
          </w:p>
        </w:tc>
        <w:tc>
          <w:tcPr>
            <w:tcW w:w="147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b/>
                <w:bCs/>
                <w:lang w:eastAsia="en-GB"/>
              </w:rPr>
              <w:t>Test 3</w:t>
            </w:r>
          </w:p>
        </w:tc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b/>
                <w:bCs/>
                <w:lang w:eastAsia="en-GB"/>
              </w:rPr>
              <w:t>Test 4</w:t>
            </w:r>
          </w:p>
        </w:tc>
      </w:tr>
      <w:tr w:rsidR="00E54836" w:rsidRPr="00E54836" w:rsidTr="00E54836">
        <w:trPr>
          <w:trHeight w:val="147"/>
          <w:jc w:val="center"/>
        </w:trPr>
        <w:tc>
          <w:tcPr>
            <w:tcW w:w="213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Frequency Range</w:t>
            </w:r>
          </w:p>
        </w:tc>
        <w:tc>
          <w:tcPr>
            <w:tcW w:w="154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FR1</w:t>
            </w:r>
          </w:p>
        </w:tc>
        <w:tc>
          <w:tcPr>
            <w:tcW w:w="147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FR1</w:t>
            </w:r>
          </w:p>
        </w:tc>
        <w:tc>
          <w:tcPr>
            <w:tcW w:w="147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FR2</w:t>
            </w:r>
          </w:p>
        </w:tc>
        <w:tc>
          <w:tcPr>
            <w:tcW w:w="132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FR2</w:t>
            </w:r>
          </w:p>
        </w:tc>
      </w:tr>
      <w:tr w:rsidR="00E54836" w:rsidRPr="00E54836" w:rsidTr="00E54836">
        <w:trPr>
          <w:trHeight w:val="34"/>
          <w:jc w:val="center"/>
        </w:trPr>
        <w:tc>
          <w:tcPr>
            <w:tcW w:w="21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Channel Bandwidth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10MHz</w:t>
            </w:r>
          </w:p>
        </w:tc>
        <w:tc>
          <w:tcPr>
            <w:tcW w:w="14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40MHz</w:t>
            </w:r>
          </w:p>
        </w:tc>
        <w:tc>
          <w:tcPr>
            <w:tcW w:w="14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100MHz</w:t>
            </w:r>
          </w:p>
        </w:tc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100MHz</w:t>
            </w:r>
          </w:p>
        </w:tc>
      </w:tr>
      <w:tr w:rsidR="00E54836" w:rsidRPr="00E54836" w:rsidTr="00E54836">
        <w:trPr>
          <w:trHeight w:val="16"/>
          <w:jc w:val="center"/>
        </w:trPr>
        <w:tc>
          <w:tcPr>
            <w:tcW w:w="21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SS/PBCH SCS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15kHz</w:t>
            </w:r>
          </w:p>
        </w:tc>
        <w:tc>
          <w:tcPr>
            <w:tcW w:w="14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30kHz</w:t>
            </w:r>
          </w:p>
        </w:tc>
        <w:tc>
          <w:tcPr>
            <w:tcW w:w="14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120kHz</w:t>
            </w:r>
          </w:p>
        </w:tc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240kHz</w:t>
            </w:r>
          </w:p>
        </w:tc>
      </w:tr>
      <w:tr w:rsidR="00E54836" w:rsidRPr="00E54836" w:rsidTr="00E54836">
        <w:trPr>
          <w:trHeight w:val="151"/>
          <w:jc w:val="center"/>
        </w:trPr>
        <w:tc>
          <w:tcPr>
            <w:tcW w:w="21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SS Block pattern</w:t>
            </w:r>
          </w:p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(Note 1)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Case A</w:t>
            </w:r>
          </w:p>
        </w:tc>
        <w:tc>
          <w:tcPr>
            <w:tcW w:w="14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Case B</w:t>
            </w:r>
          </w:p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Case C</w:t>
            </w:r>
          </w:p>
        </w:tc>
        <w:tc>
          <w:tcPr>
            <w:tcW w:w="14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Case D</w:t>
            </w:r>
          </w:p>
        </w:tc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Case E</w:t>
            </w:r>
          </w:p>
        </w:tc>
      </w:tr>
      <w:tr w:rsidR="00E54836" w:rsidRPr="00E54836" w:rsidTr="00E54836">
        <w:trPr>
          <w:trHeight w:val="151"/>
          <w:jc w:val="center"/>
        </w:trPr>
        <w:tc>
          <w:tcPr>
            <w:tcW w:w="21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Antenna Configuration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1x2</w:t>
            </w:r>
          </w:p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1x4</w:t>
            </w:r>
          </w:p>
        </w:tc>
        <w:tc>
          <w:tcPr>
            <w:tcW w:w="14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1x2</w:t>
            </w:r>
          </w:p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1x4</w:t>
            </w:r>
          </w:p>
        </w:tc>
        <w:tc>
          <w:tcPr>
            <w:tcW w:w="14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1x2</w:t>
            </w:r>
          </w:p>
        </w:tc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1x2</w:t>
            </w:r>
          </w:p>
        </w:tc>
      </w:tr>
      <w:tr w:rsidR="00E54836" w:rsidRPr="00E54836" w:rsidTr="00E54836">
        <w:trPr>
          <w:trHeight w:val="16"/>
          <w:jc w:val="center"/>
        </w:trPr>
        <w:tc>
          <w:tcPr>
            <w:tcW w:w="21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Propagation channel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TDLC300-100</w:t>
            </w:r>
          </w:p>
        </w:tc>
        <w:tc>
          <w:tcPr>
            <w:tcW w:w="14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TDLA30-10</w:t>
            </w:r>
          </w:p>
        </w:tc>
        <w:tc>
          <w:tcPr>
            <w:tcW w:w="14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TDLA30-300</w:t>
            </w:r>
          </w:p>
        </w:tc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TDLA30-75</w:t>
            </w:r>
          </w:p>
        </w:tc>
      </w:tr>
      <w:tr w:rsidR="00E54836" w:rsidRPr="00E54836" w:rsidTr="00E54836">
        <w:trPr>
          <w:trHeight w:val="16"/>
          <w:jc w:val="center"/>
        </w:trPr>
        <w:tc>
          <w:tcPr>
            <w:tcW w:w="21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 xml:space="preserve">Assumption on DMRS SSB index acquisition </w:t>
            </w:r>
          </w:p>
        </w:tc>
        <w:tc>
          <w:tcPr>
            <w:tcW w:w="5807" w:type="dxa"/>
            <w:gridSpan w:val="4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a: SS/PBCH block index is known</w:t>
            </w:r>
          </w:p>
          <w:p w:rsidR="00E54836" w:rsidRPr="00E54836" w:rsidRDefault="00E54836" w:rsidP="00E54836">
            <w:pPr>
              <w:rPr>
                <w:lang w:eastAsia="en-GB"/>
              </w:rPr>
            </w:pPr>
            <w:r w:rsidRPr="00E54836">
              <w:rPr>
                <w:lang w:eastAsia="en-GB"/>
              </w:rPr>
              <w:t>b: SS/PBCH block index is not known</w:t>
            </w:r>
          </w:p>
        </w:tc>
      </w:tr>
    </w:tbl>
    <w:p w:rsidR="00E54836" w:rsidRDefault="00E54836" w:rsidP="00C96717">
      <w:pPr>
        <w:rPr>
          <w:lang w:val="en-GB" w:eastAsia="en-GB"/>
        </w:rPr>
      </w:pPr>
    </w:p>
    <w:p w:rsidR="00E54836" w:rsidRPr="005D0E32" w:rsidRDefault="00E2179D" w:rsidP="005D0E32">
      <w:pPr>
        <w:spacing w:before="120" w:after="120"/>
      </w:pPr>
      <w:r>
        <w:t>The UE combines PBCH symbols for the same SSB index within t</w:t>
      </w:r>
      <w:r w:rsidRPr="005D0E32">
        <w:t>he MIB TTI.</w:t>
      </w:r>
    </w:p>
    <w:p w:rsidR="00C96717" w:rsidRDefault="00C96717" w:rsidP="00C96717">
      <w:pPr>
        <w:pStyle w:val="Heading2"/>
        <w:numPr>
          <w:ilvl w:val="1"/>
          <w:numId w:val="28"/>
        </w:numPr>
        <w:rPr>
          <w:rFonts w:ascii="Arial" w:hAnsi="Arial" w:cs="Arial"/>
          <w:sz w:val="28"/>
        </w:rPr>
      </w:pPr>
      <w:r w:rsidRPr="00C3281C">
        <w:rPr>
          <w:rFonts w:ascii="Arial" w:hAnsi="Arial" w:cs="Arial"/>
          <w:sz w:val="28"/>
        </w:rPr>
        <w:lastRenderedPageBreak/>
        <w:t>FR1 Results</w:t>
      </w:r>
    </w:p>
    <w:p w:rsidR="00EA2494" w:rsidRPr="005D0E32" w:rsidRDefault="00E54836" w:rsidP="005D0E32">
      <w:pPr>
        <w:spacing w:before="120" w:after="120"/>
      </w:pPr>
      <w:r w:rsidRPr="005D0E32">
        <w:t>In this section we present alignment results for FR1 test cases with 2Rx and 4Rx.</w:t>
      </w:r>
    </w:p>
    <w:p w:rsidR="00EA2494" w:rsidRDefault="00EA2494" w:rsidP="00E54836">
      <w:pPr>
        <w:rPr>
          <w:lang w:val="en-GB" w:eastAsia="en-GB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EA2494" w:rsidRPr="00EA2494" w:rsidTr="00EA2494">
        <w:tc>
          <w:tcPr>
            <w:tcW w:w="4675" w:type="dxa"/>
            <w:vAlign w:val="center"/>
          </w:tcPr>
          <w:p w:rsidR="00EA2494" w:rsidRPr="00EA2494" w:rsidRDefault="00EA2494" w:rsidP="00EA2494">
            <w:pPr>
              <w:jc w:val="center"/>
              <w:rPr>
                <w:b/>
                <w:lang w:val="en-GB" w:eastAsia="en-GB"/>
              </w:rPr>
            </w:pPr>
            <w:r w:rsidRPr="00EA2494">
              <w:rPr>
                <w:b/>
                <w:lang w:val="en-GB" w:eastAsia="en-GB"/>
              </w:rPr>
              <w:t>2Rx</w:t>
            </w:r>
          </w:p>
        </w:tc>
        <w:tc>
          <w:tcPr>
            <w:tcW w:w="4675" w:type="dxa"/>
            <w:vAlign w:val="center"/>
          </w:tcPr>
          <w:p w:rsidR="00EA2494" w:rsidRPr="00EA2494" w:rsidRDefault="00EA2494" w:rsidP="00EA2494">
            <w:pPr>
              <w:jc w:val="center"/>
              <w:rPr>
                <w:b/>
                <w:lang w:val="en-GB" w:eastAsia="en-GB"/>
              </w:rPr>
            </w:pPr>
            <w:r w:rsidRPr="00EA2494">
              <w:rPr>
                <w:b/>
                <w:lang w:val="en-GB" w:eastAsia="en-GB"/>
              </w:rPr>
              <w:t>4Rx</w:t>
            </w:r>
          </w:p>
        </w:tc>
      </w:tr>
      <w:tr w:rsidR="00EA2494" w:rsidTr="00EA2494">
        <w:tc>
          <w:tcPr>
            <w:tcW w:w="4675" w:type="dxa"/>
            <w:vAlign w:val="center"/>
          </w:tcPr>
          <w:p w:rsidR="00EA2494" w:rsidRDefault="00EA2494" w:rsidP="00EA2494">
            <w:pPr>
              <w:jc w:val="center"/>
              <w:rPr>
                <w:lang w:val="en-GB" w:eastAsia="en-GB"/>
              </w:rPr>
            </w:pPr>
            <w:r w:rsidRPr="00EA2494">
              <w:rPr>
                <w:noProof/>
              </w:rPr>
              <w:drawing>
                <wp:inline distT="0" distB="0" distL="0" distR="0">
                  <wp:extent cx="2830830" cy="212280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830" cy="2122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  <w:vAlign w:val="center"/>
          </w:tcPr>
          <w:p w:rsidR="00EA2494" w:rsidRDefault="00EA2494" w:rsidP="00EA2494">
            <w:pPr>
              <w:jc w:val="center"/>
              <w:rPr>
                <w:lang w:val="en-GB" w:eastAsia="en-GB"/>
              </w:rPr>
            </w:pPr>
            <w:r w:rsidRPr="00EA2494">
              <w:rPr>
                <w:noProof/>
              </w:rPr>
              <w:drawing>
                <wp:inline distT="0" distB="0" distL="0" distR="0">
                  <wp:extent cx="2827655" cy="212026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7655" cy="2120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2494" w:rsidTr="00EA2494">
        <w:tc>
          <w:tcPr>
            <w:tcW w:w="4675" w:type="dxa"/>
            <w:vAlign w:val="center"/>
          </w:tcPr>
          <w:p w:rsidR="00EA2494" w:rsidRDefault="00EA2494" w:rsidP="00EA2494">
            <w:pPr>
              <w:jc w:val="center"/>
              <w:rPr>
                <w:lang w:val="en-GB" w:eastAsia="en-GB"/>
              </w:rPr>
            </w:pPr>
            <w:r w:rsidRPr="00EA2494">
              <w:rPr>
                <w:noProof/>
              </w:rPr>
              <w:drawing>
                <wp:inline distT="0" distB="0" distL="0" distR="0">
                  <wp:extent cx="2830830" cy="212280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830" cy="2122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  <w:vAlign w:val="center"/>
          </w:tcPr>
          <w:p w:rsidR="00EA2494" w:rsidRDefault="00EA2494" w:rsidP="00EA2494">
            <w:pPr>
              <w:jc w:val="center"/>
              <w:rPr>
                <w:lang w:val="en-GB" w:eastAsia="en-GB"/>
              </w:rPr>
            </w:pPr>
            <w:r w:rsidRPr="00EA2494">
              <w:rPr>
                <w:noProof/>
              </w:rPr>
              <w:drawing>
                <wp:inline distT="0" distB="0" distL="0" distR="0">
                  <wp:extent cx="2827655" cy="212026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7655" cy="2120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2494" w:rsidTr="00EA2494">
        <w:tc>
          <w:tcPr>
            <w:tcW w:w="4675" w:type="dxa"/>
            <w:vAlign w:val="center"/>
          </w:tcPr>
          <w:p w:rsidR="00EA2494" w:rsidRDefault="00EA2494" w:rsidP="00EA2494">
            <w:pPr>
              <w:jc w:val="center"/>
              <w:rPr>
                <w:lang w:val="en-GB" w:eastAsia="en-GB"/>
              </w:rPr>
            </w:pPr>
            <w:r w:rsidRPr="00EA2494">
              <w:rPr>
                <w:noProof/>
              </w:rPr>
              <w:drawing>
                <wp:inline distT="0" distB="0" distL="0" distR="0">
                  <wp:extent cx="2830830" cy="212280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830" cy="2122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  <w:vAlign w:val="center"/>
          </w:tcPr>
          <w:p w:rsidR="00EA2494" w:rsidRDefault="00EA2494" w:rsidP="005D0E32">
            <w:pPr>
              <w:keepNext/>
              <w:jc w:val="center"/>
              <w:rPr>
                <w:lang w:val="en-GB" w:eastAsia="en-GB"/>
              </w:rPr>
            </w:pPr>
            <w:r w:rsidRPr="00EA2494">
              <w:rPr>
                <w:noProof/>
              </w:rPr>
              <w:drawing>
                <wp:inline distT="0" distB="0" distL="0" distR="0">
                  <wp:extent cx="2827655" cy="212026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7655" cy="2120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A2494" w:rsidRDefault="005D0E32" w:rsidP="005D0E32">
      <w:pPr>
        <w:pStyle w:val="Caption"/>
        <w:spacing w:before="120" w:after="120"/>
        <w:jc w:val="center"/>
        <w:rPr>
          <w:lang w:val="en-GB" w:eastAsia="en-GB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: PBCH Simulation results in FR1</w:t>
      </w:r>
    </w:p>
    <w:p w:rsidR="00EA2494" w:rsidRDefault="00EA2494" w:rsidP="00E54836">
      <w:pPr>
        <w:rPr>
          <w:lang w:val="en-GB" w:eastAsia="en-GB"/>
        </w:rPr>
      </w:pPr>
    </w:p>
    <w:p w:rsidR="005D0E32" w:rsidRDefault="005D0E32" w:rsidP="00E54836">
      <w:pPr>
        <w:rPr>
          <w:lang w:val="en-GB" w:eastAsia="en-GB"/>
        </w:rPr>
      </w:pPr>
    </w:p>
    <w:p w:rsidR="005D0E32" w:rsidRDefault="005D0E32" w:rsidP="00E54836">
      <w:pPr>
        <w:rPr>
          <w:lang w:val="en-GB" w:eastAsia="en-GB"/>
        </w:rPr>
      </w:pPr>
    </w:p>
    <w:p w:rsidR="00E54836" w:rsidRDefault="00E54836" w:rsidP="005D0E32">
      <w:pPr>
        <w:spacing w:before="120" w:after="120"/>
      </w:pPr>
      <w:r w:rsidRPr="005D0E32">
        <w:lastRenderedPageBreak/>
        <w:t xml:space="preserve">The tables capture the SNR (dB) @ 1% </w:t>
      </w:r>
      <w:r w:rsidRPr="00C3281C">
        <w:t>Pm-bch</w:t>
      </w:r>
      <w:r>
        <w:t>. The simulations are run with and without PBCH-DMRS sequence detection.</w:t>
      </w:r>
    </w:p>
    <w:p w:rsidR="00E2179D" w:rsidRPr="00E54836" w:rsidRDefault="00E2179D" w:rsidP="00E54836">
      <w:pPr>
        <w:rPr>
          <w:lang w:val="en-GB" w:eastAsia="en-GB"/>
        </w:rPr>
      </w:pPr>
    </w:p>
    <w:p w:rsidR="00EA2494" w:rsidRDefault="00EA2494" w:rsidP="005D0E32">
      <w:pPr>
        <w:pStyle w:val="Caption"/>
        <w:spacing w:before="120" w:after="120"/>
        <w:jc w:val="center"/>
      </w:pPr>
      <w:r>
        <w:t xml:space="preserve">Table </w:t>
      </w:r>
      <w:fldSimple w:instr=" SEQ Table \* ARABIC ">
        <w:r w:rsidR="00E67181">
          <w:rPr>
            <w:noProof/>
          </w:rPr>
          <w:t>3</w:t>
        </w:r>
      </w:fldSimple>
      <w:r>
        <w:t xml:space="preserve">: </w:t>
      </w:r>
      <w:r w:rsidRPr="005D0E32">
        <w:t xml:space="preserve">Alignment </w:t>
      </w:r>
      <w:r>
        <w:t>results for PBCH in FR1 with 2Rx</w:t>
      </w:r>
    </w:p>
    <w:tbl>
      <w:tblPr>
        <w:tblW w:w="9153" w:type="dxa"/>
        <w:jc w:val="center"/>
        <w:tblLook w:val="04A0" w:firstRow="1" w:lastRow="0" w:firstColumn="1" w:lastColumn="0" w:noHBand="0" w:noVBand="1"/>
      </w:tblPr>
      <w:tblGrid>
        <w:gridCol w:w="1038"/>
        <w:gridCol w:w="1044"/>
        <w:gridCol w:w="942"/>
        <w:gridCol w:w="1013"/>
        <w:gridCol w:w="1342"/>
        <w:gridCol w:w="1686"/>
        <w:gridCol w:w="1044"/>
        <w:gridCol w:w="1044"/>
      </w:tblGrid>
      <w:tr w:rsidR="00EA2494" w:rsidRPr="00C3281C" w:rsidTr="008A5E3A">
        <w:trPr>
          <w:trHeight w:val="217"/>
          <w:jc w:val="center"/>
        </w:trPr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494" w:rsidRPr="00C3281C" w:rsidRDefault="00EA2494" w:rsidP="00ED6DF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494" w:rsidRPr="00C3281C" w:rsidRDefault="00EA2494" w:rsidP="00ED6DF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Channel BW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494" w:rsidRPr="00C3281C" w:rsidRDefault="00EA2494" w:rsidP="00ED6DF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SS/PBCH SCS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494" w:rsidRPr="00C3281C" w:rsidRDefault="00EA2494" w:rsidP="00ED6DF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SS Block pattern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494" w:rsidRPr="00C3281C" w:rsidRDefault="00EA2494" w:rsidP="00ED6DF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Antenna configuration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494" w:rsidRPr="00C3281C" w:rsidRDefault="00EA2494" w:rsidP="00ED6DF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Propagation channel</w:t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494" w:rsidRPr="00C3281C" w:rsidRDefault="00EA2494" w:rsidP="00ED6DF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SNR @ 1% Pm-bch</w:t>
            </w:r>
          </w:p>
        </w:tc>
      </w:tr>
      <w:tr w:rsidR="00EA2494" w:rsidRPr="00C3281C" w:rsidTr="00EA2494">
        <w:trPr>
          <w:trHeight w:val="216"/>
          <w:jc w:val="center"/>
        </w:trPr>
        <w:tc>
          <w:tcPr>
            <w:tcW w:w="1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494" w:rsidRPr="00C3281C" w:rsidRDefault="00EA2494" w:rsidP="00ED6DF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0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494" w:rsidRPr="00C3281C" w:rsidRDefault="00EA2494" w:rsidP="00ED6DF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494" w:rsidRPr="00C3281C" w:rsidRDefault="00EA2494" w:rsidP="00ED6DF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0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494" w:rsidRPr="00C3281C" w:rsidRDefault="00EA2494" w:rsidP="00ED6DF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3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494" w:rsidRPr="00C3281C" w:rsidRDefault="00EA2494" w:rsidP="00ED6DF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6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494" w:rsidRPr="00C3281C" w:rsidRDefault="00EA2494" w:rsidP="00ED6DF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494" w:rsidRPr="00C3281C" w:rsidRDefault="00EA2494" w:rsidP="00ED6DF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With DMRS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Seq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Det</w:t>
            </w:r>
            <w:proofErr w:type="spellEnd"/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494" w:rsidRPr="00C3281C" w:rsidRDefault="00EA2494" w:rsidP="00ED6DF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Without DMRS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Seq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Det</w:t>
            </w:r>
            <w:proofErr w:type="spellEnd"/>
          </w:p>
        </w:tc>
      </w:tr>
      <w:tr w:rsidR="00EA2494" w:rsidRPr="00C3281C" w:rsidTr="00EA2494">
        <w:trPr>
          <w:trHeight w:val="211"/>
          <w:jc w:val="center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Test 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10MHz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15kHz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Case 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1x2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TDL-C-300; 100Hz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494" w:rsidRDefault="00EA2494" w:rsidP="00EA249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-8.9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494" w:rsidRDefault="00EA2494" w:rsidP="00EA24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-9.8</w:t>
            </w:r>
          </w:p>
        </w:tc>
      </w:tr>
      <w:tr w:rsidR="00EA2494" w:rsidRPr="00C3281C" w:rsidTr="00EA2494">
        <w:trPr>
          <w:trHeight w:val="211"/>
          <w:jc w:val="center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Test 2-1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40MHz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30kHz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Case B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1x2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TDL-A-30; 10Hz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494" w:rsidRDefault="00EA2494" w:rsidP="00EA24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-7.1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494" w:rsidRDefault="00EA2494" w:rsidP="00EA24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-7.6</w:t>
            </w:r>
          </w:p>
        </w:tc>
      </w:tr>
      <w:tr w:rsidR="00EA2494" w:rsidRPr="00C3281C" w:rsidTr="00EA2494">
        <w:trPr>
          <w:trHeight w:val="211"/>
          <w:jc w:val="center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Test 2-2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40MHz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30kHz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Case C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1x2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TDL-A-30; 10Hz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2494" w:rsidRDefault="00EA2494" w:rsidP="00EA24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-7.1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494" w:rsidRDefault="00EA2494" w:rsidP="00EA24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-7.7</w:t>
            </w:r>
          </w:p>
        </w:tc>
      </w:tr>
    </w:tbl>
    <w:p w:rsidR="00EA2494" w:rsidRDefault="00EA2494" w:rsidP="00EA2494">
      <w:pPr>
        <w:rPr>
          <w:lang w:val="en-GB" w:eastAsia="en-GB"/>
        </w:rPr>
      </w:pPr>
    </w:p>
    <w:p w:rsidR="00EA2494" w:rsidRDefault="00EA2494" w:rsidP="005D0E32">
      <w:pPr>
        <w:pStyle w:val="Caption"/>
        <w:spacing w:before="120" w:after="120"/>
        <w:jc w:val="center"/>
      </w:pPr>
      <w:r>
        <w:t xml:space="preserve">Table </w:t>
      </w:r>
      <w:fldSimple w:instr=" SEQ Table \* ARABIC ">
        <w:r w:rsidR="00E67181">
          <w:rPr>
            <w:noProof/>
          </w:rPr>
          <w:t>4</w:t>
        </w:r>
      </w:fldSimple>
      <w:r>
        <w:t xml:space="preserve">: </w:t>
      </w:r>
      <w:r w:rsidRPr="005D0E32">
        <w:t xml:space="preserve">Alignment </w:t>
      </w:r>
      <w:r w:rsidRPr="00FE6026">
        <w:t xml:space="preserve">results for PBCH </w:t>
      </w:r>
      <w:r>
        <w:t>in FR1 with 4</w:t>
      </w:r>
      <w:r w:rsidRPr="00FE6026">
        <w:t>Rx</w:t>
      </w:r>
    </w:p>
    <w:tbl>
      <w:tblPr>
        <w:tblW w:w="8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8"/>
        <w:gridCol w:w="893"/>
        <w:gridCol w:w="943"/>
        <w:gridCol w:w="915"/>
        <w:gridCol w:w="1335"/>
        <w:gridCol w:w="1741"/>
        <w:gridCol w:w="1082"/>
        <w:gridCol w:w="1082"/>
      </w:tblGrid>
      <w:tr w:rsidR="00EA2494" w:rsidRPr="00C3281C" w:rsidTr="000369CE">
        <w:trPr>
          <w:trHeight w:val="221"/>
          <w:jc w:val="center"/>
        </w:trPr>
        <w:tc>
          <w:tcPr>
            <w:tcW w:w="908" w:type="dxa"/>
            <w:vMerge w:val="restart"/>
            <w:shd w:val="clear" w:color="auto" w:fill="auto"/>
            <w:vAlign w:val="center"/>
            <w:hideMark/>
          </w:tcPr>
          <w:p w:rsidR="00EA2494" w:rsidRPr="00C3281C" w:rsidRDefault="00EA2494" w:rsidP="00ED6DF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893" w:type="dxa"/>
            <w:vMerge w:val="restart"/>
            <w:shd w:val="clear" w:color="auto" w:fill="auto"/>
            <w:vAlign w:val="center"/>
            <w:hideMark/>
          </w:tcPr>
          <w:p w:rsidR="00EA2494" w:rsidRPr="00C3281C" w:rsidRDefault="00EA2494" w:rsidP="00ED6DF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Channel BW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  <w:hideMark/>
          </w:tcPr>
          <w:p w:rsidR="00EA2494" w:rsidRPr="00C3281C" w:rsidRDefault="00EA2494" w:rsidP="00ED6DF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SS/PBCH SCS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  <w:hideMark/>
          </w:tcPr>
          <w:p w:rsidR="00EA2494" w:rsidRPr="00C3281C" w:rsidRDefault="00EA2494" w:rsidP="00ED6DF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SS Block pattern</w:t>
            </w:r>
          </w:p>
        </w:tc>
        <w:tc>
          <w:tcPr>
            <w:tcW w:w="1335" w:type="dxa"/>
            <w:vMerge w:val="restart"/>
            <w:shd w:val="clear" w:color="auto" w:fill="auto"/>
            <w:vAlign w:val="center"/>
            <w:hideMark/>
          </w:tcPr>
          <w:p w:rsidR="00EA2494" w:rsidRPr="00C3281C" w:rsidRDefault="00EA2494" w:rsidP="00ED6DF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Antenna configuration</w:t>
            </w:r>
          </w:p>
        </w:tc>
        <w:tc>
          <w:tcPr>
            <w:tcW w:w="1741" w:type="dxa"/>
            <w:vMerge w:val="restart"/>
            <w:shd w:val="clear" w:color="auto" w:fill="auto"/>
            <w:vAlign w:val="center"/>
            <w:hideMark/>
          </w:tcPr>
          <w:p w:rsidR="00EA2494" w:rsidRPr="00C3281C" w:rsidRDefault="00EA2494" w:rsidP="00ED6DF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Propagation channel</w:t>
            </w:r>
          </w:p>
        </w:tc>
        <w:tc>
          <w:tcPr>
            <w:tcW w:w="2164" w:type="dxa"/>
            <w:gridSpan w:val="2"/>
            <w:shd w:val="clear" w:color="auto" w:fill="auto"/>
            <w:vAlign w:val="center"/>
            <w:hideMark/>
          </w:tcPr>
          <w:p w:rsidR="00EA2494" w:rsidRPr="00C3281C" w:rsidRDefault="00EA2494" w:rsidP="00ED6DF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SNR @ 1% Pm-bch</w:t>
            </w:r>
          </w:p>
        </w:tc>
      </w:tr>
      <w:tr w:rsidR="00EA2494" w:rsidRPr="00C3281C" w:rsidTr="00EA2494">
        <w:trPr>
          <w:trHeight w:val="221"/>
          <w:jc w:val="center"/>
        </w:trPr>
        <w:tc>
          <w:tcPr>
            <w:tcW w:w="908" w:type="dxa"/>
            <w:vMerge/>
            <w:shd w:val="clear" w:color="auto" w:fill="auto"/>
            <w:vAlign w:val="center"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893" w:type="dxa"/>
            <w:vMerge/>
            <w:shd w:val="clear" w:color="auto" w:fill="auto"/>
            <w:vAlign w:val="center"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43" w:type="dxa"/>
            <w:vMerge/>
            <w:shd w:val="clear" w:color="auto" w:fill="auto"/>
            <w:vAlign w:val="center"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335" w:type="dxa"/>
            <w:vMerge/>
            <w:shd w:val="clear" w:color="auto" w:fill="auto"/>
            <w:vAlign w:val="center"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741" w:type="dxa"/>
            <w:vMerge/>
            <w:shd w:val="clear" w:color="auto" w:fill="auto"/>
            <w:vAlign w:val="center"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With DMRS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Seq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Det</w:t>
            </w:r>
            <w:proofErr w:type="spellEnd"/>
          </w:p>
        </w:tc>
        <w:tc>
          <w:tcPr>
            <w:tcW w:w="1082" w:type="dxa"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Without DMRS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Seq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Det</w:t>
            </w:r>
            <w:proofErr w:type="spellEnd"/>
          </w:p>
        </w:tc>
      </w:tr>
      <w:tr w:rsidR="00EA2494" w:rsidRPr="00C3281C" w:rsidTr="00EA2494">
        <w:trPr>
          <w:trHeight w:val="252"/>
          <w:jc w:val="center"/>
        </w:trPr>
        <w:tc>
          <w:tcPr>
            <w:tcW w:w="908" w:type="dxa"/>
            <w:shd w:val="clear" w:color="auto" w:fill="auto"/>
            <w:vAlign w:val="center"/>
            <w:hideMark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Test 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10MHz</w:t>
            </w:r>
          </w:p>
        </w:tc>
        <w:tc>
          <w:tcPr>
            <w:tcW w:w="943" w:type="dxa"/>
            <w:shd w:val="clear" w:color="auto" w:fill="auto"/>
            <w:vAlign w:val="center"/>
            <w:hideMark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15kHz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Case A</w:t>
            </w:r>
          </w:p>
        </w:tc>
        <w:tc>
          <w:tcPr>
            <w:tcW w:w="1335" w:type="dxa"/>
            <w:shd w:val="clear" w:color="auto" w:fill="auto"/>
            <w:vAlign w:val="center"/>
            <w:hideMark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1x4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TDL-C-300; 100Hz</w:t>
            </w:r>
          </w:p>
        </w:tc>
        <w:tc>
          <w:tcPr>
            <w:tcW w:w="1082" w:type="dxa"/>
            <w:shd w:val="clear" w:color="auto" w:fill="auto"/>
            <w:noWrap/>
            <w:vAlign w:val="center"/>
          </w:tcPr>
          <w:p w:rsidR="00EA2494" w:rsidRDefault="00EA2494" w:rsidP="00EA249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-11.7</w:t>
            </w:r>
          </w:p>
        </w:tc>
        <w:tc>
          <w:tcPr>
            <w:tcW w:w="1082" w:type="dxa"/>
            <w:vAlign w:val="center"/>
          </w:tcPr>
          <w:p w:rsidR="00EA2494" w:rsidRDefault="00EA2494" w:rsidP="00EA24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-12.2</w:t>
            </w:r>
          </w:p>
        </w:tc>
      </w:tr>
      <w:tr w:rsidR="00EA2494" w:rsidRPr="00C3281C" w:rsidTr="00EA2494">
        <w:trPr>
          <w:trHeight w:val="252"/>
          <w:jc w:val="center"/>
        </w:trPr>
        <w:tc>
          <w:tcPr>
            <w:tcW w:w="908" w:type="dxa"/>
            <w:shd w:val="clear" w:color="auto" w:fill="auto"/>
            <w:vAlign w:val="center"/>
            <w:hideMark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Test 2-1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40MHz</w:t>
            </w:r>
          </w:p>
        </w:tc>
        <w:tc>
          <w:tcPr>
            <w:tcW w:w="943" w:type="dxa"/>
            <w:shd w:val="clear" w:color="auto" w:fill="auto"/>
            <w:vAlign w:val="center"/>
            <w:hideMark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30kHz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Case B</w:t>
            </w:r>
          </w:p>
        </w:tc>
        <w:tc>
          <w:tcPr>
            <w:tcW w:w="1335" w:type="dxa"/>
            <w:shd w:val="clear" w:color="auto" w:fill="auto"/>
            <w:vAlign w:val="center"/>
            <w:hideMark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1x4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TDL-A-30; 10Hz</w:t>
            </w:r>
          </w:p>
        </w:tc>
        <w:tc>
          <w:tcPr>
            <w:tcW w:w="1082" w:type="dxa"/>
            <w:shd w:val="clear" w:color="auto" w:fill="auto"/>
            <w:noWrap/>
            <w:vAlign w:val="center"/>
          </w:tcPr>
          <w:p w:rsidR="00EA2494" w:rsidRDefault="00EA2494" w:rsidP="00EA24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-10.4</w:t>
            </w:r>
          </w:p>
        </w:tc>
        <w:tc>
          <w:tcPr>
            <w:tcW w:w="1082" w:type="dxa"/>
            <w:vAlign w:val="center"/>
          </w:tcPr>
          <w:p w:rsidR="00EA2494" w:rsidRDefault="00EA2494" w:rsidP="00EA24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-10.8</w:t>
            </w:r>
          </w:p>
        </w:tc>
      </w:tr>
      <w:tr w:rsidR="00EA2494" w:rsidRPr="00C3281C" w:rsidTr="00EA2494">
        <w:trPr>
          <w:trHeight w:val="252"/>
          <w:jc w:val="center"/>
        </w:trPr>
        <w:tc>
          <w:tcPr>
            <w:tcW w:w="908" w:type="dxa"/>
            <w:shd w:val="clear" w:color="auto" w:fill="auto"/>
            <w:vAlign w:val="center"/>
            <w:hideMark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Test 2-2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40MHz</w:t>
            </w:r>
          </w:p>
        </w:tc>
        <w:tc>
          <w:tcPr>
            <w:tcW w:w="943" w:type="dxa"/>
            <w:shd w:val="clear" w:color="auto" w:fill="auto"/>
            <w:vAlign w:val="center"/>
            <w:hideMark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30kHz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Case C</w:t>
            </w:r>
          </w:p>
        </w:tc>
        <w:tc>
          <w:tcPr>
            <w:tcW w:w="1335" w:type="dxa"/>
            <w:shd w:val="clear" w:color="auto" w:fill="auto"/>
            <w:vAlign w:val="center"/>
            <w:hideMark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1x4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EA2494" w:rsidRPr="00C3281C" w:rsidRDefault="00EA2494" w:rsidP="00EA2494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TDL-A-30; 10Hz</w:t>
            </w:r>
          </w:p>
        </w:tc>
        <w:tc>
          <w:tcPr>
            <w:tcW w:w="1082" w:type="dxa"/>
            <w:shd w:val="clear" w:color="auto" w:fill="auto"/>
            <w:noWrap/>
            <w:vAlign w:val="center"/>
          </w:tcPr>
          <w:p w:rsidR="00EA2494" w:rsidRDefault="00EA2494" w:rsidP="00EA24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-10.5</w:t>
            </w:r>
          </w:p>
        </w:tc>
        <w:tc>
          <w:tcPr>
            <w:tcW w:w="1082" w:type="dxa"/>
            <w:vAlign w:val="center"/>
          </w:tcPr>
          <w:p w:rsidR="00EA2494" w:rsidRDefault="00EA2494" w:rsidP="00EA24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-10.8</w:t>
            </w:r>
          </w:p>
        </w:tc>
      </w:tr>
    </w:tbl>
    <w:p w:rsidR="00C96717" w:rsidRPr="00C96717" w:rsidRDefault="00C96717" w:rsidP="00C96717">
      <w:pPr>
        <w:rPr>
          <w:lang w:val="en-GB" w:eastAsia="en-GB"/>
        </w:rPr>
      </w:pPr>
    </w:p>
    <w:p w:rsidR="00C96717" w:rsidRDefault="00C96717" w:rsidP="00C96717">
      <w:pPr>
        <w:pStyle w:val="Heading2"/>
        <w:numPr>
          <w:ilvl w:val="1"/>
          <w:numId w:val="28"/>
        </w:numPr>
        <w:rPr>
          <w:rFonts w:ascii="Arial" w:hAnsi="Arial" w:cs="Arial"/>
          <w:sz w:val="28"/>
        </w:rPr>
      </w:pPr>
      <w:r w:rsidRPr="00C3281C">
        <w:rPr>
          <w:rFonts w:ascii="Arial" w:hAnsi="Arial" w:cs="Arial"/>
          <w:sz w:val="28"/>
        </w:rPr>
        <w:t>FR</w:t>
      </w:r>
      <w:r>
        <w:rPr>
          <w:rFonts w:ascii="Arial" w:hAnsi="Arial" w:cs="Arial"/>
          <w:sz w:val="28"/>
        </w:rPr>
        <w:t>2</w:t>
      </w:r>
      <w:r w:rsidRPr="00C3281C">
        <w:rPr>
          <w:rFonts w:ascii="Arial" w:hAnsi="Arial" w:cs="Arial"/>
          <w:sz w:val="28"/>
        </w:rPr>
        <w:t xml:space="preserve"> Results</w:t>
      </w:r>
    </w:p>
    <w:p w:rsidR="00EA2494" w:rsidRPr="005D0E32" w:rsidRDefault="00EA2494" w:rsidP="005D0E32">
      <w:pPr>
        <w:spacing w:before="120" w:after="120"/>
      </w:pPr>
      <w:r w:rsidRPr="005D0E32">
        <w:t>In this section we present alignment results for FR2 test cases with 2Rx.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5D0E32" w:rsidTr="005D0E32">
        <w:tc>
          <w:tcPr>
            <w:tcW w:w="4675" w:type="dxa"/>
          </w:tcPr>
          <w:p w:rsidR="005D0E32" w:rsidRDefault="005D0E32" w:rsidP="00743717">
            <w:pPr>
              <w:spacing w:before="120" w:after="120"/>
            </w:pPr>
            <w:r w:rsidRPr="005D0E32">
              <w:rPr>
                <w:noProof/>
              </w:rPr>
              <w:drawing>
                <wp:inline distT="0" distB="0" distL="0" distR="0">
                  <wp:extent cx="2827655" cy="212026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7655" cy="2120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:rsidR="005D0E32" w:rsidRDefault="005D0E32" w:rsidP="005D0E32">
            <w:pPr>
              <w:keepNext/>
              <w:spacing w:before="120" w:after="120"/>
            </w:pPr>
            <w:r w:rsidRPr="005D0E32">
              <w:rPr>
                <w:noProof/>
              </w:rPr>
              <w:drawing>
                <wp:inline distT="0" distB="0" distL="0" distR="0">
                  <wp:extent cx="2827655" cy="212026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7655" cy="2120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25FDF" w:rsidRDefault="005D0E32" w:rsidP="005D0E32">
      <w:pPr>
        <w:pStyle w:val="Caption"/>
        <w:spacing w:before="120" w:after="120"/>
        <w:jc w:val="center"/>
      </w:pPr>
      <w:r>
        <w:t xml:space="preserve">Figure </w:t>
      </w:r>
      <w:fldSimple w:instr=" SEQ Figure \* ARABIC ">
        <w:r>
          <w:t>2</w:t>
        </w:r>
      </w:fldSimple>
      <w:r>
        <w:t>: PBCH Simulation Results in FR2</w:t>
      </w:r>
    </w:p>
    <w:p w:rsidR="005D0E32" w:rsidRDefault="005D0E32" w:rsidP="005D0E32">
      <w:pPr>
        <w:spacing w:before="120" w:after="120"/>
      </w:pPr>
    </w:p>
    <w:p w:rsidR="005D0E32" w:rsidRDefault="005D0E32" w:rsidP="005D0E32">
      <w:pPr>
        <w:spacing w:before="120" w:after="120"/>
      </w:pPr>
    </w:p>
    <w:p w:rsidR="005D0E32" w:rsidRDefault="005D0E32" w:rsidP="005D0E32">
      <w:pPr>
        <w:spacing w:before="120" w:after="120"/>
      </w:pPr>
    </w:p>
    <w:p w:rsidR="005D0E32" w:rsidRDefault="005D0E32" w:rsidP="005D0E32">
      <w:pPr>
        <w:spacing w:before="120" w:after="120"/>
      </w:pPr>
    </w:p>
    <w:p w:rsidR="005D0E32" w:rsidRDefault="005D0E32" w:rsidP="005D0E32">
      <w:pPr>
        <w:spacing w:before="120" w:after="120"/>
      </w:pPr>
    </w:p>
    <w:p w:rsidR="005D0E32" w:rsidRDefault="005D0E32" w:rsidP="005D0E32">
      <w:pPr>
        <w:spacing w:before="120" w:after="120"/>
      </w:pPr>
      <w:r w:rsidRPr="005D0E32">
        <w:lastRenderedPageBreak/>
        <w:t xml:space="preserve">The tables capture the SNR (dB) @ 1% </w:t>
      </w:r>
      <w:r w:rsidRPr="00C3281C">
        <w:t>Pm-bch</w:t>
      </w:r>
      <w:r>
        <w:t>. The simulations are run with and without PBCH-DMRS sequence detection.</w:t>
      </w:r>
    </w:p>
    <w:p w:rsidR="005D0E32" w:rsidRDefault="005D0E32" w:rsidP="005D0E32">
      <w:pPr>
        <w:pStyle w:val="Caption"/>
        <w:spacing w:before="120" w:after="120"/>
        <w:jc w:val="center"/>
      </w:pPr>
      <w:r>
        <w:t xml:space="preserve">Table </w:t>
      </w:r>
      <w:fldSimple w:instr=" SEQ Table \* ARABIC ">
        <w:r w:rsidR="00E67181">
          <w:rPr>
            <w:noProof/>
          </w:rPr>
          <w:t>5</w:t>
        </w:r>
      </w:fldSimple>
      <w:r>
        <w:t>:</w:t>
      </w:r>
      <w:r w:rsidRPr="00524D9C">
        <w:t xml:space="preserve"> </w:t>
      </w:r>
      <w:r w:rsidRPr="005D0E32">
        <w:t xml:space="preserve">Alignment </w:t>
      </w:r>
      <w:r>
        <w:t>results for PBCH in FR2 with 2Rx</w:t>
      </w:r>
    </w:p>
    <w:tbl>
      <w:tblPr>
        <w:tblW w:w="8395" w:type="dxa"/>
        <w:jc w:val="center"/>
        <w:tblLook w:val="04A0" w:firstRow="1" w:lastRow="0" w:firstColumn="1" w:lastColumn="0" w:noHBand="0" w:noVBand="1"/>
      </w:tblPr>
      <w:tblGrid>
        <w:gridCol w:w="786"/>
        <w:gridCol w:w="935"/>
        <w:gridCol w:w="945"/>
        <w:gridCol w:w="925"/>
        <w:gridCol w:w="1333"/>
        <w:gridCol w:w="1651"/>
        <w:gridCol w:w="910"/>
        <w:gridCol w:w="910"/>
      </w:tblGrid>
      <w:tr w:rsidR="005D0E32" w:rsidRPr="005B1FD5" w:rsidTr="00DD15AB">
        <w:trPr>
          <w:trHeight w:val="265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E32" w:rsidRPr="005B1FD5" w:rsidRDefault="005D0E32" w:rsidP="005D0E32">
            <w:pPr>
              <w:spacing w:before="120" w:after="120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E32" w:rsidRPr="005B1FD5" w:rsidRDefault="005D0E32" w:rsidP="00ED6DF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B1FD5">
              <w:rPr>
                <w:rFonts w:ascii="Calibri" w:eastAsia="Times New Roman" w:hAnsi="Calibri" w:cs="Calibri"/>
                <w:b/>
                <w:bCs/>
                <w:color w:val="000000"/>
              </w:rPr>
              <w:t>Channel BW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E32" w:rsidRPr="005B1FD5" w:rsidRDefault="005D0E32" w:rsidP="00ED6DF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B1FD5">
              <w:rPr>
                <w:rFonts w:ascii="Calibri" w:eastAsia="Times New Roman" w:hAnsi="Calibri" w:cs="Calibri"/>
                <w:b/>
                <w:bCs/>
                <w:color w:val="000000"/>
              </w:rPr>
              <w:t>SS/PBCH SCS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E32" w:rsidRPr="005B1FD5" w:rsidRDefault="005D0E32" w:rsidP="00ED6DF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B1FD5">
              <w:rPr>
                <w:rFonts w:ascii="Calibri" w:eastAsia="Times New Roman" w:hAnsi="Calibri" w:cs="Calibri"/>
                <w:b/>
                <w:bCs/>
                <w:color w:val="000000"/>
              </w:rPr>
              <w:t>SS Block pattern</w:t>
            </w:r>
          </w:p>
        </w:tc>
        <w:tc>
          <w:tcPr>
            <w:tcW w:w="13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E32" w:rsidRPr="005B1FD5" w:rsidRDefault="005D0E32" w:rsidP="00ED6DF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B1FD5">
              <w:rPr>
                <w:rFonts w:ascii="Calibri" w:eastAsia="Times New Roman" w:hAnsi="Calibri" w:cs="Calibri"/>
                <w:b/>
                <w:bCs/>
                <w:color w:val="000000"/>
              </w:rPr>
              <w:t>Antenna configuration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E32" w:rsidRPr="005B1FD5" w:rsidRDefault="005D0E32" w:rsidP="00ED6DF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B1FD5">
              <w:rPr>
                <w:rFonts w:ascii="Calibri" w:eastAsia="Times New Roman" w:hAnsi="Calibri" w:cs="Calibri"/>
                <w:b/>
                <w:bCs/>
                <w:color w:val="000000"/>
              </w:rPr>
              <w:t>Propagation channel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E32" w:rsidRPr="00C3281C" w:rsidRDefault="005D0E32" w:rsidP="00ED6DF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SNR @ 1% Pm-bch</w:t>
            </w:r>
          </w:p>
        </w:tc>
      </w:tr>
      <w:tr w:rsidR="005D0E32" w:rsidRPr="005B1FD5" w:rsidTr="005D0E32">
        <w:trPr>
          <w:trHeight w:val="265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E32" w:rsidRPr="005B1FD5" w:rsidRDefault="005D0E32" w:rsidP="005D0E32">
            <w:pPr>
              <w:spacing w:before="120" w:after="120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E32" w:rsidRPr="005B1FD5" w:rsidRDefault="005D0E32" w:rsidP="005D0E3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E32" w:rsidRPr="005B1FD5" w:rsidRDefault="005D0E32" w:rsidP="005D0E3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E32" w:rsidRPr="005B1FD5" w:rsidRDefault="005D0E32" w:rsidP="005D0E3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3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E32" w:rsidRPr="005B1FD5" w:rsidRDefault="005D0E32" w:rsidP="005D0E3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6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E32" w:rsidRPr="005B1FD5" w:rsidRDefault="005D0E32" w:rsidP="005D0E3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E32" w:rsidRPr="00C3281C" w:rsidRDefault="005D0E32" w:rsidP="005D0E3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With DMRS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Seq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Det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E32" w:rsidRPr="00C3281C" w:rsidRDefault="005D0E32" w:rsidP="005D0E3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Without DMRS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Seq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Det</w:t>
            </w:r>
            <w:proofErr w:type="spellEnd"/>
          </w:p>
        </w:tc>
      </w:tr>
      <w:tr w:rsidR="005D0E32" w:rsidRPr="005B1FD5" w:rsidTr="005D0E32">
        <w:trPr>
          <w:trHeight w:val="300"/>
          <w:jc w:val="center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E32" w:rsidRPr="005B1FD5" w:rsidRDefault="005D0E32" w:rsidP="005D0E3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B1FD5">
              <w:rPr>
                <w:rFonts w:ascii="Calibri" w:eastAsia="Times New Roman" w:hAnsi="Calibri" w:cs="Calibri"/>
                <w:b/>
                <w:bCs/>
                <w:color w:val="000000"/>
              </w:rPr>
              <w:t>Test 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E32" w:rsidRPr="005B1FD5" w:rsidRDefault="005D0E32" w:rsidP="005D0E32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100MHz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E32" w:rsidRPr="005B1FD5" w:rsidRDefault="005D0E32" w:rsidP="005D0E32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120kHz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E32" w:rsidRPr="005B1FD5" w:rsidRDefault="005D0E32" w:rsidP="005D0E32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Case D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E32" w:rsidRPr="005B1FD5" w:rsidRDefault="005D0E32" w:rsidP="005D0E32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1x2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E32" w:rsidRPr="005B1FD5" w:rsidRDefault="005D0E32" w:rsidP="005D0E32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TDL-A-30; 300Hz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0E32" w:rsidRDefault="005D0E32" w:rsidP="005D0E3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-8.5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32" w:rsidRDefault="005D0E32" w:rsidP="005D0E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-9.4</w:t>
            </w:r>
          </w:p>
        </w:tc>
      </w:tr>
      <w:tr w:rsidR="005D0E32" w:rsidRPr="005B1FD5" w:rsidTr="005D0E32">
        <w:trPr>
          <w:trHeight w:val="300"/>
          <w:jc w:val="center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E32" w:rsidRPr="005B1FD5" w:rsidRDefault="005D0E32" w:rsidP="005D0E3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B1FD5">
              <w:rPr>
                <w:rFonts w:ascii="Calibri" w:eastAsia="Times New Roman" w:hAnsi="Calibri" w:cs="Calibri"/>
                <w:b/>
                <w:bCs/>
                <w:color w:val="000000"/>
              </w:rPr>
              <w:t>Test 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E32" w:rsidRPr="005B1FD5" w:rsidRDefault="005D0E32" w:rsidP="005D0E32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100MHz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E32" w:rsidRPr="005B1FD5" w:rsidRDefault="005D0E32" w:rsidP="005D0E32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240kHz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E32" w:rsidRPr="005B1FD5" w:rsidRDefault="005D0E32" w:rsidP="005D0E32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Case E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E32" w:rsidRPr="005B1FD5" w:rsidRDefault="005D0E32" w:rsidP="005D0E32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1x2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E32" w:rsidRPr="005B1FD5" w:rsidRDefault="005D0E32" w:rsidP="005D0E32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TDL-A-30; 75Hz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0E32" w:rsidRDefault="005D0E32" w:rsidP="005D0E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-8.9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32" w:rsidRDefault="005D0E32" w:rsidP="005D0E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-10.0</w:t>
            </w:r>
          </w:p>
        </w:tc>
      </w:tr>
    </w:tbl>
    <w:p w:rsidR="005D0E32" w:rsidRPr="005D0E32" w:rsidRDefault="005D0E32" w:rsidP="005D0E32"/>
    <w:p w:rsidR="00C96717" w:rsidRDefault="00C96717" w:rsidP="00C96717">
      <w:pPr>
        <w:pStyle w:val="Heading2"/>
        <w:numPr>
          <w:ilvl w:val="1"/>
          <w:numId w:val="28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Impairment</w:t>
      </w:r>
      <w:r w:rsidRPr="00C3281C">
        <w:rPr>
          <w:rFonts w:ascii="Arial" w:hAnsi="Arial" w:cs="Arial"/>
          <w:sz w:val="28"/>
        </w:rPr>
        <w:t xml:space="preserve"> Results</w:t>
      </w:r>
    </w:p>
    <w:p w:rsidR="00E67181" w:rsidRPr="00E67181" w:rsidRDefault="00E67181" w:rsidP="00E67181">
      <w:pPr>
        <w:spacing w:before="120" w:after="120"/>
      </w:pPr>
      <w:r w:rsidRPr="00E67181">
        <w:t>Taking into account implementation margin, we present the SNR (dB) @ 1% Pm-bch test cases in table below.</w:t>
      </w:r>
    </w:p>
    <w:p w:rsidR="00E67181" w:rsidRDefault="00E67181" w:rsidP="00E67181">
      <w:pPr>
        <w:pStyle w:val="Caption"/>
        <w:spacing w:before="120" w:after="120"/>
        <w:jc w:val="center"/>
      </w:pPr>
      <w:r>
        <w:t xml:space="preserve">Table </w:t>
      </w:r>
      <w:fldSimple w:instr=" SEQ Table \* ARABIC ">
        <w:r>
          <w:t>6</w:t>
        </w:r>
      </w:fldSimple>
      <w:r>
        <w:t>: Impairment results for NR PBCH tests</w:t>
      </w:r>
    </w:p>
    <w:tbl>
      <w:tblPr>
        <w:tblW w:w="8905" w:type="dxa"/>
        <w:jc w:val="center"/>
        <w:tblLook w:val="04A0" w:firstRow="1" w:lastRow="0" w:firstColumn="1" w:lastColumn="0" w:noHBand="0" w:noVBand="1"/>
      </w:tblPr>
      <w:tblGrid>
        <w:gridCol w:w="898"/>
        <w:gridCol w:w="900"/>
        <w:gridCol w:w="1210"/>
        <w:gridCol w:w="1037"/>
        <w:gridCol w:w="1345"/>
        <w:gridCol w:w="1707"/>
        <w:gridCol w:w="900"/>
        <w:gridCol w:w="908"/>
      </w:tblGrid>
      <w:tr w:rsidR="00E67181" w:rsidRPr="00C3281C" w:rsidTr="00E67181">
        <w:trPr>
          <w:trHeight w:val="221"/>
          <w:jc w:val="center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Channel BW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SS/PBCH SCS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SS Block pattern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Antenna configuration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Propagation channel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SNR @ 1% Pm-bch</w:t>
            </w:r>
          </w:p>
        </w:tc>
      </w:tr>
      <w:tr w:rsidR="00E67181" w:rsidRPr="00C3281C" w:rsidTr="00E67181">
        <w:trPr>
          <w:trHeight w:val="221"/>
          <w:jc w:val="center"/>
        </w:trPr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0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3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With DMRS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Seq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Det</w:t>
            </w:r>
            <w:proofErr w:type="spellEnd"/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Without DMRS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Seq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Det</w:t>
            </w:r>
            <w:proofErr w:type="spellEnd"/>
          </w:p>
        </w:tc>
      </w:tr>
      <w:tr w:rsidR="00E67181" w:rsidRPr="00C3281C" w:rsidTr="00E67181">
        <w:trPr>
          <w:trHeight w:val="249"/>
          <w:jc w:val="center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Test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10MHz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15kHz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Case A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1x2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TDL-C-300; 100Hz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181" w:rsidRDefault="00E67181" w:rsidP="00E67181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-7.4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7181" w:rsidRDefault="00E67181" w:rsidP="00E671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-8.3</w:t>
            </w:r>
          </w:p>
        </w:tc>
      </w:tr>
      <w:tr w:rsidR="00E67181" w:rsidRPr="00C3281C" w:rsidTr="00E67181">
        <w:trPr>
          <w:trHeight w:val="249"/>
          <w:jc w:val="center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Test 2-1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40MHz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30kHz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Case B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1x2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TDL-A-30; 10Hz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181" w:rsidRDefault="00E67181" w:rsidP="00E671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-5.6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7181" w:rsidRDefault="00E67181" w:rsidP="00E671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-6.1</w:t>
            </w:r>
          </w:p>
        </w:tc>
      </w:tr>
      <w:tr w:rsidR="00E67181" w:rsidRPr="00C3281C" w:rsidTr="00E67181">
        <w:trPr>
          <w:trHeight w:val="249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Test 2-2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40MHz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30kHz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Case C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1x2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TDL-A-30; 10Hz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181" w:rsidRDefault="00E67181" w:rsidP="00E671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-5.6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181" w:rsidRDefault="00E67181" w:rsidP="00E671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-6.2</w:t>
            </w:r>
          </w:p>
        </w:tc>
      </w:tr>
      <w:tr w:rsidR="00E67181" w:rsidRPr="00C3281C" w:rsidTr="00E67181">
        <w:trPr>
          <w:trHeight w:val="249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Test 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10MHz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15kHz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Case A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1x4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TDL-C-300; 100Hz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181" w:rsidRDefault="00E67181" w:rsidP="00E671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-10.2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181" w:rsidRDefault="00E67181" w:rsidP="00E671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-10.7</w:t>
            </w:r>
          </w:p>
        </w:tc>
      </w:tr>
      <w:tr w:rsidR="00E67181" w:rsidRPr="00C3281C" w:rsidTr="00E67181">
        <w:trPr>
          <w:trHeight w:val="249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Test 2-1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40MHz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30kHz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Case B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1x4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TDL-A-30; 10Hz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181" w:rsidRDefault="00E67181" w:rsidP="00E671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-8.9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181" w:rsidRDefault="00E67181" w:rsidP="00E671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-9.3</w:t>
            </w:r>
          </w:p>
        </w:tc>
      </w:tr>
      <w:tr w:rsidR="00E67181" w:rsidRPr="00C3281C" w:rsidTr="00E67181">
        <w:trPr>
          <w:trHeight w:val="249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Test 2-2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40MHz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30kHz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Case C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1x4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C3281C" w:rsidRDefault="00E67181" w:rsidP="00E67181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TDL-A-30; 10Hz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181" w:rsidRDefault="00E67181" w:rsidP="00E671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-9.0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181" w:rsidRDefault="00E67181" w:rsidP="00E671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-9.3</w:t>
            </w:r>
          </w:p>
        </w:tc>
      </w:tr>
      <w:tr w:rsidR="00E67181" w:rsidRPr="00C3281C" w:rsidTr="00E67181">
        <w:trPr>
          <w:trHeight w:val="249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181" w:rsidRPr="005B1FD5" w:rsidRDefault="00E67181" w:rsidP="00E6718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B1FD5">
              <w:rPr>
                <w:rFonts w:ascii="Calibri" w:eastAsia="Times New Roman" w:hAnsi="Calibri" w:cs="Calibri"/>
                <w:b/>
                <w:bCs/>
                <w:color w:val="000000"/>
              </w:rPr>
              <w:t>Test 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181" w:rsidRPr="005B1FD5" w:rsidRDefault="00E67181" w:rsidP="00E67181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100MHz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181" w:rsidRPr="005B1FD5" w:rsidRDefault="00E67181" w:rsidP="00E67181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120kHz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181" w:rsidRPr="005B1FD5" w:rsidRDefault="00E67181" w:rsidP="00E67181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Case D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181" w:rsidRPr="005B1FD5" w:rsidRDefault="00E67181" w:rsidP="00E67181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1x2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181" w:rsidRPr="005B1FD5" w:rsidRDefault="00E67181" w:rsidP="00E67181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TDL-A-30; 300Hz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181" w:rsidRDefault="00E67181" w:rsidP="00E671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-7.0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181" w:rsidRDefault="00E67181" w:rsidP="00E671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-7.9</w:t>
            </w:r>
          </w:p>
        </w:tc>
      </w:tr>
      <w:tr w:rsidR="00E67181" w:rsidRPr="00C3281C" w:rsidTr="00E67181">
        <w:trPr>
          <w:trHeight w:val="249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181" w:rsidRPr="005B1FD5" w:rsidRDefault="00E67181" w:rsidP="00E6718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B1FD5">
              <w:rPr>
                <w:rFonts w:ascii="Calibri" w:eastAsia="Times New Roman" w:hAnsi="Calibri" w:cs="Calibri"/>
                <w:b/>
                <w:bCs/>
                <w:color w:val="000000"/>
              </w:rPr>
              <w:t>Test 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181" w:rsidRPr="005B1FD5" w:rsidRDefault="00E67181" w:rsidP="00E67181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100MHz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181" w:rsidRPr="005B1FD5" w:rsidRDefault="00E67181" w:rsidP="00E67181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240kHz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181" w:rsidRPr="005B1FD5" w:rsidRDefault="00E67181" w:rsidP="00E67181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Case E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181" w:rsidRPr="005B1FD5" w:rsidRDefault="00E67181" w:rsidP="00E67181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1x2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181" w:rsidRPr="005B1FD5" w:rsidRDefault="00E67181" w:rsidP="00E67181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TDL-A-30; 75Hz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181" w:rsidRDefault="00E67181" w:rsidP="00E671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-7.4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181" w:rsidRDefault="00E67181" w:rsidP="00E671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-8.5</w:t>
            </w:r>
          </w:p>
        </w:tc>
      </w:tr>
    </w:tbl>
    <w:p w:rsidR="00F25FDF" w:rsidRDefault="00F25FDF" w:rsidP="00F25FDF">
      <w:pPr>
        <w:rPr>
          <w:lang w:eastAsia="en-GB"/>
        </w:rPr>
      </w:pPr>
    </w:p>
    <w:p w:rsidR="00E67181" w:rsidRPr="00F25FDF" w:rsidRDefault="00E67181" w:rsidP="00F25FDF">
      <w:pPr>
        <w:rPr>
          <w:lang w:eastAsia="en-GB"/>
        </w:rPr>
      </w:pPr>
    </w:p>
    <w:p w:rsidR="00C96717" w:rsidRDefault="00E67181" w:rsidP="00E67181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PBCH Demodulation Requirement</w:t>
      </w:r>
    </w:p>
    <w:p w:rsidR="00E67181" w:rsidRDefault="00E67181" w:rsidP="00E67181">
      <w:pPr>
        <w:spacing w:before="120" w:after="120"/>
      </w:pPr>
      <w:r w:rsidRPr="00E67181">
        <w:t xml:space="preserve">In the Section 2 we present PBCH results with </w:t>
      </w:r>
      <w:r>
        <w:t xml:space="preserve">and without </w:t>
      </w:r>
      <w:r w:rsidRPr="00E67181">
        <w:t xml:space="preserve">PBCH-DMRS sequence detection. </w:t>
      </w:r>
      <w:r>
        <w:t xml:space="preserve">In RAN4#89 it was agreed to introduce PBCH tests with </w:t>
      </w:r>
      <w:r w:rsidR="00613057">
        <w:t>PBCH-</w:t>
      </w:r>
      <w:r>
        <w:t>DMRS sequence detection</w:t>
      </w:r>
      <w:r w:rsidR="00613057">
        <w:t>. Test cases without PBCH-DMRS sequence detection were FFS. Based on the results presented, we observe that the operating SNR for PBCH test cases is already low with PBCH-DMRS sequence detection. Without PBCH-DMRS sequence detection in some cases the operating SNR is even further reduced. Testing the UE at such low operating SNRs may not be feasible and practical.</w:t>
      </w:r>
    </w:p>
    <w:p w:rsidR="00613057" w:rsidRPr="00613057" w:rsidRDefault="00613057" w:rsidP="00E67181">
      <w:pPr>
        <w:spacing w:before="120" w:after="120"/>
        <w:rPr>
          <w:i/>
        </w:rPr>
      </w:pPr>
      <w:r w:rsidRPr="00613057">
        <w:rPr>
          <w:b/>
          <w:i/>
        </w:rPr>
        <w:t>Observation #1</w:t>
      </w:r>
      <w:r w:rsidRPr="00613057">
        <w:rPr>
          <w:i/>
        </w:rPr>
        <w:t>: Operating SNR for some test cases is even further reduced without PBCH-DMRS sequence detection</w:t>
      </w:r>
    </w:p>
    <w:p w:rsidR="00613057" w:rsidRDefault="00613057" w:rsidP="00E67181">
      <w:pPr>
        <w:spacing w:before="120" w:after="120"/>
      </w:pPr>
      <w:r>
        <w:t>Based on the observations above we recommend not to introduce tests without PBCH-DMRS sequence detection.</w:t>
      </w:r>
    </w:p>
    <w:p w:rsidR="00613057" w:rsidRPr="00613057" w:rsidRDefault="00613057" w:rsidP="00E67181">
      <w:pPr>
        <w:spacing w:before="120" w:after="120"/>
        <w:rPr>
          <w:i/>
        </w:rPr>
      </w:pPr>
      <w:r w:rsidRPr="00613057">
        <w:rPr>
          <w:b/>
          <w:i/>
        </w:rPr>
        <w:t>Proposal #1:</w:t>
      </w:r>
      <w:r w:rsidRPr="00613057">
        <w:rPr>
          <w:i/>
        </w:rPr>
        <w:t xml:space="preserve"> For PBCH demodulation do no</w:t>
      </w:r>
      <w:r w:rsidR="00421F2C">
        <w:rPr>
          <w:i/>
        </w:rPr>
        <w:t>t</w:t>
      </w:r>
      <w:r w:rsidRPr="00613057">
        <w:rPr>
          <w:i/>
        </w:rPr>
        <w:t xml:space="preserve"> introduce requirements without PBCH-DMRS sequence detection</w:t>
      </w:r>
    </w:p>
    <w:p w:rsidR="00613057" w:rsidRDefault="00613057" w:rsidP="00E67181">
      <w:pPr>
        <w:spacing w:before="120" w:after="120"/>
      </w:pPr>
    </w:p>
    <w:p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Conclusion</w:t>
      </w:r>
    </w:p>
    <w:p w:rsidR="00F25FDF" w:rsidRDefault="00F25FDF" w:rsidP="00743717">
      <w:pPr>
        <w:spacing w:before="120" w:after="120"/>
      </w:pPr>
      <w:r>
        <w:t>In this paper</w:t>
      </w:r>
      <w:r w:rsidR="00613057">
        <w:t xml:space="preserve"> we present alignment and impairment results for PBCH test cases and also provide our views on NR PBCH demodulation requirements. Our observations and proposals are summarized below.</w:t>
      </w:r>
    </w:p>
    <w:p w:rsidR="00613057" w:rsidRPr="00613057" w:rsidRDefault="00613057" w:rsidP="00613057">
      <w:pPr>
        <w:spacing w:before="120" w:after="120"/>
        <w:rPr>
          <w:i/>
        </w:rPr>
      </w:pPr>
      <w:r w:rsidRPr="00613057">
        <w:rPr>
          <w:b/>
          <w:i/>
        </w:rPr>
        <w:lastRenderedPageBreak/>
        <w:t>Observation #1</w:t>
      </w:r>
      <w:r w:rsidRPr="00613057">
        <w:rPr>
          <w:i/>
        </w:rPr>
        <w:t>: Operating SNR for some test cases is even further reduced without PBCH-DMRS sequence detection</w:t>
      </w:r>
    </w:p>
    <w:p w:rsidR="00613057" w:rsidRPr="00613057" w:rsidRDefault="00613057" w:rsidP="00613057">
      <w:pPr>
        <w:spacing w:before="120" w:after="120"/>
        <w:rPr>
          <w:i/>
        </w:rPr>
      </w:pPr>
      <w:r w:rsidRPr="00613057">
        <w:rPr>
          <w:b/>
          <w:i/>
        </w:rPr>
        <w:t>Proposal #1:</w:t>
      </w:r>
      <w:r w:rsidRPr="00613057">
        <w:rPr>
          <w:i/>
        </w:rPr>
        <w:t xml:space="preserve"> For PBCH demodulation do no</w:t>
      </w:r>
      <w:r w:rsidR="00421F2C">
        <w:rPr>
          <w:i/>
        </w:rPr>
        <w:t>t</w:t>
      </w:r>
      <w:r w:rsidRPr="00613057">
        <w:rPr>
          <w:i/>
        </w:rPr>
        <w:t xml:space="preserve"> introduce requirements without PBCH-DMRS sequence detection</w:t>
      </w:r>
    </w:p>
    <w:p w:rsidR="00613057" w:rsidRDefault="00613057" w:rsidP="00743717">
      <w:pPr>
        <w:spacing w:before="120" w:after="120"/>
      </w:pPr>
    </w:p>
    <w:p w:rsidR="00F25FDF" w:rsidRDefault="00F25FDF" w:rsidP="00F25FDF">
      <w:pPr>
        <w:rPr>
          <w:lang w:eastAsia="en-GB"/>
        </w:rPr>
      </w:pPr>
      <w:bookmarkStart w:id="0" w:name="_GoBack"/>
      <w:bookmarkEnd w:id="0"/>
    </w:p>
    <w:p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Reference</w:t>
      </w:r>
    </w:p>
    <w:p w:rsidR="00F25FDF" w:rsidRDefault="00C96717" w:rsidP="00F25FDF">
      <w:pPr>
        <w:pStyle w:val="ListParagraph"/>
        <w:numPr>
          <w:ilvl w:val="0"/>
          <w:numId w:val="23"/>
        </w:numPr>
      </w:pPr>
      <w:r>
        <w:t>R4-1816490 , “</w:t>
      </w:r>
      <w:r w:rsidRPr="00C96717">
        <w:t>Way forward on NR PBCH demodulation requirements</w:t>
      </w:r>
      <w:r>
        <w:t>”, CMCC</w:t>
      </w:r>
    </w:p>
    <w:p w:rsidR="00F25FDF" w:rsidRPr="00F25FDF" w:rsidRDefault="00F25FDF" w:rsidP="00F25FDF">
      <w:pPr>
        <w:rPr>
          <w:lang w:eastAsia="en-GB"/>
        </w:rPr>
      </w:pPr>
    </w:p>
    <w:p w:rsidR="00F25FDF" w:rsidRPr="00F25FDF" w:rsidRDefault="00F25FDF" w:rsidP="00F25FDF"/>
    <w:sectPr w:rsidR="00F25FDF" w:rsidRPr="00F25F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F3E7754"/>
    <w:multiLevelType w:val="hybridMultilevel"/>
    <w:tmpl w:val="24A88876"/>
    <w:lvl w:ilvl="0" w:tplc="B8762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8C39DC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DA47B0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8E4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AC58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A9C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3C6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903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6642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44F59F0"/>
    <w:multiLevelType w:val="multilevel"/>
    <w:tmpl w:val="68B4375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4F6767C9"/>
    <w:multiLevelType w:val="multilevel"/>
    <w:tmpl w:val="BD5630C0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59932408"/>
    <w:multiLevelType w:val="hybridMultilevel"/>
    <w:tmpl w:val="E5B04A8C"/>
    <w:lvl w:ilvl="0" w:tplc="63A4168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84EA0B2">
      <w:start w:val="7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381AE8">
      <w:start w:val="7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04E9A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58848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9CB42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C8471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060D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D493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670F6932"/>
    <w:multiLevelType w:val="multilevel"/>
    <w:tmpl w:val="E6025B0E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73FD046B"/>
    <w:multiLevelType w:val="multilevel"/>
    <w:tmpl w:val="567C3406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5"/>
  </w:num>
  <w:num w:numId="24">
    <w:abstractNumId w:val="6"/>
  </w:num>
  <w:num w:numId="25">
    <w:abstractNumId w:val="1"/>
  </w:num>
  <w:num w:numId="26">
    <w:abstractNumId w:val="7"/>
  </w:num>
  <w:num w:numId="27">
    <w:abstractNumId w:val="3"/>
  </w:num>
  <w:num w:numId="28">
    <w:abstractNumId w:val="8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19F"/>
    <w:rsid w:val="00037226"/>
    <w:rsid w:val="000A5AEE"/>
    <w:rsid w:val="000D6425"/>
    <w:rsid w:val="001106B6"/>
    <w:rsid w:val="00194E1A"/>
    <w:rsid w:val="002405A3"/>
    <w:rsid w:val="00265ECE"/>
    <w:rsid w:val="00314BC5"/>
    <w:rsid w:val="00315E1C"/>
    <w:rsid w:val="00390B7D"/>
    <w:rsid w:val="00421F2C"/>
    <w:rsid w:val="00464576"/>
    <w:rsid w:val="00487801"/>
    <w:rsid w:val="005650F4"/>
    <w:rsid w:val="005C774C"/>
    <w:rsid w:val="005D0E32"/>
    <w:rsid w:val="00613057"/>
    <w:rsid w:val="006534F9"/>
    <w:rsid w:val="006B319F"/>
    <w:rsid w:val="006F55C0"/>
    <w:rsid w:val="007267F1"/>
    <w:rsid w:val="00743717"/>
    <w:rsid w:val="007E108E"/>
    <w:rsid w:val="007E6871"/>
    <w:rsid w:val="008816F3"/>
    <w:rsid w:val="00A81355"/>
    <w:rsid w:val="00B01F61"/>
    <w:rsid w:val="00B13CAE"/>
    <w:rsid w:val="00B60378"/>
    <w:rsid w:val="00C51C71"/>
    <w:rsid w:val="00C546F9"/>
    <w:rsid w:val="00C5515C"/>
    <w:rsid w:val="00C629E4"/>
    <w:rsid w:val="00C96717"/>
    <w:rsid w:val="00CA62D1"/>
    <w:rsid w:val="00DB24FD"/>
    <w:rsid w:val="00DC0E02"/>
    <w:rsid w:val="00DD5C16"/>
    <w:rsid w:val="00E2179D"/>
    <w:rsid w:val="00E54836"/>
    <w:rsid w:val="00E67181"/>
    <w:rsid w:val="00EA2494"/>
    <w:rsid w:val="00EE4E9E"/>
    <w:rsid w:val="00F2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356F31-10FD-43A6-9AED-A62DF208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FDF"/>
    <w:pPr>
      <w:jc w:val="both"/>
    </w:pPr>
    <w:rPr>
      <w:rFonts w:eastAsia="MS Mincho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25FDF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25FDF"/>
    <w:rPr>
      <w:rFonts w:eastAsia="MS Mincho"/>
    </w:rPr>
  </w:style>
  <w:style w:type="paragraph" w:styleId="Footer">
    <w:name w:val="footer"/>
    <w:basedOn w:val="Header"/>
    <w:link w:val="FooterChar"/>
    <w:rsid w:val="00F25FDF"/>
    <w:pPr>
      <w:widowControl w:val="0"/>
      <w:tabs>
        <w:tab w:val="clear" w:pos="4153"/>
        <w:tab w:val="clear" w:pos="8306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F25FDF"/>
    <w:rPr>
      <w:rFonts w:ascii="Arial" w:eastAsia="MS Mincho" w:hAnsi="Arial"/>
      <w:b/>
      <w:i/>
      <w:noProof/>
      <w:sz w:val="18"/>
    </w:rPr>
  </w:style>
  <w:style w:type="paragraph" w:customStyle="1" w:styleId="Header-3gppTdoc">
    <w:name w:val="Header-3gpp Tdoc"/>
    <w:basedOn w:val="Header"/>
    <w:link w:val="Header-3gppTdocChar"/>
    <w:qFormat/>
    <w:rsid w:val="00F25FDF"/>
    <w:pPr>
      <w:tabs>
        <w:tab w:val="clear" w:pos="8306"/>
        <w:tab w:val="right" w:pos="9360"/>
      </w:tabs>
    </w:pPr>
    <w:rPr>
      <w:rFonts w:ascii="Arial" w:hAnsi="Arial" w:cs="Arial"/>
      <w:b/>
      <w:sz w:val="24"/>
      <w:szCs w:val="24"/>
    </w:rPr>
  </w:style>
  <w:style w:type="character" w:customStyle="1" w:styleId="Header-3gppTdocChar">
    <w:name w:val="Header-3gpp Tdoc Char"/>
    <w:basedOn w:val="HeaderChar"/>
    <w:link w:val="Header-3gppTdoc"/>
    <w:rsid w:val="00F25FDF"/>
    <w:rPr>
      <w:rFonts w:ascii="Arial" w:eastAsia="MS Mincho" w:hAnsi="Arial" w:cs="Arial"/>
      <w:b/>
      <w:sz w:val="24"/>
      <w:szCs w:val="24"/>
    </w:rPr>
  </w:style>
  <w:style w:type="table" w:styleId="TableGrid">
    <w:name w:val="Table Grid"/>
    <w:basedOn w:val="TableNormal"/>
    <w:uiPriority w:val="39"/>
    <w:rsid w:val="00C967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8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679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28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7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512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74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34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29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430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787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026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5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742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2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4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0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1058</Words>
  <Characters>5403</Characters>
  <Application>Microsoft Office Word</Application>
  <DocSecurity>0</DocSecurity>
  <Lines>400</Lines>
  <Paragraphs>282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5</cp:revision>
  <dcterms:created xsi:type="dcterms:W3CDTF">2019-02-13T00:09:00Z</dcterms:created>
  <dcterms:modified xsi:type="dcterms:W3CDTF">2019-02-14T17:55:00Z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a6c8125d-91ac-4896-aa02-92a60da5e706</vt:lpwstr>
  </property>
  <property fmtid="{D5CDD505-2E9C-101B-9397-08002B2CF9AE}" pid="3" name="CTP_TimeStamp">
    <vt:lpwstr>2019-02-14 17:55:24Z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