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AFBB" w14:textId="224EDCFA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354A86">
        <w:rPr>
          <w:noProof w:val="0"/>
          <w:sz w:val="24"/>
        </w:rPr>
        <w:t>82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210784" w:rsidRPr="00210784">
        <w:rPr>
          <w:rFonts w:cs="Arial"/>
          <w:bCs/>
          <w:noProof w:val="0"/>
          <w:sz w:val="24"/>
        </w:rPr>
        <w:t>01830</w:t>
      </w:r>
      <w:bookmarkStart w:id="1" w:name="_GoBack"/>
      <w:bookmarkEnd w:id="1"/>
    </w:p>
    <w:p w14:paraId="7FE3607D" w14:textId="69D65E21" w:rsidR="00A45FE2" w:rsidRPr="00CB69BA" w:rsidRDefault="00354A86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Athens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Greece</w:t>
      </w:r>
      <w:r w:rsidR="004A3B8F">
        <w:rPr>
          <w:noProof w:val="0"/>
          <w:sz w:val="24"/>
        </w:rPr>
        <w:t>, 1</w:t>
      </w:r>
      <w:r>
        <w:rPr>
          <w:noProof w:val="0"/>
          <w:sz w:val="24"/>
        </w:rPr>
        <w:t>3</w:t>
      </w:r>
      <w:r w:rsidR="00564B4C">
        <w:rPr>
          <w:noProof w:val="0"/>
          <w:sz w:val="24"/>
        </w:rPr>
        <w:t>th</w:t>
      </w:r>
      <w:r w:rsidR="004A3B8F">
        <w:rPr>
          <w:noProof w:val="0"/>
          <w:sz w:val="24"/>
        </w:rPr>
        <w:t xml:space="preserve"> – 1</w:t>
      </w:r>
      <w:r>
        <w:rPr>
          <w:noProof w:val="0"/>
          <w:sz w:val="24"/>
        </w:rPr>
        <w:t>7</w:t>
      </w:r>
      <w:r w:rsidR="00564B4C">
        <w:rPr>
          <w:noProof w:val="0"/>
          <w:sz w:val="24"/>
        </w:rPr>
        <w:t>th</w:t>
      </w:r>
      <w:r>
        <w:rPr>
          <w:noProof w:val="0"/>
          <w:sz w:val="24"/>
        </w:rPr>
        <w:t xml:space="preserve"> February</w:t>
      </w:r>
      <w:r w:rsidR="00CB69BA">
        <w:rPr>
          <w:noProof w:val="0"/>
          <w:sz w:val="24"/>
        </w:rPr>
        <w:t>,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47D9473D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F81833" w:rsidRPr="00B43D89">
        <w:rPr>
          <w:rFonts w:ascii="Arial" w:eastAsiaTheme="minorHAnsi" w:hAnsi="Arial" w:cs="Arial"/>
          <w:b/>
          <w:bCs/>
          <w:sz w:val="24"/>
        </w:rPr>
        <w:t>Alcatel-Lucent Shanghai Bell</w:t>
      </w:r>
    </w:p>
    <w:p w14:paraId="38F0AED7" w14:textId="743D569D" w:rsidR="00CD4C7B" w:rsidRDefault="006A0B35" w:rsidP="006A0B35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E22D1">
        <w:rPr>
          <w:rFonts w:ascii="Arial" w:hAnsi="Arial" w:cs="Arial"/>
          <w:b/>
          <w:bCs/>
          <w:sz w:val="24"/>
        </w:rPr>
        <w:t>OTA</w:t>
      </w:r>
      <w:r w:rsidR="001568FC">
        <w:rPr>
          <w:rFonts w:ascii="Arial" w:hAnsi="Arial" w:cs="Arial"/>
          <w:b/>
          <w:bCs/>
          <w:sz w:val="24"/>
        </w:rPr>
        <w:t xml:space="preserve"> </w:t>
      </w:r>
      <w:r w:rsidR="000348B2">
        <w:rPr>
          <w:rFonts w:ascii="Arial" w:hAnsi="Arial" w:cs="Arial"/>
          <w:b/>
          <w:bCs/>
          <w:sz w:val="24"/>
        </w:rPr>
        <w:t xml:space="preserve">EVM requirements </w:t>
      </w:r>
    </w:p>
    <w:p w14:paraId="28325425" w14:textId="1DC17286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B12B4">
        <w:rPr>
          <w:rFonts w:cs="Arial"/>
          <w:b/>
          <w:bCs/>
          <w:sz w:val="24"/>
        </w:rPr>
        <w:t>7.1</w:t>
      </w:r>
      <w:r>
        <w:rPr>
          <w:rFonts w:cs="Arial"/>
          <w:b/>
          <w:bCs/>
          <w:sz w:val="24"/>
        </w:rPr>
        <w:t>3.</w:t>
      </w:r>
      <w:r w:rsidR="008B12B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.</w:t>
      </w:r>
      <w:r w:rsidR="008B12B4">
        <w:rPr>
          <w:rFonts w:cs="Arial"/>
          <w:b/>
          <w:bCs/>
          <w:sz w:val="24"/>
        </w:rPr>
        <w:t>2</w:t>
      </w:r>
    </w:p>
    <w:p w14:paraId="62346435" w14:textId="0EAAA2A3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0B05AE">
        <w:rPr>
          <w:rFonts w:ascii="Arial" w:hAnsi="Arial" w:cs="Arial"/>
          <w:b/>
          <w:bCs/>
          <w:sz w:val="24"/>
        </w:rPr>
        <w:t>Approval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2F61D9F" w14:textId="3410D71A" w:rsidR="000A362E" w:rsidRDefault="00AD1C92" w:rsidP="00171463">
      <w:pPr>
        <w:spacing w:after="0"/>
        <w:rPr>
          <w:bCs/>
        </w:rPr>
      </w:pPr>
      <w:r>
        <w:rPr>
          <w:bCs/>
        </w:rPr>
        <w:t xml:space="preserve">The open issues </w:t>
      </w:r>
      <w:r w:rsidR="00394707">
        <w:rPr>
          <w:bCs/>
        </w:rPr>
        <w:t>captured</w:t>
      </w:r>
      <w:r>
        <w:rPr>
          <w:bCs/>
        </w:rPr>
        <w:t xml:space="preserve"> in the WF on OTA EVM [1] </w:t>
      </w:r>
      <w:r w:rsidR="002A027F">
        <w:rPr>
          <w:bCs/>
        </w:rPr>
        <w:t>were discussed during</w:t>
      </w:r>
      <w:r>
        <w:rPr>
          <w:bCs/>
        </w:rPr>
        <w:t xml:space="preserve"> the</w:t>
      </w:r>
      <w:r w:rsidR="000A362E">
        <w:rPr>
          <w:bCs/>
        </w:rPr>
        <w:t xml:space="preserve"> last meeting RAN4#81 in Reno</w:t>
      </w:r>
      <w:r w:rsidR="00C30BBA">
        <w:rPr>
          <w:bCs/>
        </w:rPr>
        <w:t xml:space="preserve"> but n</w:t>
      </w:r>
      <w:r w:rsidR="001255B4">
        <w:rPr>
          <w:bCs/>
        </w:rPr>
        <w:t xml:space="preserve">o </w:t>
      </w:r>
      <w:r w:rsidR="00C30BBA">
        <w:rPr>
          <w:bCs/>
        </w:rPr>
        <w:t>consensus</w:t>
      </w:r>
      <w:r w:rsidR="001255B4">
        <w:rPr>
          <w:bCs/>
        </w:rPr>
        <w:t xml:space="preserve"> was reached.</w:t>
      </w:r>
    </w:p>
    <w:p w14:paraId="115CE418" w14:textId="7DCE7FE8" w:rsidR="00565530" w:rsidRDefault="00565530" w:rsidP="00171463">
      <w:pPr>
        <w:spacing w:after="0"/>
        <w:rPr>
          <w:bCs/>
        </w:rPr>
      </w:pPr>
    </w:p>
    <w:p w14:paraId="00CA94CB" w14:textId="24D5CEA7" w:rsidR="00D7766E" w:rsidRPr="003E24CA" w:rsidRDefault="001715FF" w:rsidP="00171463">
      <w:pPr>
        <w:spacing w:after="0"/>
        <w:rPr>
          <w:bCs/>
        </w:rPr>
      </w:pPr>
      <w:r>
        <w:rPr>
          <w:bCs/>
        </w:rPr>
        <w:t xml:space="preserve">In this document, we continue </w:t>
      </w:r>
      <w:r w:rsidR="00394707">
        <w:rPr>
          <w:bCs/>
        </w:rPr>
        <w:t>the d</w:t>
      </w:r>
      <w:r w:rsidR="00EF1848">
        <w:rPr>
          <w:bCs/>
        </w:rPr>
        <w:t>iscussion of</w:t>
      </w:r>
      <w:r w:rsidR="00394707">
        <w:rPr>
          <w:bCs/>
        </w:rPr>
        <w:t xml:space="preserve"> these open issues</w:t>
      </w:r>
      <w:r w:rsidR="00A54101">
        <w:rPr>
          <w:bCs/>
        </w:rPr>
        <w:t xml:space="preserve"> and</w:t>
      </w:r>
      <w:r w:rsidR="00D7766E">
        <w:rPr>
          <w:bCs/>
        </w:rPr>
        <w:t xml:space="preserve"> conclude with some </w:t>
      </w:r>
      <w:r w:rsidR="00F23992">
        <w:rPr>
          <w:bCs/>
        </w:rPr>
        <w:t>observations</w:t>
      </w:r>
      <w:r w:rsidR="00141B79">
        <w:rPr>
          <w:bCs/>
        </w:rPr>
        <w:t>.</w:t>
      </w:r>
    </w:p>
    <w:p w14:paraId="16A9DD05" w14:textId="04946D1B" w:rsidR="00831B65" w:rsidRDefault="00C608C8" w:rsidP="00FA5286">
      <w:pPr>
        <w:pStyle w:val="Heading1"/>
      </w:pPr>
      <w:r>
        <w:t>2</w:t>
      </w:r>
      <w:r>
        <w:tab/>
        <w:t>Discussion</w:t>
      </w:r>
    </w:p>
    <w:p w14:paraId="3E3917F0" w14:textId="1F0B1EF8" w:rsidR="006B1CB4" w:rsidRDefault="000644A3" w:rsidP="00AF5C26">
      <w:r>
        <w:t>According</w:t>
      </w:r>
      <w:r w:rsidR="004B59CD">
        <w:t xml:space="preserve"> to [1], </w:t>
      </w:r>
      <w:r>
        <w:t>t</w:t>
      </w:r>
      <w:r w:rsidR="009A2AEF">
        <w:t xml:space="preserve">he </w:t>
      </w:r>
      <w:r w:rsidR="006B1CB4">
        <w:t xml:space="preserve">first </w:t>
      </w:r>
      <w:r w:rsidR="009A2AEF">
        <w:t>open issue</w:t>
      </w:r>
      <w:r w:rsidR="006B1CB4">
        <w:t xml:space="preserve"> is </w:t>
      </w:r>
    </w:p>
    <w:p w14:paraId="32495290" w14:textId="533BF529" w:rsidR="009A2AEF" w:rsidRPr="00AF5C26" w:rsidRDefault="009A2AEF" w:rsidP="00AF5C26">
      <w:pPr>
        <w:ind w:left="284"/>
        <w:rPr>
          <w:i/>
          <w:szCs w:val="24"/>
        </w:rPr>
      </w:pPr>
      <w:r w:rsidRPr="00AF5C26">
        <w:rPr>
          <w:i/>
        </w:rPr>
        <w:t>whether OTA EVM requirements apply per beam or over the declared EVM direction range with only one EVM direction range</w:t>
      </w:r>
    </w:p>
    <w:p w14:paraId="6E589940" w14:textId="45AA4EB0" w:rsidR="00A9629E" w:rsidRDefault="00CD0A2E" w:rsidP="00AF5C26">
      <w:r>
        <w:t xml:space="preserve">EVM is a measure of signal </w:t>
      </w:r>
      <w:r w:rsidR="00165A9A">
        <w:t xml:space="preserve">impairments </w:t>
      </w:r>
      <w:r>
        <w:t xml:space="preserve">introduced by </w:t>
      </w:r>
      <w:r w:rsidR="00B037D1">
        <w:t xml:space="preserve">transmitter </w:t>
      </w:r>
      <w:r>
        <w:t>RF imperfections such as LO phase noise, PA nonlinearity and DAC</w:t>
      </w:r>
      <w:r w:rsidR="005A69E2">
        <w:t xml:space="preserve"> noise. In [2]</w:t>
      </w:r>
      <w:r>
        <w:t xml:space="preserve">, </w:t>
      </w:r>
      <w:r w:rsidR="005A69E2">
        <w:t>we studied the effect of</w:t>
      </w:r>
      <w:r w:rsidR="00EC6E06">
        <w:t xml:space="preserve"> </w:t>
      </w:r>
      <w:r>
        <w:t xml:space="preserve">LO phase noise </w:t>
      </w:r>
      <w:r w:rsidR="005A69E2">
        <w:t xml:space="preserve">in beamforming </w:t>
      </w:r>
      <w:r>
        <w:t>on EVM.</w:t>
      </w:r>
      <w:r w:rsidR="00D1697A">
        <w:t xml:space="preserve"> The main conclusion drawn from this study is that </w:t>
      </w:r>
      <w:r w:rsidR="009A1204">
        <w:t>the EVM in th</w:t>
      </w:r>
      <w:r w:rsidR="005D416A">
        <w:t xml:space="preserve">e main lobe of </w:t>
      </w:r>
      <w:r w:rsidR="00281002">
        <w:t xml:space="preserve">user-specific </w:t>
      </w:r>
      <w:r w:rsidR="00D24E3B">
        <w:t>beams</w:t>
      </w:r>
      <w:r w:rsidR="003D269F">
        <w:t xml:space="preserve"> decreases</w:t>
      </w:r>
      <w:r w:rsidR="00216085">
        <w:t xml:space="preserve"> </w:t>
      </w:r>
      <w:r w:rsidR="003D269F">
        <w:t>as</w:t>
      </w:r>
      <w:r w:rsidR="00216085">
        <w:t xml:space="preserve"> the number of transmitters</w:t>
      </w:r>
      <w:r w:rsidR="005D416A">
        <w:t xml:space="preserve"> increases provided</w:t>
      </w:r>
      <w:r w:rsidR="003D269F">
        <w:t xml:space="preserve"> </w:t>
      </w:r>
      <w:r w:rsidR="00165A9A">
        <w:t>all</w:t>
      </w:r>
      <w:r w:rsidR="008006B3">
        <w:t xml:space="preserve"> </w:t>
      </w:r>
      <w:r w:rsidR="003D269F">
        <w:t>the phase noise sources are uncorrelated</w:t>
      </w:r>
      <w:r w:rsidR="004260FB">
        <w:t xml:space="preserve">. In the case of full correlation, the </w:t>
      </w:r>
      <w:r w:rsidR="003E1611">
        <w:t xml:space="preserve">beamformed </w:t>
      </w:r>
      <w:r w:rsidR="004260FB">
        <w:t>EVM is the same as non-</w:t>
      </w:r>
      <w:r w:rsidR="003E1611">
        <w:t>beamformed EVM</w:t>
      </w:r>
      <w:r w:rsidR="004260FB">
        <w:t>.</w:t>
      </w:r>
      <w:r w:rsidR="00B22EC8">
        <w:t xml:space="preserve"> </w:t>
      </w:r>
      <w:r w:rsidR="00AC080A">
        <w:t>Thus, the beam w</w:t>
      </w:r>
      <w:r w:rsidR="00D33257">
        <w:t>ith th</w:t>
      </w:r>
      <w:r w:rsidR="00EF218C">
        <w:t>e worst EVM should be used</w:t>
      </w:r>
      <w:r w:rsidR="00AC080A">
        <w:t xml:space="preserve"> for demonstrating EVM compliance. </w:t>
      </w:r>
      <w:r w:rsidR="00D24E3B">
        <w:t>As the degree of correlation is implementation dependent, non-</w:t>
      </w:r>
      <w:r w:rsidR="00AC080A">
        <w:t xml:space="preserve">user-specific beams seem to be the most appropriate rather than user-specific beams. </w:t>
      </w:r>
      <w:r w:rsidR="00DD2DD4">
        <w:t xml:space="preserve"> </w:t>
      </w:r>
    </w:p>
    <w:p w14:paraId="0D3A0FD4" w14:textId="6E24DDFD" w:rsidR="00281002" w:rsidRDefault="00A9629E" w:rsidP="00AF5C26">
      <w:r w:rsidRPr="00AD22D7">
        <w:rPr>
          <w:b/>
          <w:i/>
        </w:rPr>
        <w:t>Observation</w:t>
      </w:r>
      <w:r w:rsidRPr="00AD22D7">
        <w:rPr>
          <w:b/>
        </w:rPr>
        <w:t xml:space="preserve"> 1</w:t>
      </w:r>
      <w:r>
        <w:t xml:space="preserve">: </w:t>
      </w:r>
      <w:r w:rsidR="000F56C1" w:rsidRPr="001C3862">
        <w:rPr>
          <w:b/>
        </w:rPr>
        <w:t>It is not necessary to apply OT</w:t>
      </w:r>
      <w:r w:rsidR="00281002" w:rsidRPr="001C3862">
        <w:rPr>
          <w:b/>
        </w:rPr>
        <w:t>A EVM requirements per beam but</w:t>
      </w:r>
      <w:r w:rsidR="000F56C1" w:rsidRPr="001C3862">
        <w:rPr>
          <w:b/>
        </w:rPr>
        <w:t xml:space="preserve"> one</w:t>
      </w:r>
      <w:r w:rsidR="003E1611" w:rsidRPr="001C3862">
        <w:rPr>
          <w:b/>
        </w:rPr>
        <w:t xml:space="preserve"> beam with the worst EVM</w:t>
      </w:r>
      <w:r w:rsidR="00A027D9" w:rsidRPr="001C3862">
        <w:rPr>
          <w:b/>
        </w:rPr>
        <w:t xml:space="preserve"> </w:t>
      </w:r>
      <w:r w:rsidR="002B139A" w:rsidRPr="001C3862">
        <w:rPr>
          <w:b/>
        </w:rPr>
        <w:t xml:space="preserve">is sufficient </w:t>
      </w:r>
      <w:r w:rsidR="00A027D9" w:rsidRPr="001C3862">
        <w:rPr>
          <w:b/>
        </w:rPr>
        <w:t xml:space="preserve">since EVM </w:t>
      </w:r>
      <w:r w:rsidR="00097CA9" w:rsidRPr="001C3862">
        <w:rPr>
          <w:b/>
        </w:rPr>
        <w:t>compliance</w:t>
      </w:r>
      <w:r w:rsidR="00A027D9" w:rsidRPr="001C3862">
        <w:rPr>
          <w:b/>
        </w:rPr>
        <w:t xml:space="preserve"> </w:t>
      </w:r>
      <w:r w:rsidR="00097CA9" w:rsidRPr="001C3862">
        <w:rPr>
          <w:b/>
        </w:rPr>
        <w:t>tests</w:t>
      </w:r>
      <w:r w:rsidR="006E2E64" w:rsidRPr="001C3862">
        <w:rPr>
          <w:b/>
        </w:rPr>
        <w:t xml:space="preserve"> need</w:t>
      </w:r>
      <w:r w:rsidR="00A027D9" w:rsidRPr="001C3862">
        <w:rPr>
          <w:b/>
        </w:rPr>
        <w:t xml:space="preserve"> </w:t>
      </w:r>
      <w:r w:rsidR="00097CA9" w:rsidRPr="001C3862">
        <w:rPr>
          <w:b/>
        </w:rPr>
        <w:t xml:space="preserve">to meet </w:t>
      </w:r>
      <w:r w:rsidR="00A027D9" w:rsidRPr="001C3862">
        <w:rPr>
          <w:b/>
        </w:rPr>
        <w:t>a threshold</w:t>
      </w:r>
      <w:r w:rsidR="00097CA9" w:rsidRPr="001C3862">
        <w:rPr>
          <w:b/>
        </w:rPr>
        <w:t xml:space="preserve"> requirement</w:t>
      </w:r>
      <w:r w:rsidR="00580901">
        <w:rPr>
          <w:b/>
        </w:rPr>
        <w:t xml:space="preserve"> only</w:t>
      </w:r>
      <w:r w:rsidR="004C04F9" w:rsidRPr="001C3862">
        <w:rPr>
          <w:b/>
        </w:rPr>
        <w:t xml:space="preserve">. </w:t>
      </w:r>
      <w:r w:rsidR="00097CA9" w:rsidRPr="001C3862">
        <w:rPr>
          <w:b/>
        </w:rPr>
        <w:t xml:space="preserve">This implies that </w:t>
      </w:r>
      <w:r w:rsidR="002B139A" w:rsidRPr="001C3862">
        <w:rPr>
          <w:b/>
        </w:rPr>
        <w:t>i</w:t>
      </w:r>
      <w:r w:rsidR="004C04F9" w:rsidRPr="001C3862">
        <w:rPr>
          <w:b/>
        </w:rPr>
        <w:t xml:space="preserve">f the worst EVM </w:t>
      </w:r>
      <w:r w:rsidR="002B139A" w:rsidRPr="001C3862">
        <w:rPr>
          <w:b/>
        </w:rPr>
        <w:t xml:space="preserve">beam </w:t>
      </w:r>
      <w:r w:rsidR="004C04F9" w:rsidRPr="001C3862">
        <w:rPr>
          <w:b/>
        </w:rPr>
        <w:t xml:space="preserve">is </w:t>
      </w:r>
      <w:r w:rsidR="00C805A8">
        <w:rPr>
          <w:b/>
        </w:rPr>
        <w:t>below</w:t>
      </w:r>
      <w:r w:rsidR="004C04F9" w:rsidRPr="001C3862">
        <w:rPr>
          <w:b/>
        </w:rPr>
        <w:t xml:space="preserve"> the threshold, </w:t>
      </w:r>
      <w:r w:rsidR="00097CA9" w:rsidRPr="001C3862">
        <w:rPr>
          <w:b/>
        </w:rPr>
        <w:t>then</w:t>
      </w:r>
      <w:r w:rsidR="004C04F9" w:rsidRPr="001C3862">
        <w:rPr>
          <w:b/>
        </w:rPr>
        <w:t xml:space="preserve"> all the other beams should meet the requirement.</w:t>
      </w:r>
      <w:r w:rsidR="004C04F9">
        <w:t xml:space="preserve"> </w:t>
      </w:r>
      <w:r w:rsidR="005350AD" w:rsidRPr="00DC718A">
        <w:rPr>
          <w:b/>
        </w:rPr>
        <w:t>All active transceiver units for the beam are configured to transmit at nominal power levels in order to excite all non-linear behaviours.</w:t>
      </w:r>
      <w:r w:rsidR="005350AD">
        <w:t xml:space="preserve"> </w:t>
      </w:r>
    </w:p>
    <w:p w14:paraId="28EBA900" w14:textId="13352825" w:rsidR="00FA4FC3" w:rsidRDefault="00FA4FC3" w:rsidP="00AF5C26">
      <w:r>
        <w:t xml:space="preserve">The second open issue </w:t>
      </w:r>
      <w:r w:rsidR="003D27D4">
        <w:t>[1]</w:t>
      </w:r>
      <w:r>
        <w:t xml:space="preserve"> is</w:t>
      </w:r>
    </w:p>
    <w:p w14:paraId="2501FBB5" w14:textId="77777777" w:rsidR="00FA4FC3" w:rsidRPr="00AF5C26" w:rsidRDefault="00FA4FC3" w:rsidP="00AF5C26">
      <w:pPr>
        <w:ind w:left="284"/>
        <w:rPr>
          <w:i/>
        </w:rPr>
      </w:pPr>
      <w:r w:rsidRPr="00AF5C26">
        <w:rPr>
          <w:i/>
        </w:rPr>
        <w:t>how to declare the coverage direction range, either adopting the same as EIRP direction set or as a new EVM direction set, or something else, is still FFS</w:t>
      </w:r>
    </w:p>
    <w:p w14:paraId="129969B8" w14:textId="511388AA" w:rsidR="00FA4FC3" w:rsidRDefault="000644A3" w:rsidP="00AF5C26">
      <w:r>
        <w:t>Referring</w:t>
      </w:r>
      <w:r w:rsidR="00E73B5E">
        <w:t xml:space="preserve"> to TR 37.842, </w:t>
      </w:r>
      <w:r>
        <w:t xml:space="preserve">there are </w:t>
      </w:r>
      <w:r w:rsidR="007B1789">
        <w:t>at least five</w:t>
      </w:r>
      <w:r w:rsidR="00E73B5E">
        <w:t xml:space="preserve"> EIRP </w:t>
      </w:r>
      <w:r>
        <w:t xml:space="preserve">accuracy directions sets which correspond to </w:t>
      </w:r>
      <w:r w:rsidR="007B1789">
        <w:t>five</w:t>
      </w:r>
      <w:r w:rsidR="0067675D">
        <w:t xml:space="preserve"> beams</w:t>
      </w:r>
      <w:r w:rsidR="007B1789">
        <w:t xml:space="preserve"> declared during conformance testing</w:t>
      </w:r>
      <w:r w:rsidR="00EA6F10">
        <w:t xml:space="preserve"> as follows (from TR 37.842)</w:t>
      </w:r>
      <w:r w:rsidR="0067675D">
        <w:t xml:space="preserve">: </w:t>
      </w:r>
    </w:p>
    <w:p w14:paraId="0DD2430F" w14:textId="72AC751B" w:rsidR="00370920" w:rsidRPr="00AF5C26" w:rsidRDefault="00370920" w:rsidP="00370920">
      <w:pPr>
        <w:pStyle w:val="3GPP"/>
        <w:numPr>
          <w:ilvl w:val="0"/>
          <w:numId w:val="31"/>
        </w:numPr>
        <w:rPr>
          <w:i/>
          <w:lang w:val="en-GB"/>
        </w:rPr>
      </w:pPr>
      <w:r w:rsidRPr="00AF5C26">
        <w:rPr>
          <w:i/>
          <w:lang w:val="en-GB"/>
        </w:rPr>
        <w:t>Narrowest intended BeW</w:t>
      </w:r>
      <w:r w:rsidRPr="00AF5C26">
        <w:rPr>
          <w:i/>
          <w:vertAlign w:val="subscript"/>
        </w:rPr>
        <w:t>Θ</w:t>
      </w:r>
      <w:r w:rsidRPr="00AF5C26">
        <w:rPr>
          <w:i/>
          <w:lang w:val="en-GB"/>
        </w:rPr>
        <w:t>, narrowest intended BeW</w:t>
      </w:r>
      <w:r w:rsidRPr="00AF5C26">
        <w:rPr>
          <w:i/>
          <w:vertAlign w:val="subscript"/>
          <w:lang w:val="en-GB"/>
        </w:rPr>
        <w:t>ϕ</w:t>
      </w:r>
      <w:r w:rsidRPr="00AF5C26">
        <w:rPr>
          <w:i/>
          <w:lang w:val="en-GB"/>
        </w:rPr>
        <w:t xml:space="preserve"> (possible when narrowest intended BeW</w:t>
      </w:r>
      <w:r w:rsidRPr="00AF5C26">
        <w:rPr>
          <w:i/>
          <w:vertAlign w:val="subscript"/>
        </w:rPr>
        <w:t>Θ</w:t>
      </w:r>
      <w:r w:rsidRPr="00AF5C26">
        <w:rPr>
          <w:i/>
          <w:lang w:val="en-GB"/>
        </w:rPr>
        <w:t>) at the reference beam direction</w:t>
      </w:r>
    </w:p>
    <w:p w14:paraId="586BF29F" w14:textId="15151D82" w:rsidR="0067675D" w:rsidRPr="00AF5C26" w:rsidRDefault="00370920" w:rsidP="00AF5C26">
      <w:pPr>
        <w:pStyle w:val="ListParagraph"/>
        <w:numPr>
          <w:ilvl w:val="0"/>
          <w:numId w:val="31"/>
        </w:numPr>
        <w:spacing w:after="180"/>
        <w:ind w:left="714" w:hanging="357"/>
        <w:contextualSpacing w:val="0"/>
        <w:rPr>
          <w:i/>
          <w:sz w:val="20"/>
          <w:szCs w:val="20"/>
          <w:lang w:val="en-GB"/>
        </w:rPr>
      </w:pPr>
      <w:r w:rsidRPr="00AF5C26">
        <w:rPr>
          <w:i/>
          <w:sz w:val="20"/>
          <w:szCs w:val="20"/>
          <w:lang w:val="en-GB"/>
        </w:rPr>
        <w:t>Narrowest intended BeW</w:t>
      </w:r>
      <w:r w:rsidRPr="00AF5C26">
        <w:rPr>
          <w:i/>
          <w:sz w:val="20"/>
          <w:szCs w:val="20"/>
          <w:vertAlign w:val="subscript"/>
          <w:lang w:val="en-GB"/>
        </w:rPr>
        <w:t>ϕ</w:t>
      </w:r>
      <w:r w:rsidRPr="00AF5C26">
        <w:rPr>
          <w:i/>
          <w:sz w:val="20"/>
          <w:szCs w:val="20"/>
          <w:lang w:val="en-GB"/>
        </w:rPr>
        <w:t>, narrowest intended BeW</w:t>
      </w:r>
      <w:r w:rsidRPr="00AF5C26">
        <w:rPr>
          <w:i/>
          <w:sz w:val="20"/>
          <w:szCs w:val="20"/>
          <w:vertAlign w:val="subscript"/>
          <w:lang w:val="en-GB"/>
        </w:rPr>
        <w:t>Θ</w:t>
      </w:r>
      <w:r w:rsidRPr="00AF5C26">
        <w:rPr>
          <w:i/>
          <w:sz w:val="20"/>
          <w:szCs w:val="20"/>
          <w:lang w:val="en-GB"/>
        </w:rPr>
        <w:t xml:space="preserve"> (possible when narrowest intended BeW</w:t>
      </w:r>
      <w:r w:rsidRPr="00AF5C26">
        <w:rPr>
          <w:i/>
          <w:sz w:val="20"/>
          <w:szCs w:val="20"/>
          <w:vertAlign w:val="subscript"/>
          <w:lang w:val="en-GB"/>
        </w:rPr>
        <w:t>ϕ</w:t>
      </w:r>
      <w:r w:rsidRPr="00AF5C26">
        <w:rPr>
          <w:i/>
          <w:sz w:val="20"/>
          <w:szCs w:val="20"/>
          <w:lang w:val="en-GB"/>
        </w:rPr>
        <w:t>) at the reference beam direction</w:t>
      </w:r>
    </w:p>
    <w:p w14:paraId="09F0D6B9" w14:textId="77777777" w:rsidR="00780AEF" w:rsidRPr="00AF5C26" w:rsidRDefault="00780AEF" w:rsidP="00780AEF">
      <w:pPr>
        <w:pStyle w:val="3GPP"/>
        <w:numPr>
          <w:ilvl w:val="0"/>
          <w:numId w:val="31"/>
        </w:numPr>
        <w:rPr>
          <w:i/>
          <w:lang w:val="en-GB"/>
        </w:rPr>
      </w:pPr>
      <w:r w:rsidRPr="00AF5C26">
        <w:rPr>
          <w:i/>
          <w:lang w:val="en-GB"/>
        </w:rPr>
        <w:t>Widest intended BeW</w:t>
      </w:r>
      <w:r w:rsidRPr="00AF5C26">
        <w:rPr>
          <w:rFonts w:ascii="Symbol" w:hAnsi="Symbol"/>
          <w:i/>
          <w:vertAlign w:val="subscript"/>
        </w:rPr>
        <w:t></w:t>
      </w:r>
      <w:r w:rsidRPr="00AF5C26">
        <w:rPr>
          <w:i/>
          <w:lang w:val="en-GB"/>
        </w:rPr>
        <w:t xml:space="preserve"> , widest intended BeW</w:t>
      </w:r>
      <w:r w:rsidRPr="00AF5C26">
        <w:rPr>
          <w:i/>
          <w:vertAlign w:val="subscript"/>
          <w:lang w:val="en-GB"/>
        </w:rPr>
        <w:t>ϕ</w:t>
      </w:r>
      <w:r w:rsidRPr="00AF5C26">
        <w:rPr>
          <w:i/>
          <w:lang w:val="en-GB"/>
        </w:rPr>
        <w:t xml:space="preserve"> (possible when widest intended BeW</w:t>
      </w:r>
      <w:r w:rsidRPr="00AF5C26">
        <w:rPr>
          <w:rFonts w:ascii="Symbol" w:hAnsi="Symbol"/>
          <w:i/>
          <w:vertAlign w:val="subscript"/>
        </w:rPr>
        <w:t></w:t>
      </w:r>
      <w:r w:rsidRPr="00AF5C26">
        <w:rPr>
          <w:i/>
          <w:lang w:val="en-GB"/>
        </w:rPr>
        <w:t>) at the reference beam direction</w:t>
      </w:r>
    </w:p>
    <w:p w14:paraId="776A2848" w14:textId="77777777" w:rsidR="00780AEF" w:rsidRPr="00AF5C26" w:rsidRDefault="00780AEF" w:rsidP="00780AEF">
      <w:pPr>
        <w:pStyle w:val="3GPP"/>
        <w:numPr>
          <w:ilvl w:val="0"/>
          <w:numId w:val="31"/>
        </w:numPr>
        <w:rPr>
          <w:i/>
          <w:lang w:val="en-GB"/>
        </w:rPr>
      </w:pPr>
      <w:r w:rsidRPr="00AF5C26">
        <w:rPr>
          <w:i/>
          <w:lang w:val="en-GB"/>
        </w:rPr>
        <w:t>Widest intended BeW</w:t>
      </w:r>
      <w:r w:rsidRPr="00AF5C26">
        <w:rPr>
          <w:i/>
          <w:vertAlign w:val="subscript"/>
          <w:lang w:val="en-GB"/>
        </w:rPr>
        <w:t>ϕ</w:t>
      </w:r>
      <w:r w:rsidRPr="00AF5C26">
        <w:rPr>
          <w:i/>
          <w:lang w:val="en-GB"/>
        </w:rPr>
        <w:t xml:space="preserve"> – widest intended BeW</w:t>
      </w:r>
      <w:r w:rsidRPr="00AF5C26">
        <w:rPr>
          <w:rFonts w:ascii="Symbol" w:hAnsi="Symbol"/>
          <w:i/>
          <w:vertAlign w:val="subscript"/>
        </w:rPr>
        <w:t></w:t>
      </w:r>
      <w:r w:rsidRPr="00AF5C26">
        <w:rPr>
          <w:i/>
          <w:lang w:val="en-GB"/>
        </w:rPr>
        <w:t xml:space="preserve"> (possible when widest intended BeW</w:t>
      </w:r>
      <w:r w:rsidRPr="00AF5C26">
        <w:rPr>
          <w:i/>
          <w:vertAlign w:val="subscript"/>
          <w:lang w:val="en-GB"/>
        </w:rPr>
        <w:t>ϕ</w:t>
      </w:r>
      <w:r w:rsidRPr="00AF5C26">
        <w:rPr>
          <w:i/>
          <w:lang w:val="en-GB"/>
        </w:rPr>
        <w:t>) at the reference beam direction</w:t>
      </w:r>
    </w:p>
    <w:p w14:paraId="3E985163" w14:textId="77777777" w:rsidR="00780AEF" w:rsidRPr="00AF5C26" w:rsidRDefault="00780AEF" w:rsidP="00780AEF">
      <w:pPr>
        <w:pStyle w:val="3GPP"/>
        <w:numPr>
          <w:ilvl w:val="0"/>
          <w:numId w:val="31"/>
        </w:numPr>
        <w:rPr>
          <w:i/>
          <w:lang w:val="en-GB"/>
        </w:rPr>
      </w:pPr>
      <w:r w:rsidRPr="00AF5C26">
        <w:rPr>
          <w:i/>
          <w:lang w:val="en-GB"/>
        </w:rPr>
        <w:t>BeW</w:t>
      </w:r>
      <w:r w:rsidRPr="00AF5C26">
        <w:rPr>
          <w:rFonts w:ascii="Symbol" w:hAnsi="Symbol"/>
          <w:i/>
          <w:vertAlign w:val="subscript"/>
        </w:rPr>
        <w:t></w:t>
      </w:r>
      <w:r w:rsidRPr="00AF5C26">
        <w:rPr>
          <w:i/>
          <w:lang w:val="en-GB"/>
        </w:rPr>
        <w:t xml:space="preserve"> and BeW</w:t>
      </w:r>
      <w:r w:rsidRPr="00AF5C26">
        <w:rPr>
          <w:i/>
          <w:vertAlign w:val="subscript"/>
          <w:lang w:val="en-GB"/>
        </w:rPr>
        <w:t>ϕ</w:t>
      </w:r>
      <w:r w:rsidRPr="00AF5C26">
        <w:rPr>
          <w:i/>
          <w:lang w:val="en-GB"/>
        </w:rPr>
        <w:t xml:space="preserve"> which provide highest intended EIRP of all possible beams at the reference beam direction.</w:t>
      </w:r>
    </w:p>
    <w:p w14:paraId="7791E543" w14:textId="77777777" w:rsidR="00141B79" w:rsidRDefault="00141B79" w:rsidP="00F959B6"/>
    <w:p w14:paraId="6619CEB4" w14:textId="4C0F0725" w:rsidR="00370920" w:rsidRDefault="007763C4" w:rsidP="00F959B6">
      <w:r>
        <w:t xml:space="preserve">Each </w:t>
      </w:r>
      <w:r w:rsidR="0045720E">
        <w:t xml:space="preserve">of the above </w:t>
      </w:r>
      <w:r>
        <w:t>EIRP ac</w:t>
      </w:r>
      <w:r w:rsidR="00EA6F10">
        <w:t>curacy di</w:t>
      </w:r>
      <w:r w:rsidR="00C5756D">
        <w:t>rections set is a 4-tuple (from TR 37.842):</w:t>
      </w:r>
      <w:r w:rsidR="00EA6F10">
        <w:t xml:space="preserve"> </w:t>
      </w:r>
    </w:p>
    <w:p w14:paraId="3C77EF49" w14:textId="5636318E" w:rsidR="007763C4" w:rsidRPr="00AF5C26" w:rsidRDefault="007763C4" w:rsidP="007763C4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/>
          <w:lang w:val="en-US"/>
        </w:rPr>
      </w:pPr>
      <w:r w:rsidRPr="00AF5C26">
        <w:rPr>
          <w:i/>
          <w:lang w:val="en-US"/>
        </w:rPr>
        <w:t xml:space="preserve">the </w:t>
      </w:r>
      <w:r w:rsidRPr="00AF5C26">
        <w:rPr>
          <w:rFonts w:hint="eastAsia"/>
          <w:i/>
          <w:lang w:val="en-US" w:eastAsia="zh-CN"/>
        </w:rPr>
        <w:t>beam peak direction</w:t>
      </w:r>
      <w:r w:rsidR="00936F40">
        <w:rPr>
          <w:i/>
          <w:lang w:val="en-US" w:eastAsia="zh-CN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∅</m:t>
            </m:r>
          </m:e>
          <m:sub>
            <m:r>
              <w:rPr>
                <w:rFonts w:ascii="Cambria Math" w:hAnsi="Cambria Math"/>
                <w:lang w:val="en-US" w:eastAsia="zh-CN"/>
              </w:rPr>
              <m:t>pos</m:t>
            </m:r>
          </m:sub>
        </m:sSub>
      </m:oMath>
      <w:r w:rsidR="00936F40">
        <w:rPr>
          <w:i/>
          <w:lang w:val="en-US" w:eastAsia="zh-CN"/>
        </w:rPr>
        <w:t>)</w:t>
      </w:r>
      <w:r w:rsidRPr="00AF5C26">
        <w:rPr>
          <w:rFonts w:hint="eastAsia"/>
          <w:i/>
          <w:lang w:val="en-US" w:eastAsia="zh-CN"/>
        </w:rPr>
        <w:t xml:space="preserve"> corresponding to the </w:t>
      </w:r>
      <w:r w:rsidRPr="00AF5C26">
        <w:rPr>
          <w:i/>
          <w:lang w:val="en-US"/>
        </w:rPr>
        <w:t xml:space="preserve">maximum steering from the reference beam centre direction in the positive </w:t>
      </w:r>
      <w:r w:rsidRPr="00AF5C26">
        <w:rPr>
          <w:rFonts w:ascii="Symbol" w:hAnsi="Symbol" w:cs="Arial"/>
          <w:i/>
          <w:lang w:val="en-US"/>
        </w:rPr>
        <w:t></w:t>
      </w:r>
      <w:r w:rsidRPr="00AF5C26">
        <w:rPr>
          <w:i/>
          <w:lang w:val="en-US"/>
        </w:rPr>
        <w:t xml:space="preserve"> direction while maintaining the reference beam centre direction </w:t>
      </w:r>
      <w:r w:rsidRPr="00AF5C26">
        <w:rPr>
          <w:rFonts w:ascii="Symbol" w:hAnsi="Symbol"/>
          <w:i/>
          <w:lang w:val="sv-SE"/>
        </w:rPr>
        <w:t></w:t>
      </w:r>
      <w:r w:rsidRPr="00AF5C26">
        <w:rPr>
          <w:rFonts w:ascii="Symbol" w:hAnsi="Symbol"/>
          <w:i/>
          <w:lang w:val="sv-SE"/>
        </w:rPr>
        <w:t></w:t>
      </w:r>
      <w:r w:rsidRPr="00AF5C26">
        <w:rPr>
          <w:i/>
        </w:rPr>
        <w:t>value</w:t>
      </w:r>
      <w:r w:rsidRPr="00AF5C26">
        <w:rPr>
          <w:i/>
          <w:lang w:val="en-US"/>
        </w:rPr>
        <w:t>.</w:t>
      </w:r>
    </w:p>
    <w:p w14:paraId="6023A9CC" w14:textId="353EE433" w:rsidR="007763C4" w:rsidRPr="00AF5C26" w:rsidRDefault="007763C4" w:rsidP="007763C4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/>
          <w:lang w:val="en-US"/>
        </w:rPr>
      </w:pPr>
      <w:r w:rsidRPr="00AF5C26">
        <w:rPr>
          <w:i/>
          <w:lang w:val="en-US"/>
        </w:rPr>
        <w:t>the</w:t>
      </w:r>
      <w:r w:rsidRPr="00AF5C26">
        <w:rPr>
          <w:rFonts w:hint="eastAsia"/>
          <w:i/>
          <w:lang w:val="en-US" w:eastAsia="zh-CN"/>
        </w:rPr>
        <w:t xml:space="preserve"> beam peak direction </w:t>
      </w:r>
      <w:r w:rsidR="00936F40">
        <w:rPr>
          <w:i/>
          <w:lang w:val="en-US" w:eastAsia="zh-CN"/>
        </w:rPr>
        <w:t>(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∅</m:t>
            </m:r>
          </m:e>
          <m:sub>
            <m:r>
              <w:rPr>
                <w:rFonts w:ascii="Cambria Math" w:hAnsi="Cambria Math"/>
                <w:lang w:val="en-US" w:eastAsia="zh-CN"/>
              </w:rPr>
              <m:t>neg</m:t>
            </m:r>
          </m:sub>
        </m:sSub>
        <m:r>
          <w:rPr>
            <w:rFonts w:ascii="Cambria Math" w:hAnsi="Cambria Math"/>
            <w:lang w:val="en-US" w:eastAsia="zh-CN"/>
          </w:rPr>
          <m:t>)</m:t>
        </m:r>
      </m:oMath>
      <w:r w:rsidRPr="00AF5C26">
        <w:rPr>
          <w:rFonts w:hint="eastAsia"/>
          <w:i/>
          <w:lang w:val="en-US" w:eastAsia="zh-CN"/>
        </w:rPr>
        <w:t>corresponding to the</w:t>
      </w:r>
      <w:r w:rsidRPr="00AF5C26">
        <w:rPr>
          <w:i/>
          <w:lang w:val="en-US"/>
        </w:rPr>
        <w:t xml:space="preserve"> maximum steering from the reference beam centre direction in the negative </w:t>
      </w:r>
      <w:r w:rsidRPr="00AF5C26">
        <w:rPr>
          <w:rFonts w:ascii="Symbol" w:hAnsi="Symbol" w:cs="Arial"/>
          <w:i/>
          <w:lang w:val="en-US"/>
        </w:rPr>
        <w:t></w:t>
      </w:r>
      <w:r w:rsidRPr="00AF5C26">
        <w:rPr>
          <w:i/>
          <w:lang w:val="en-US"/>
        </w:rPr>
        <w:t xml:space="preserve"> direction while maintaining the reference beam centre direction </w:t>
      </w:r>
      <w:r w:rsidRPr="00AF5C26">
        <w:rPr>
          <w:rFonts w:ascii="Symbol" w:hAnsi="Symbol"/>
          <w:i/>
          <w:lang w:val="sv-SE"/>
        </w:rPr>
        <w:t></w:t>
      </w:r>
      <w:r w:rsidRPr="00AF5C26">
        <w:rPr>
          <w:b/>
          <w:i/>
        </w:rPr>
        <w:t xml:space="preserve"> </w:t>
      </w:r>
      <w:r w:rsidRPr="00AF5C26">
        <w:rPr>
          <w:i/>
        </w:rPr>
        <w:t>value</w:t>
      </w:r>
      <w:r w:rsidRPr="00AF5C26">
        <w:rPr>
          <w:i/>
          <w:lang w:val="en-US"/>
        </w:rPr>
        <w:t>.</w:t>
      </w:r>
    </w:p>
    <w:p w14:paraId="5335E5A1" w14:textId="425A7436" w:rsidR="007763C4" w:rsidRPr="00AF5C26" w:rsidRDefault="007763C4" w:rsidP="007763C4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/>
          <w:lang w:val="en-US"/>
        </w:rPr>
      </w:pPr>
      <w:r w:rsidRPr="00AF5C26">
        <w:rPr>
          <w:i/>
          <w:lang w:val="en-US"/>
        </w:rPr>
        <w:t xml:space="preserve">the </w:t>
      </w:r>
      <w:r w:rsidRPr="00AF5C26">
        <w:rPr>
          <w:rFonts w:hint="eastAsia"/>
          <w:i/>
          <w:lang w:val="en-US" w:eastAsia="zh-CN"/>
        </w:rPr>
        <w:t xml:space="preserve">beam peak direction </w:t>
      </w:r>
      <w:r w:rsidR="00EA0F04">
        <w:rPr>
          <w:i/>
          <w:lang w:val="en-US" w:eastAsia="zh-CN"/>
        </w:rPr>
        <w:t>(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Θ</m:t>
            </m:r>
          </m:e>
          <m:sub>
            <m:r>
              <w:rPr>
                <w:rFonts w:ascii="Cambria Math" w:hAnsi="Cambria Math"/>
                <w:lang w:val="en-US" w:eastAsia="zh-CN"/>
              </w:rPr>
              <m:t>pos</m:t>
            </m:r>
          </m:sub>
        </m:sSub>
      </m:oMath>
      <w:r w:rsidR="00EA0F04">
        <w:rPr>
          <w:i/>
          <w:lang w:val="en-US" w:eastAsia="zh-CN"/>
        </w:rPr>
        <w:t xml:space="preserve">) </w:t>
      </w:r>
      <w:r w:rsidRPr="00AF5C26">
        <w:rPr>
          <w:rFonts w:hint="eastAsia"/>
          <w:i/>
          <w:lang w:val="en-US" w:eastAsia="zh-CN"/>
        </w:rPr>
        <w:t xml:space="preserve">corresponding to the </w:t>
      </w:r>
      <w:r w:rsidRPr="00AF5C26">
        <w:rPr>
          <w:i/>
          <w:lang w:val="en-US"/>
        </w:rPr>
        <w:t xml:space="preserve">maximum steering from the reference beam centre direction in the positive </w:t>
      </w:r>
      <w:r w:rsidRPr="00AF5C26">
        <w:rPr>
          <w:rFonts w:ascii="Symbol" w:hAnsi="Symbol"/>
          <w:i/>
          <w:lang w:val="sv-SE"/>
        </w:rPr>
        <w:t></w:t>
      </w:r>
      <w:r w:rsidRPr="00AF5C26">
        <w:rPr>
          <w:i/>
          <w:lang w:val="en-US"/>
        </w:rPr>
        <w:t xml:space="preserve"> direction while maintaining the reference beam centre direction </w:t>
      </w:r>
      <w:r w:rsidRPr="00AF5C26">
        <w:rPr>
          <w:rFonts w:ascii="Symbol" w:hAnsi="Symbol" w:cs="Arial"/>
          <w:i/>
          <w:lang w:val="en-US"/>
        </w:rPr>
        <w:t></w:t>
      </w:r>
      <w:r w:rsidRPr="00AF5C26">
        <w:rPr>
          <w:i/>
        </w:rPr>
        <w:t xml:space="preserve"> value</w:t>
      </w:r>
      <w:r w:rsidRPr="00AF5C26">
        <w:rPr>
          <w:i/>
          <w:lang w:val="en-US"/>
        </w:rPr>
        <w:t>.</w:t>
      </w:r>
    </w:p>
    <w:p w14:paraId="55B72841" w14:textId="61C83A6C" w:rsidR="007763C4" w:rsidRPr="00AF5C26" w:rsidRDefault="007763C4" w:rsidP="00F959B6">
      <w:pPr>
        <w:numPr>
          <w:ilvl w:val="0"/>
          <w:numId w:val="32"/>
        </w:numPr>
        <w:rPr>
          <w:i/>
          <w:lang w:val="en-US"/>
        </w:rPr>
      </w:pPr>
      <w:r w:rsidRPr="00AF5C26">
        <w:rPr>
          <w:i/>
          <w:lang w:val="en-US"/>
        </w:rPr>
        <w:t xml:space="preserve">the </w:t>
      </w:r>
      <w:r w:rsidRPr="00AF5C26">
        <w:rPr>
          <w:rFonts w:hint="eastAsia"/>
          <w:i/>
          <w:lang w:val="en-US" w:eastAsia="zh-CN"/>
        </w:rPr>
        <w:t xml:space="preserve">beam peak direction </w:t>
      </w:r>
      <w:r w:rsidR="00EA0F04">
        <w:rPr>
          <w:i/>
          <w:lang w:val="en-US" w:eastAsia="zh-CN"/>
        </w:rPr>
        <w:t>(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Θ</m:t>
            </m:r>
          </m:e>
          <m:sub>
            <m:r>
              <w:rPr>
                <w:rFonts w:ascii="Cambria Math" w:hAnsi="Cambria Math"/>
                <w:lang w:val="en-US" w:eastAsia="zh-CN"/>
              </w:rPr>
              <m:t>neg</m:t>
            </m:r>
          </m:sub>
        </m:sSub>
        <m:r>
          <w:rPr>
            <w:rFonts w:ascii="Cambria Math" w:hAnsi="Cambria Math"/>
            <w:lang w:val="en-US" w:eastAsia="zh-CN"/>
          </w:rPr>
          <m:t xml:space="preserve">) </m:t>
        </m:r>
      </m:oMath>
      <w:r w:rsidRPr="00AF5C26">
        <w:rPr>
          <w:rFonts w:hint="eastAsia"/>
          <w:i/>
          <w:lang w:val="en-US" w:eastAsia="zh-CN"/>
        </w:rPr>
        <w:t xml:space="preserve">corresponding to the </w:t>
      </w:r>
      <w:r w:rsidRPr="00AF5C26">
        <w:rPr>
          <w:i/>
          <w:lang w:val="en-US"/>
        </w:rPr>
        <w:t xml:space="preserve">maximum steering from the reference beam centre direction in the negative </w:t>
      </w:r>
      <w:r w:rsidRPr="00AF5C26">
        <w:rPr>
          <w:rFonts w:ascii="Symbol" w:hAnsi="Symbol"/>
          <w:i/>
          <w:lang w:val="sv-SE"/>
        </w:rPr>
        <w:t></w:t>
      </w:r>
      <w:r w:rsidRPr="00AF5C26">
        <w:rPr>
          <w:i/>
          <w:lang w:val="en-US"/>
        </w:rPr>
        <w:t xml:space="preserve"> direction while maintaining the reference beam centre direction </w:t>
      </w:r>
      <w:r w:rsidRPr="00AF5C26">
        <w:rPr>
          <w:rFonts w:ascii="Symbol" w:hAnsi="Symbol" w:cs="Arial"/>
          <w:i/>
          <w:lang w:val="en-US"/>
        </w:rPr>
        <w:t></w:t>
      </w:r>
      <w:r w:rsidRPr="00AF5C26">
        <w:rPr>
          <w:i/>
        </w:rPr>
        <w:t xml:space="preserve"> value</w:t>
      </w:r>
      <w:r w:rsidRPr="00AF5C26">
        <w:rPr>
          <w:i/>
          <w:lang w:val="en-US"/>
        </w:rPr>
        <w:t>.</w:t>
      </w:r>
    </w:p>
    <w:p w14:paraId="299D5005" w14:textId="125845CA" w:rsidR="00686736" w:rsidRDefault="00DB7F55" w:rsidP="00F959B6">
      <w:r>
        <w:rPr>
          <w:lang w:val="en-US" w:eastAsia="zh-CN"/>
        </w:rPr>
        <w:t>Th</w:t>
      </w:r>
      <w:r w:rsidR="009829FF">
        <w:rPr>
          <w:lang w:val="en-US" w:eastAsia="zh-CN"/>
        </w:rPr>
        <w:t xml:space="preserve">e maximum steerable range in the </w:t>
      </w:r>
      <w:r w:rsidR="009829FF" w:rsidRPr="00F959B6">
        <w:rPr>
          <w:rFonts w:ascii="Symbol" w:hAnsi="Symbol" w:cs="Arial"/>
          <w:lang w:val="en-US"/>
        </w:rPr>
        <w:t></w:t>
      </w:r>
      <w:r w:rsidR="00B17D84">
        <w:rPr>
          <w:lang w:val="en-US" w:eastAsia="zh-CN"/>
        </w:rPr>
        <w:t xml:space="preserve"> and</w:t>
      </w:r>
      <w:r w:rsidR="009829FF">
        <w:rPr>
          <w:lang w:val="en-US" w:eastAsia="zh-CN"/>
        </w:rPr>
        <w:t xml:space="preserve"> </w:t>
      </w:r>
      <w:r w:rsidR="009829FF" w:rsidRPr="00F959B6">
        <w:rPr>
          <w:rFonts w:ascii="Symbol" w:hAnsi="Symbol"/>
          <w:lang w:val="sv-SE"/>
        </w:rPr>
        <w:t></w:t>
      </w:r>
      <w:r w:rsidR="009829FF" w:rsidRPr="00F959B6">
        <w:rPr>
          <w:lang w:val="en-US"/>
        </w:rPr>
        <w:t xml:space="preserve"> direction</w:t>
      </w:r>
      <w:r w:rsidR="007C4857">
        <w:rPr>
          <w:lang w:val="en-US"/>
        </w:rPr>
        <w:t>s</w:t>
      </w:r>
      <w:r w:rsidR="007C2D2F">
        <w:rPr>
          <w:lang w:val="en-US"/>
        </w:rPr>
        <w:t xml:space="preserve"> is</w:t>
      </w:r>
      <w:r w:rsidR="003A2941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 xml:space="preserve"> ϕ</m:t>
            </m:r>
          </m:e>
          <m:sub>
            <m:r>
              <w:rPr>
                <w:rFonts w:ascii="Cambria Math" w:hAnsi="Cambria Math"/>
                <w:lang w:val="en-US" w:eastAsia="zh-CN"/>
              </w:rPr>
              <m:t>neg</m:t>
            </m:r>
          </m:sub>
        </m:sSub>
        <m:r>
          <w:rPr>
            <w:rFonts w:ascii="Cambria Math" w:hAnsi="Cambria Math"/>
            <w:lang w:val="en-US" w:eastAsia="zh-CN"/>
          </w:rPr>
          <m:t xml:space="preserve"> ≤ ϕ ≤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ϕ</m:t>
            </m:r>
          </m:e>
          <m:sub>
            <m:r>
              <w:rPr>
                <w:rFonts w:ascii="Cambria Math" w:hAnsi="Cambria Math"/>
                <w:lang w:val="en-US" w:eastAsia="zh-CN"/>
              </w:rPr>
              <m:t>pos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>
        <w:rPr>
          <w:lang w:val="en-US" w:eastAsia="zh-CN"/>
        </w:rPr>
        <w:t>and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Θ</m:t>
            </m:r>
          </m:e>
          <m:sub>
            <m:r>
              <w:rPr>
                <w:rFonts w:ascii="Cambria Math" w:hAnsi="Cambria Math"/>
                <w:lang w:val="en-US" w:eastAsia="zh-CN"/>
              </w:rPr>
              <m:t>neg</m:t>
            </m:r>
          </m:sub>
        </m:sSub>
        <m:r>
          <w:rPr>
            <w:rFonts w:ascii="Cambria Math" w:hAnsi="Cambria Math"/>
            <w:lang w:val="en-US" w:eastAsia="zh-CN"/>
          </w:rPr>
          <m:t xml:space="preserve"> ≤ </m:t>
        </m:r>
        <m:r>
          <m:rPr>
            <m:sty m:val="p"/>
          </m:rPr>
          <w:rPr>
            <w:rFonts w:ascii="Cambria Math" w:hAnsi="Cambria Math"/>
            <w:lang w:val="en-US" w:eastAsia="zh-CN"/>
          </w:rPr>
          <m:t>Θ</m:t>
        </m:r>
        <m:r>
          <w:rPr>
            <w:rFonts w:ascii="Cambria Math" w:hAnsi="Cambria Math"/>
            <w:lang w:val="en-US" w:eastAsia="zh-CN"/>
          </w:rPr>
          <m:t xml:space="preserve"> ≤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Θ</m:t>
            </m:r>
          </m:e>
          <m:sub>
            <m:r>
              <w:rPr>
                <w:rFonts w:ascii="Cambria Math" w:hAnsi="Cambria Math"/>
                <w:lang w:val="en-US" w:eastAsia="zh-CN"/>
              </w:rPr>
              <m:t>pos</m:t>
            </m:r>
          </m:sub>
        </m:sSub>
      </m:oMath>
      <w:r w:rsidR="00B17D84">
        <w:rPr>
          <w:lang w:val="en-US"/>
        </w:rPr>
        <w:t>, respectively</w:t>
      </w:r>
      <w:r w:rsidR="009829FF">
        <w:rPr>
          <w:lang w:val="en-US"/>
        </w:rPr>
        <w:t>.</w:t>
      </w:r>
      <w:r w:rsidR="008044A5">
        <w:rPr>
          <w:lang w:val="en-US" w:eastAsia="zh-CN"/>
        </w:rPr>
        <w:t xml:space="preserve"> </w:t>
      </w:r>
      <w:r w:rsidR="007066FB">
        <w:t xml:space="preserve">One question arises is whether </w:t>
      </w:r>
      <w:r w:rsidR="007C4857">
        <w:t xml:space="preserve">the maximum steerable range </w:t>
      </w:r>
      <w:r w:rsidR="00AF7CC0">
        <w:t>of</w:t>
      </w:r>
      <w:r w:rsidR="007C4857">
        <w:t xml:space="preserve"> </w:t>
      </w:r>
      <w:r w:rsidR="007066FB">
        <w:t>the EIRP accuracy directions set</w:t>
      </w:r>
      <w:r w:rsidR="008044A5">
        <w:t xml:space="preserve"> </w:t>
      </w:r>
      <w:r w:rsidR="00420200">
        <w:t>is the same as</w:t>
      </w:r>
      <w:r w:rsidR="007C4857">
        <w:t xml:space="preserve"> the</w:t>
      </w:r>
      <w:r w:rsidR="007066FB">
        <w:t xml:space="preserve"> EVM </w:t>
      </w:r>
      <w:r w:rsidR="008B61E2">
        <w:t>directions</w:t>
      </w:r>
      <w:r w:rsidR="001635F0">
        <w:t xml:space="preserve"> set</w:t>
      </w:r>
      <w:r w:rsidR="008B61E2">
        <w:t>.</w:t>
      </w:r>
      <w:r w:rsidR="00420200">
        <w:t xml:space="preserve"> One possibil</w:t>
      </w:r>
      <w:r w:rsidR="001635F0">
        <w:t>ity is to construct the EVM</w:t>
      </w:r>
      <w:r w:rsidR="003B0D04">
        <w:t xml:space="preserve"> directions set by choosing</w:t>
      </w:r>
      <w:r w:rsidR="00420200">
        <w:t xml:space="preserve"> the greatest</w:t>
      </w:r>
      <w:r w:rsidR="003B0D04">
        <w:t xml:space="preserve"> </w:t>
      </w:r>
      <w:r w:rsidR="003A1A52">
        <w:t>boundary</w:t>
      </w:r>
      <w:r w:rsidR="007A7480">
        <w:t xml:space="preserve"> angles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 xml:space="preserve"> ∅</m:t>
            </m:r>
          </m:e>
          <m:sub>
            <m:r>
              <w:rPr>
                <w:rFonts w:ascii="Cambria Math" w:hAnsi="Cambria Math"/>
                <w:lang w:val="en-US" w:eastAsia="zh-CN"/>
              </w:rPr>
              <m:t>pos</m:t>
            </m:r>
          </m:sub>
        </m:sSub>
      </m:oMath>
      <w:r w:rsidR="00142D0B">
        <w:rPr>
          <w:lang w:val="en-US" w:eastAsia="zh-CN"/>
        </w:rPr>
        <w:t xml:space="preserve"> and</w:t>
      </w:r>
      <w:r w:rsidR="00420200">
        <w:rPr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pos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 xml:space="preserve">, and the least 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zh-CN"/>
                  </w:rPr>
                  <m:t>∅</m:t>
                </m:r>
              </m:e>
              <m:sub>
                <m:r>
                  <w:rPr>
                    <w:rFonts w:ascii="Cambria Math" w:hAnsi="Cambria Math"/>
                    <w:lang w:val="en-US" w:eastAsia="zh-CN"/>
                  </w:rPr>
                  <m:t>neg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 xml:space="preserve"> and Θ</m:t>
            </m:r>
          </m:e>
          <m:sub>
            <m:r>
              <w:rPr>
                <w:rFonts w:ascii="Cambria Math" w:hAnsi="Cambria Math"/>
                <w:lang w:val="en-US" w:eastAsia="zh-CN"/>
              </w:rPr>
              <m:t>neg</m:t>
            </m:r>
          </m:sub>
        </m:sSub>
      </m:oMath>
      <w:r w:rsidR="003B0D04">
        <w:rPr>
          <w:lang w:val="en-US" w:eastAsia="zh-CN"/>
        </w:rPr>
        <w:t xml:space="preserve"> </w:t>
      </w:r>
      <w:r w:rsidR="00FE6368">
        <w:rPr>
          <w:lang w:val="en-US" w:eastAsia="zh-CN"/>
        </w:rPr>
        <w:t xml:space="preserve">instead of the greatest steerable range </w:t>
      </w:r>
      <w:r w:rsidR="007A7480">
        <w:rPr>
          <w:lang w:val="en-US" w:eastAsia="zh-CN"/>
        </w:rPr>
        <w:t xml:space="preserve">out of </w:t>
      </w:r>
      <w:r w:rsidR="003B0D04">
        <w:rPr>
          <w:lang w:val="en-US" w:eastAsia="zh-CN"/>
        </w:rPr>
        <w:t xml:space="preserve">the </w:t>
      </w:r>
      <w:r w:rsidR="00F51B71">
        <w:rPr>
          <w:lang w:val="en-US" w:eastAsia="zh-CN"/>
        </w:rPr>
        <w:t>5</w:t>
      </w:r>
      <w:r w:rsidR="003B0D04">
        <w:rPr>
          <w:lang w:val="en-US" w:eastAsia="zh-CN"/>
        </w:rPr>
        <w:t xml:space="preserve"> declared </w:t>
      </w:r>
      <w:r w:rsidR="00F51B71">
        <w:rPr>
          <w:lang w:val="en-US" w:eastAsia="zh-CN"/>
        </w:rPr>
        <w:t xml:space="preserve">EIRP accuracy directions sets. </w:t>
      </w:r>
      <w:r w:rsidR="00EF6275">
        <w:rPr>
          <w:lang w:val="en-US" w:eastAsia="zh-CN"/>
        </w:rPr>
        <w:t>Th</w:t>
      </w:r>
      <w:r w:rsidR="00691554">
        <w:rPr>
          <w:lang w:val="en-US" w:eastAsia="zh-CN"/>
        </w:rPr>
        <w:t>at</w:t>
      </w:r>
      <w:r w:rsidR="00EF6275">
        <w:rPr>
          <w:lang w:val="en-US" w:eastAsia="zh-CN"/>
        </w:rPr>
        <w:t xml:space="preserve"> is</w:t>
      </w:r>
    </w:p>
    <w:p w14:paraId="4F0FEBC9" w14:textId="25B247FD" w:rsidR="00BD2469" w:rsidRPr="00BD2469" w:rsidRDefault="00D972F1" w:rsidP="00F959B6">
      <m:oMath>
        <m:d>
          <m:dPr>
            <m:begChr m:val=""/>
            <m:endChr m:val="}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pos,greatest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{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pos,1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pos,2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pos,3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pos,4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pos,5</m:t>
                        </m:r>
                      </m:sub>
                    </m:sSub>
                  </m:e>
                </m:func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neg,least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{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neg,1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neg,2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neg,3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neg,4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neg,5</m:t>
                        </m:r>
                      </m:sub>
                    </m:sSub>
                  </m:e>
                </m:func>
                <m:ctrlPr>
                  <w:rPr>
                    <w:rFonts w:ascii="Cambria Math" w:eastAsia="Cambria Math" w:hAnsi="Cambria Math" w:cs="Cambria Math"/>
                    <w:i/>
                  </w:rPr>
                </m:ctrlPr>
              </m:e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pos,greatest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max⁡</m:t>
                </m:r>
                <m:r>
                  <w:rPr>
                    <w:rFonts w:ascii="Cambria Math" w:hAnsi="Cambria Math"/>
                  </w:rPr>
                  <m:t>{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pos,1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pos,2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pos,3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pos,4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pos,5</m:t>
                    </m:r>
                  </m:sub>
                </m:sSub>
                <m:ctrlPr>
                  <w:rPr>
                    <w:rFonts w:ascii="Cambria Math" w:eastAsia="Cambria Math" w:hAnsi="Cambria Math" w:cs="Cambria Math"/>
                    <w:i/>
                  </w:rPr>
                </m:ctrlPr>
              </m:e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neg,least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{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neg,1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neg,2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neg,3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neg,4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neg,5</m:t>
                    </m:r>
                  </m:sub>
                </m:sSub>
              </m:e>
            </m:eqArr>
          </m:e>
        </m:d>
      </m:oMath>
      <w:r w:rsidR="00BD2469">
        <w:tab/>
      </w:r>
      <w:r w:rsidR="00BD2469">
        <w:tab/>
      </w:r>
      <w:r w:rsidR="00BD2469">
        <w:tab/>
      </w:r>
      <w:r w:rsidR="00BD2469">
        <w:tab/>
      </w:r>
      <w:r w:rsidR="00BD2469">
        <w:tab/>
      </w:r>
      <w:r w:rsidR="00BD2469">
        <w:tab/>
      </w:r>
      <w:r w:rsidR="00BD2469">
        <w:tab/>
      </w:r>
      <w:r w:rsidR="00BD2469">
        <w:tab/>
      </w:r>
      <w:r w:rsidR="00BD2469">
        <w:tab/>
      </w:r>
      <w:r w:rsidR="00BD2469">
        <w:tab/>
      </w:r>
      <w:r w:rsidR="00BD2469">
        <w:tab/>
      </w:r>
      <w:r w:rsidR="00BD2469">
        <w:tab/>
      </w:r>
      <w:r w:rsidR="00BD2469">
        <w:tab/>
      </w:r>
      <w:r w:rsidR="00BD2469">
        <w:tab/>
      </w:r>
      <w:r w:rsidR="00BD2469">
        <w:tab/>
      </w:r>
      <w:r w:rsidR="00BD2469">
        <w:tab/>
        <w:t>(1)</w:t>
      </w:r>
    </w:p>
    <w:p w14:paraId="40238977" w14:textId="72572DB7" w:rsidR="00C53404" w:rsidRDefault="003A44A1" w:rsidP="00F959B6">
      <w:pPr>
        <w:rPr>
          <w:lang w:val="en-US"/>
        </w:rPr>
      </w:pPr>
      <w:r>
        <w:t>T</w:t>
      </w:r>
      <w:r w:rsidR="00C53404">
        <w:t>he centre of</w:t>
      </w:r>
      <w:r w:rsidR="00DF2167">
        <w:rPr>
          <w:lang w:val="en-US"/>
        </w:rPr>
        <w:t xml:space="preserve"> </w:t>
      </w:r>
      <w:r w:rsidR="00C7174C">
        <w:rPr>
          <w:lang w:val="en-US"/>
        </w:rPr>
        <w:t xml:space="preserve">the intervals </w:t>
      </w:r>
      <w:r w:rsidR="00DF2167">
        <w:rPr>
          <w:lang w:val="en-US"/>
        </w:rPr>
        <w:t>[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neg,least</m:t>
            </m:r>
          </m:sub>
        </m:sSub>
      </m:oMath>
      <w:r w:rsidR="00DF216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pos,greatest</m:t>
            </m:r>
          </m:sub>
        </m:sSub>
      </m:oMath>
      <w:r w:rsidR="00DF2167">
        <w:t xml:space="preserve">] </w:t>
      </w:r>
      <w:r w:rsidR="00C7174C">
        <w:t>and [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neg,least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pos,greatest</m:t>
            </m:r>
          </m:sub>
        </m:sSub>
      </m:oMath>
      <w:r w:rsidR="00C7174C">
        <w:t>] is</w:t>
      </w:r>
    </w:p>
    <w:p w14:paraId="13995A1A" w14:textId="5F7A249B" w:rsidR="00C53404" w:rsidRDefault="00D972F1" w:rsidP="00F959B6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centre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pos,greatest</m:t>
                </m:r>
              </m:sub>
            </m:sSub>
            <m:r>
              <w:rPr>
                <w:rFonts w:ascii="Cambria Math" w:hAnsi="Cambria Math"/>
              </w:rPr>
              <m:t xml:space="preserve"> 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neg,least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C53404">
        <w:t xml:space="preserve"> 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centre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pos,greatest</m:t>
                </m:r>
              </m:sub>
            </m:sSub>
            <m:r>
              <w:rPr>
                <w:rFonts w:ascii="Cambria Math" w:hAnsi="Cambria Math"/>
              </w:rPr>
              <m:t xml:space="preserve"> -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neg,least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3A44A1">
        <w:tab/>
      </w:r>
      <w:r w:rsidR="003A44A1">
        <w:tab/>
      </w:r>
      <w:r w:rsidR="003A44A1">
        <w:tab/>
      </w:r>
      <w:r w:rsidR="003A44A1">
        <w:tab/>
      </w:r>
      <w:r w:rsidR="003A44A1">
        <w:tab/>
      </w:r>
      <w:r w:rsidR="003A44A1">
        <w:tab/>
      </w:r>
      <w:r w:rsidR="003A44A1">
        <w:tab/>
      </w:r>
      <w:r w:rsidR="003A44A1">
        <w:tab/>
      </w:r>
      <w:r w:rsidR="003A44A1">
        <w:tab/>
      </w:r>
      <w:r w:rsidR="003A44A1">
        <w:tab/>
      </w:r>
      <w:r w:rsidR="003A44A1">
        <w:tab/>
      </w:r>
      <w:r w:rsidR="003A44A1">
        <w:tab/>
        <w:t>(</w:t>
      </w:r>
      <w:r w:rsidR="00BD2469">
        <w:t>2</w:t>
      </w:r>
      <w:r w:rsidR="003A44A1">
        <w:t>)</w:t>
      </w:r>
    </w:p>
    <w:p w14:paraId="4173F389" w14:textId="1094D377" w:rsidR="003A44A1" w:rsidRDefault="0021041B" w:rsidP="00F959B6">
      <w:r>
        <w:t xml:space="preserve">From </w:t>
      </w:r>
      <w:r w:rsidR="00FC59D7">
        <w:t xml:space="preserve">equations </w:t>
      </w:r>
      <w:r>
        <w:t>(1) and (2), t</w:t>
      </w:r>
      <w:r w:rsidR="003A44A1">
        <w:t xml:space="preserve">he EVM directions set can be expressed as </w:t>
      </w:r>
    </w:p>
    <w:p w14:paraId="1718D664" w14:textId="2E49552D" w:rsidR="003A44A1" w:rsidRDefault="003A44A1" w:rsidP="00F959B6">
      <w:r>
        <w:t xml:space="preserve">EVM directions set =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neg,least</m:t>
                </m:r>
              </m:sub>
            </m:sSub>
            <m: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neg,least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centre</m:t>
                </m:r>
              </m:sub>
            </m:sSub>
            <m: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centre</m:t>
                </m:r>
              </m:sub>
            </m:sSub>
            <m: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ϕ</m:t>
                </m:r>
              </m:e>
              <m:sub>
                <m:r>
                  <w:rPr>
                    <w:rFonts w:ascii="Cambria Math" w:hAnsi="Cambria Math"/>
                  </w:rPr>
                  <m:t>pos,greatest</m:t>
                </m:r>
              </m:sub>
            </m:sSub>
            <m:r>
              <w:rPr>
                <w:rFonts w:ascii="Cambria Math" w:hAnsi="Cambria Math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Θ</m:t>
                </m:r>
              </m:e>
              <m:sub>
                <m:r>
                  <w:rPr>
                    <w:rFonts w:ascii="Cambria Math" w:hAnsi="Cambria Math"/>
                  </w:rPr>
                  <m:t>pos,greatest</m:t>
                </m:r>
              </m:sub>
            </m:sSub>
          </m:e>
        </m:d>
      </m:oMath>
      <w:r>
        <w:t xml:space="preserve">   </w:t>
      </w:r>
      <w:r w:rsidR="00682D7A">
        <w:tab/>
      </w:r>
      <w:r w:rsidR="00682D7A">
        <w:tab/>
      </w:r>
      <w:r w:rsidR="00682D7A">
        <w:tab/>
      </w:r>
      <w:r w:rsidR="00682D7A">
        <w:tab/>
      </w:r>
      <w:r w:rsidR="00682D7A">
        <w:tab/>
      </w:r>
      <w:r w:rsidR="00682D7A">
        <w:tab/>
      </w:r>
      <w:r w:rsidR="00682D7A">
        <w:tab/>
        <w:t>(3)</w:t>
      </w:r>
    </w:p>
    <w:p w14:paraId="5D44DF6F" w14:textId="401F9290" w:rsidR="001635F0" w:rsidRDefault="003B0D04" w:rsidP="001635F0">
      <w:r w:rsidRPr="00AD22D7">
        <w:rPr>
          <w:b/>
          <w:i/>
        </w:rPr>
        <w:t>Observation</w:t>
      </w:r>
      <w:r w:rsidRPr="00AD22D7">
        <w:rPr>
          <w:b/>
        </w:rPr>
        <w:t xml:space="preserve"> 2</w:t>
      </w:r>
      <w:r>
        <w:t xml:space="preserve">: </w:t>
      </w:r>
      <w:r w:rsidR="001635F0" w:rsidRPr="001C3862">
        <w:rPr>
          <w:b/>
        </w:rPr>
        <w:t>It is possible to construct the EVM directions set by choosing the greatest</w:t>
      </w:r>
      <w:r w:rsidR="007A7480" w:rsidRPr="001C3862">
        <w:rPr>
          <w:b/>
        </w:rPr>
        <w:t xml:space="preserve"> </w:t>
      </w:r>
      <w:r w:rsidR="003A1A52">
        <w:rPr>
          <w:b/>
        </w:rPr>
        <w:t>boundary</w:t>
      </w:r>
      <w:r w:rsidR="007A7480" w:rsidRPr="001C3862">
        <w:rPr>
          <w:b/>
        </w:rPr>
        <w:t xml:space="preserve"> angles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 xml:space="preserve"> ∅</m:t>
            </m:r>
          </m:e>
          <m:sub>
            <m:r>
              <w:rPr>
                <w:rFonts w:ascii="Cambria Math" w:hAnsi="Cambria Math"/>
                <w:lang w:val="en-US" w:eastAsia="zh-CN"/>
              </w:rPr>
              <m:t>pos</m:t>
            </m:r>
          </m:sub>
        </m:sSub>
      </m:oMath>
      <w:r w:rsidR="001C3862">
        <w:rPr>
          <w:b/>
          <w:lang w:val="en-US" w:eastAsia="zh-CN"/>
        </w:rPr>
        <w:t>,</w:t>
      </w:r>
      <w:r w:rsidR="00615950">
        <w:rPr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Θ</m:t>
            </m:r>
          </m:e>
          <m:sub>
            <m:r>
              <w:rPr>
                <w:rFonts w:ascii="Cambria Math" w:hAnsi="Cambria Math"/>
                <w:lang w:val="en-US" w:eastAsia="zh-CN"/>
              </w:rPr>
              <m:t>pos</m:t>
            </m:r>
          </m:sub>
        </m:sSub>
      </m:oMath>
      <w:r w:rsidR="001635F0">
        <w:rPr>
          <w:lang w:val="en-US" w:eastAsia="zh-CN"/>
        </w:rPr>
        <w:t>,</w:t>
      </w:r>
      <w:r w:rsidR="00615950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 xml:space="preserve"> </m:t>
        </m:r>
        <m:r>
          <m:rPr>
            <m:sty m:val="b"/>
          </m:rPr>
          <w:rPr>
            <w:rFonts w:ascii="Cambria Math" w:hAnsi="Cambria Math"/>
            <w:lang w:val="en-US" w:eastAsia="zh-CN"/>
          </w:rPr>
          <m:t>and the least</m:t>
        </m:r>
        <m:r>
          <w:rPr>
            <w:rFonts w:ascii="Cambria Math" w:hAnsi="Cambria Math"/>
            <w:lang w:val="en-US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∅</m:t>
            </m:r>
          </m:e>
          <m:sub>
            <m:r>
              <w:rPr>
                <w:rFonts w:ascii="Cambria Math" w:hAnsi="Cambria Math"/>
                <w:lang w:val="en-US" w:eastAsia="zh-CN"/>
              </w:rPr>
              <m:t>neg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Θ</m:t>
            </m:r>
          </m:e>
          <m:sub>
            <m:r>
              <w:rPr>
                <w:rFonts w:ascii="Cambria Math" w:hAnsi="Cambria Math"/>
                <w:lang w:val="en-US" w:eastAsia="zh-CN"/>
              </w:rPr>
              <m:t>neg</m:t>
            </m:r>
          </m:sub>
        </m:sSub>
      </m:oMath>
      <w:r w:rsidR="001635F0">
        <w:rPr>
          <w:lang w:val="en-US" w:eastAsia="zh-CN"/>
        </w:rPr>
        <w:t xml:space="preserve"> </w:t>
      </w:r>
      <w:r w:rsidR="007A7480" w:rsidRPr="001C3862">
        <w:rPr>
          <w:b/>
          <w:lang w:val="en-US" w:eastAsia="zh-CN"/>
        </w:rPr>
        <w:t>out of</w:t>
      </w:r>
      <w:r w:rsidR="00615950" w:rsidRPr="001C3862">
        <w:rPr>
          <w:b/>
          <w:lang w:val="en-US" w:eastAsia="zh-CN"/>
        </w:rPr>
        <w:t xml:space="preserve"> the</w:t>
      </w:r>
      <w:r w:rsidR="001635F0" w:rsidRPr="001C3862">
        <w:rPr>
          <w:b/>
          <w:lang w:val="en-US" w:eastAsia="zh-CN"/>
        </w:rPr>
        <w:t xml:space="preserve"> declared EIRP accuracy directions sets.</w:t>
      </w:r>
      <w:r w:rsidR="001635F0">
        <w:rPr>
          <w:lang w:val="en-US" w:eastAsia="zh-CN"/>
        </w:rPr>
        <w:t xml:space="preserve"> </w:t>
      </w:r>
    </w:p>
    <w:p w14:paraId="7617D821" w14:textId="28DC7E68" w:rsidR="00017DA1" w:rsidRDefault="00017DA1" w:rsidP="00017DA1">
      <w:r>
        <w:rPr>
          <w:bCs/>
        </w:rPr>
        <w:t>According to the WF on OTA requirement compliance range [3], which was approved during</w:t>
      </w:r>
      <w:r w:rsidRPr="00D32577">
        <w:rPr>
          <w:bCs/>
        </w:rPr>
        <w:t xml:space="preserve"> </w:t>
      </w:r>
      <w:r>
        <w:rPr>
          <w:bCs/>
        </w:rPr>
        <w:t xml:space="preserve">the last meeting RAN4#81, </w:t>
      </w:r>
      <w:r w:rsidR="00FC59D7">
        <w:rPr>
          <w:bCs/>
        </w:rPr>
        <w:t>the EVM directions set specified in equation (3) belongs to “OTA compliance coverage”</w:t>
      </w:r>
      <w:r w:rsidR="003A3926">
        <w:rPr>
          <w:bCs/>
        </w:rPr>
        <w:t>; the term is defined in [4]</w:t>
      </w:r>
      <w:r w:rsidR="00FC59D7">
        <w:rPr>
          <w:bCs/>
        </w:rPr>
        <w:t>. This is because it is constructed from the greatest and the least beam peak directions</w:t>
      </w:r>
      <w:r w:rsidR="004218AF">
        <w:rPr>
          <w:bCs/>
        </w:rPr>
        <w:t xml:space="preserve"> which are not within the boundaries of the “OTA compliance peak directions set”</w:t>
      </w:r>
      <w:r w:rsidR="00FC59D7">
        <w:rPr>
          <w:bCs/>
        </w:rPr>
        <w:t xml:space="preserve">. </w:t>
      </w:r>
      <w:r w:rsidR="00092966">
        <w:rPr>
          <w:bCs/>
        </w:rPr>
        <w:t>Note that other means of constructing the EVM directions set are possible.</w:t>
      </w:r>
    </w:p>
    <w:p w14:paraId="45EFAFE3" w14:textId="69C932E1" w:rsidR="00017DA1" w:rsidRPr="003C56C9" w:rsidRDefault="00FC59D7" w:rsidP="00AF5C26">
      <w:pPr>
        <w:rPr>
          <w:b/>
        </w:rPr>
      </w:pPr>
      <w:r w:rsidRPr="00630009">
        <w:rPr>
          <w:b/>
          <w:i/>
        </w:rPr>
        <w:t>Observation</w:t>
      </w:r>
      <w:r w:rsidRPr="003C56C9">
        <w:rPr>
          <w:b/>
        </w:rPr>
        <w:t xml:space="preserve"> 3: </w:t>
      </w:r>
      <w:r w:rsidR="003C56C9" w:rsidRPr="003C56C9">
        <w:rPr>
          <w:b/>
        </w:rPr>
        <w:t xml:space="preserve">the EVM directions set that is constructed </w:t>
      </w:r>
      <w:r w:rsidR="00F30FFF">
        <w:rPr>
          <w:b/>
        </w:rPr>
        <w:t xml:space="preserve">from </w:t>
      </w:r>
      <w:r w:rsidR="003C56C9" w:rsidRPr="003C56C9">
        <w:rPr>
          <w:b/>
          <w:bCs/>
        </w:rPr>
        <w:t xml:space="preserve">the greatest and the least beam peak directions belongs to “OTA compliance coverage”. </w:t>
      </w:r>
      <w:r w:rsidR="00630009">
        <w:rPr>
          <w:b/>
          <w:bCs/>
        </w:rPr>
        <w:t xml:space="preserve">Note, the classification of the EVM directions set depends on how it is </w:t>
      </w:r>
      <w:r w:rsidR="007F3A76">
        <w:rPr>
          <w:b/>
          <w:bCs/>
        </w:rPr>
        <w:t>defined and constructed</w:t>
      </w:r>
      <w:r w:rsidR="00630009">
        <w:rPr>
          <w:b/>
          <w:bCs/>
        </w:rPr>
        <w:t xml:space="preserve">. </w:t>
      </w:r>
    </w:p>
    <w:p w14:paraId="6598E6B1" w14:textId="60F8DAD3" w:rsidR="00FF7D09" w:rsidRDefault="00FA4FC3" w:rsidP="00AF5C26">
      <w:r>
        <w:t>The third open issue</w:t>
      </w:r>
      <w:r w:rsidR="00FF7D09">
        <w:t xml:space="preserve"> </w:t>
      </w:r>
      <w:r w:rsidR="003D27D4">
        <w:t xml:space="preserve">[1] </w:t>
      </w:r>
      <w:r w:rsidR="00FF7D09">
        <w:t>is</w:t>
      </w:r>
    </w:p>
    <w:p w14:paraId="408FC207" w14:textId="4B2B61D4" w:rsidR="00C377C0" w:rsidRPr="00AF5C26" w:rsidRDefault="00C377C0" w:rsidP="00AF5C26">
      <w:pPr>
        <w:ind w:left="284"/>
        <w:rPr>
          <w:i/>
        </w:rPr>
      </w:pPr>
      <w:r w:rsidRPr="00AF5C26">
        <w:rPr>
          <w:i/>
        </w:rPr>
        <w:t>how to apply EVM requirements for AAS with multiple transceivers but without the ability to user beam steer is FFS</w:t>
      </w:r>
    </w:p>
    <w:p w14:paraId="086A8C3A" w14:textId="70E3DAE3" w:rsidR="005A66E3" w:rsidRDefault="006E10E7" w:rsidP="00AF5C26">
      <w:r>
        <w:t>Naturally s</w:t>
      </w:r>
      <w:r w:rsidR="006D145C">
        <w:t>uch an AAS BS generates non-user specific beams</w:t>
      </w:r>
      <w:r w:rsidR="00FC582E">
        <w:t xml:space="preserve"> that are not steerable to any directions</w:t>
      </w:r>
      <w:r w:rsidR="006D145C">
        <w:t>.</w:t>
      </w:r>
      <w:r w:rsidR="00FC582E">
        <w:t xml:space="preserve"> It is possible to apply the same EVM requirement as long as the range of directions of the non-user specific beams is within the </w:t>
      </w:r>
      <w:r w:rsidR="00AD22D7">
        <w:t>boundary</w:t>
      </w:r>
      <w:r w:rsidR="00FC582E">
        <w:t xml:space="preserve"> of the EVM directions set. </w:t>
      </w:r>
      <w:r w:rsidR="00670420">
        <w:t>With the non-user s</w:t>
      </w:r>
      <w:r w:rsidR="00802569">
        <w:t>pecific beams, th</w:t>
      </w:r>
      <w:r w:rsidR="007E178C">
        <w:t>e EVM</w:t>
      </w:r>
      <w:r w:rsidR="007C2D2F">
        <w:t xml:space="preserve"> value</w:t>
      </w:r>
      <w:r w:rsidR="007E178C">
        <w:t xml:space="preserve"> in the EVM directions set </w:t>
      </w:r>
      <w:r w:rsidR="00802569">
        <w:t>{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∅</m:t>
            </m:r>
          </m:e>
          <m:sub>
            <m:r>
              <w:rPr>
                <w:rFonts w:ascii="Cambria Math" w:hAnsi="Cambria Math"/>
                <w:lang w:val="en-US" w:eastAsia="zh-CN"/>
              </w:rPr>
              <m:t>neg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, ∅</m:t>
            </m:r>
          </m:e>
          <m:sub>
            <m:r>
              <w:rPr>
                <w:rFonts w:ascii="Cambria Math" w:hAnsi="Cambria Math"/>
                <w:lang w:val="en-US" w:eastAsia="zh-CN"/>
              </w:rPr>
              <m:t>pos,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Θ</m:t>
            </m:r>
          </m:e>
          <m:sub>
            <m:r>
              <w:rPr>
                <w:rFonts w:ascii="Cambria Math" w:hAnsi="Cambria Math"/>
                <w:lang w:val="en-US" w:eastAsia="zh-CN"/>
              </w:rPr>
              <m:t>neg</m:t>
            </m:r>
          </m:sub>
        </m:sSub>
        <m:r>
          <w:rPr>
            <w:rFonts w:ascii="Cambria Math" w:hAnsi="Cambria Math"/>
            <w:lang w:val="en-US"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Θ</m:t>
            </m:r>
          </m:e>
          <m:sub>
            <m:r>
              <w:rPr>
                <w:rFonts w:ascii="Cambria Math" w:hAnsi="Cambria Math"/>
                <w:lang w:val="en-US" w:eastAsia="zh-CN"/>
              </w:rPr>
              <m:t>pos</m:t>
            </m:r>
          </m:sub>
        </m:sSub>
      </m:oMath>
      <w:r w:rsidR="00612F4B">
        <w:rPr>
          <w:lang w:val="en-US" w:eastAsia="zh-CN"/>
        </w:rPr>
        <w:t>}</w:t>
      </w:r>
      <w:r w:rsidR="002548CF">
        <w:t xml:space="preserve"> </w:t>
      </w:r>
      <w:r w:rsidR="007E178C">
        <w:t xml:space="preserve">is not </w:t>
      </w:r>
      <w:r w:rsidR="00113D00">
        <w:t xml:space="preserve">defined </w:t>
      </w:r>
      <w:r w:rsidR="007E178C">
        <w:t>in the centre of the main beam</w:t>
      </w:r>
      <w:r w:rsidR="00113D00">
        <w:t xml:space="preserve"> as in the user-specific beams</w:t>
      </w:r>
      <w:r w:rsidR="007E178C">
        <w:t xml:space="preserve">. Nevertheless, the EVM requirement </w:t>
      </w:r>
      <w:r w:rsidR="00113D00">
        <w:t xml:space="preserve">still </w:t>
      </w:r>
      <w:r w:rsidR="007E178C">
        <w:t xml:space="preserve">can be met </w:t>
      </w:r>
      <w:r w:rsidR="009C4806">
        <w:t xml:space="preserve">if it is </w:t>
      </w:r>
      <w:r w:rsidR="003C5684">
        <w:t>below</w:t>
      </w:r>
      <w:r w:rsidR="009C4806">
        <w:t xml:space="preserve"> a</w:t>
      </w:r>
      <w:r w:rsidR="007E178C">
        <w:t xml:space="preserve"> threshold. </w:t>
      </w:r>
    </w:p>
    <w:p w14:paraId="51B6A08F" w14:textId="61F833EF" w:rsidR="008B7A6D" w:rsidRPr="00BC4D65" w:rsidRDefault="00113D00" w:rsidP="00FA5286">
      <w:pPr>
        <w:rPr>
          <w:b/>
          <w:sz w:val="18"/>
          <w:lang w:val="en-US"/>
        </w:rPr>
      </w:pPr>
      <w:r w:rsidRPr="00AD22D7">
        <w:rPr>
          <w:b/>
          <w:i/>
        </w:rPr>
        <w:t>Observation</w:t>
      </w:r>
      <w:r w:rsidRPr="00AD22D7">
        <w:rPr>
          <w:b/>
        </w:rPr>
        <w:t xml:space="preserve"> </w:t>
      </w:r>
      <w:r w:rsidR="00FC59D7">
        <w:rPr>
          <w:b/>
        </w:rPr>
        <w:t>4</w:t>
      </w:r>
      <w:r>
        <w:t xml:space="preserve">: </w:t>
      </w:r>
      <w:r w:rsidR="00610895" w:rsidRPr="001C3862">
        <w:rPr>
          <w:b/>
        </w:rPr>
        <w:t>The EVM requirement for AAS BS without beamsteering is the same as for AAS BS with beamsteering</w:t>
      </w:r>
      <w:r w:rsidR="00610895">
        <w:t>.</w:t>
      </w:r>
      <w:bookmarkStart w:id="2" w:name="_MON_1249227490"/>
      <w:bookmarkStart w:id="3" w:name="_MON_1282989596"/>
      <w:bookmarkStart w:id="4" w:name="_MON_1282992763"/>
      <w:bookmarkStart w:id="5" w:name="_MON_1283666811"/>
      <w:bookmarkStart w:id="6" w:name="_MON_1290505886"/>
      <w:bookmarkStart w:id="7" w:name="_MON_1248002274"/>
      <w:bookmarkStart w:id="8" w:name="_MON_1248002336"/>
      <w:bookmarkStart w:id="9" w:name="_MON_1290505889"/>
      <w:bookmarkStart w:id="10" w:name="_MON_1230619646"/>
      <w:bookmarkStart w:id="11" w:name="_MON_1230620479"/>
      <w:bookmarkStart w:id="12" w:name="_MON_1230620585"/>
      <w:bookmarkStart w:id="13" w:name="_MON_1230620596"/>
      <w:bookmarkStart w:id="14" w:name="_MON_12306206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FBFC9C0" w14:textId="221D93AA" w:rsidR="00CD4C7B" w:rsidRPr="006E13D1" w:rsidRDefault="00C608C8" w:rsidP="00CD4C7B">
      <w:pPr>
        <w:pStyle w:val="Heading1"/>
      </w:pPr>
      <w:r>
        <w:lastRenderedPageBreak/>
        <w:t>3</w:t>
      </w:r>
      <w:r>
        <w:tab/>
        <w:t>Conclusion</w:t>
      </w:r>
      <w:r w:rsidR="00F909AE">
        <w:t>s</w:t>
      </w:r>
    </w:p>
    <w:p w14:paraId="506D9B64" w14:textId="3F7FA0C6" w:rsidR="00610895" w:rsidRDefault="001E0B3F" w:rsidP="00EA50F9">
      <w:pPr>
        <w:spacing w:after="0"/>
      </w:pPr>
      <w:r>
        <w:t xml:space="preserve">In this document, we have </w:t>
      </w:r>
      <w:r w:rsidR="00610895">
        <w:t xml:space="preserve">addressed the open issues of OTA EVM requirements. </w:t>
      </w:r>
      <w:r w:rsidR="00FA5286">
        <w:t>W</w:t>
      </w:r>
      <w:r>
        <w:t>e can make the following observations</w:t>
      </w:r>
      <w:r w:rsidR="00FC63BB">
        <w:t xml:space="preserve"> based on our </w:t>
      </w:r>
      <w:r w:rsidR="00610895">
        <w:t>findings</w:t>
      </w:r>
      <w:r>
        <w:t>:</w:t>
      </w:r>
    </w:p>
    <w:p w14:paraId="4DA82653" w14:textId="77777777" w:rsidR="00610895" w:rsidRDefault="00610895" w:rsidP="00EA50F9">
      <w:pPr>
        <w:spacing w:after="0"/>
      </w:pPr>
    </w:p>
    <w:p w14:paraId="639E7F5F" w14:textId="3CBAA7B5" w:rsidR="001C3862" w:rsidRDefault="001C3862" w:rsidP="001C3862">
      <w:r w:rsidRPr="00682D7A">
        <w:rPr>
          <w:b/>
          <w:i/>
        </w:rPr>
        <w:t>Observation</w:t>
      </w:r>
      <w:r w:rsidRPr="00682D7A">
        <w:rPr>
          <w:b/>
        </w:rPr>
        <w:t xml:space="preserve"> 1</w:t>
      </w:r>
      <w:r>
        <w:t xml:space="preserve">: </w:t>
      </w:r>
      <w:r w:rsidRPr="001C3862">
        <w:rPr>
          <w:b/>
        </w:rPr>
        <w:t xml:space="preserve">It is not necessary to apply OTA EVM requirements per beam but one beam with the worst EVM is sufficient since EVM compliance tests only need to meet a threshold requirement. This implies that if the worst EVM beam is </w:t>
      </w:r>
      <w:r w:rsidR="00976865">
        <w:rPr>
          <w:b/>
        </w:rPr>
        <w:t>below</w:t>
      </w:r>
      <w:r w:rsidRPr="001C3862">
        <w:rPr>
          <w:b/>
        </w:rPr>
        <w:t xml:space="preserve"> the threshold</w:t>
      </w:r>
      <w:r w:rsidR="00976865">
        <w:rPr>
          <w:b/>
        </w:rPr>
        <w:t xml:space="preserve"> requirement</w:t>
      </w:r>
      <w:r w:rsidRPr="001C3862">
        <w:rPr>
          <w:b/>
        </w:rPr>
        <w:t>, then all the other beams should meet the requirement.</w:t>
      </w:r>
      <w:r>
        <w:t xml:space="preserve"> </w:t>
      </w:r>
      <w:r w:rsidR="002023AE" w:rsidRPr="001817F5">
        <w:rPr>
          <w:b/>
        </w:rPr>
        <w:t>All active transceiver units for the beam are configured to transmit at nominal power levels in order to excite all non-linear behaviours.</w:t>
      </w:r>
      <w:r w:rsidR="002023AE">
        <w:t xml:space="preserve"> </w:t>
      </w:r>
    </w:p>
    <w:p w14:paraId="6BD8A2E8" w14:textId="17D89FCD" w:rsidR="009368F7" w:rsidRDefault="00DB6A03" w:rsidP="00EA50F9">
      <w:pPr>
        <w:spacing w:after="0"/>
        <w:rPr>
          <w:b/>
          <w:lang w:val="en-US" w:eastAsia="zh-CN"/>
        </w:rPr>
      </w:pPr>
      <w:r w:rsidRPr="00682D7A">
        <w:rPr>
          <w:b/>
          <w:i/>
        </w:rPr>
        <w:t>Observation</w:t>
      </w:r>
      <w:r w:rsidRPr="00682D7A">
        <w:rPr>
          <w:b/>
        </w:rPr>
        <w:t xml:space="preserve"> 2</w:t>
      </w:r>
      <w:r>
        <w:t xml:space="preserve">: </w:t>
      </w:r>
      <w:r w:rsidRPr="001C3862">
        <w:rPr>
          <w:b/>
        </w:rPr>
        <w:t>It is possible to construct the EVM directions set by choosing</w:t>
      </w:r>
      <w:r w:rsidR="002B5B9E">
        <w:rPr>
          <w:b/>
        </w:rPr>
        <w:t xml:space="preserve"> </w:t>
      </w:r>
      <w:r w:rsidR="002B5B9E" w:rsidRPr="001C3862">
        <w:rPr>
          <w:b/>
        </w:rPr>
        <w:t xml:space="preserve">the greatest </w:t>
      </w:r>
      <w:r w:rsidR="002B5B9E">
        <w:rPr>
          <w:b/>
        </w:rPr>
        <w:t>boundary</w:t>
      </w:r>
      <w:r w:rsidR="002B5B9E" w:rsidRPr="001C3862">
        <w:rPr>
          <w:b/>
        </w:rPr>
        <w:t xml:space="preserve"> angles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 xml:space="preserve"> ∅</m:t>
            </m:r>
          </m:e>
          <m:sub>
            <m:r>
              <w:rPr>
                <w:rFonts w:ascii="Cambria Math" w:hAnsi="Cambria Math"/>
                <w:lang w:val="en-US" w:eastAsia="zh-CN"/>
              </w:rPr>
              <m:t>pos</m:t>
            </m:r>
          </m:sub>
        </m:sSub>
      </m:oMath>
      <w:r w:rsidR="002B5B9E">
        <w:rPr>
          <w:b/>
          <w:lang w:val="en-US" w:eastAsia="zh-CN"/>
        </w:rPr>
        <w:t>,</w:t>
      </w:r>
      <w:r w:rsidR="002B5B9E">
        <w:rPr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Θ</m:t>
            </m:r>
          </m:e>
          <m:sub>
            <m:r>
              <w:rPr>
                <w:rFonts w:ascii="Cambria Math" w:hAnsi="Cambria Math"/>
                <w:lang w:val="en-US" w:eastAsia="zh-CN"/>
              </w:rPr>
              <m:t>pos</m:t>
            </m:r>
          </m:sub>
        </m:sSub>
      </m:oMath>
      <w:r w:rsidR="002B5B9E">
        <w:rPr>
          <w:lang w:val="en-US" w:eastAsia="zh-CN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 xml:space="preserve"> </m:t>
        </m:r>
        <m:r>
          <m:rPr>
            <m:sty m:val="b"/>
          </m:rPr>
          <w:rPr>
            <w:rFonts w:ascii="Cambria Math" w:hAnsi="Cambria Math"/>
            <w:lang w:val="en-US" w:eastAsia="zh-CN"/>
          </w:rPr>
          <m:t>and the least</m:t>
        </m:r>
        <m:r>
          <w:rPr>
            <w:rFonts w:ascii="Cambria Math" w:hAnsi="Cambria Math"/>
            <w:lang w:val="en-US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∅</m:t>
            </m:r>
          </m:e>
          <m:sub>
            <m:r>
              <w:rPr>
                <w:rFonts w:ascii="Cambria Math" w:hAnsi="Cambria Math"/>
                <w:lang w:val="en-US" w:eastAsia="zh-CN"/>
              </w:rPr>
              <m:t>neg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Θ</m:t>
            </m:r>
          </m:e>
          <m:sub>
            <m:r>
              <w:rPr>
                <w:rFonts w:ascii="Cambria Math" w:hAnsi="Cambria Math"/>
                <w:lang w:val="en-US" w:eastAsia="zh-CN"/>
              </w:rPr>
              <m:t>neg</m:t>
            </m:r>
          </m:sub>
        </m:sSub>
      </m:oMath>
      <w:r w:rsidR="002B5B9E">
        <w:rPr>
          <w:lang w:val="en-US" w:eastAsia="zh-CN"/>
        </w:rPr>
        <w:t xml:space="preserve"> </w:t>
      </w:r>
      <w:r w:rsidR="002B5B9E" w:rsidRPr="001C3862">
        <w:rPr>
          <w:b/>
          <w:lang w:val="en-US" w:eastAsia="zh-CN"/>
        </w:rPr>
        <w:t>out of the declared EIRP accuracy directions sets.</w:t>
      </w:r>
      <w:r w:rsidR="002B5B9E">
        <w:rPr>
          <w:lang w:val="en-US" w:eastAsia="zh-CN"/>
        </w:rPr>
        <w:t xml:space="preserve"> </w:t>
      </w:r>
    </w:p>
    <w:p w14:paraId="44A591EC" w14:textId="0179FA9A" w:rsidR="00DB6A03" w:rsidRDefault="00DB6A03" w:rsidP="00EA50F9">
      <w:pPr>
        <w:spacing w:after="0"/>
        <w:rPr>
          <w:b/>
          <w:lang w:val="en-US" w:eastAsia="zh-CN"/>
        </w:rPr>
      </w:pPr>
    </w:p>
    <w:p w14:paraId="055AA509" w14:textId="088E5268" w:rsidR="00FC59D7" w:rsidRDefault="001659DC" w:rsidP="007F3A76">
      <w:pPr>
        <w:rPr>
          <w:b/>
          <w:lang w:val="en-US" w:eastAsia="zh-CN"/>
        </w:rPr>
      </w:pPr>
      <w:r w:rsidRPr="00630009">
        <w:rPr>
          <w:b/>
          <w:i/>
        </w:rPr>
        <w:t>Observation</w:t>
      </w:r>
      <w:r w:rsidRPr="003C56C9">
        <w:rPr>
          <w:b/>
        </w:rPr>
        <w:t xml:space="preserve"> 3: the EVM directions set that is constructed </w:t>
      </w:r>
      <w:r w:rsidR="00F30FFF">
        <w:rPr>
          <w:b/>
        </w:rPr>
        <w:t xml:space="preserve">from </w:t>
      </w:r>
      <w:r w:rsidRPr="003C56C9">
        <w:rPr>
          <w:b/>
          <w:bCs/>
        </w:rPr>
        <w:t xml:space="preserve">the greatest and the least beam peak directions belongs to “OTA compliance coverage”. </w:t>
      </w:r>
      <w:r>
        <w:rPr>
          <w:b/>
          <w:bCs/>
        </w:rPr>
        <w:t xml:space="preserve">Note, the classification of the EVM directions set depends on how it is constructed. </w:t>
      </w:r>
    </w:p>
    <w:p w14:paraId="2740FC57" w14:textId="09ED4FDD" w:rsidR="008536CA" w:rsidRDefault="00DB6A03" w:rsidP="00E0498A">
      <w:pPr>
        <w:rPr>
          <w:b/>
        </w:rPr>
      </w:pPr>
      <w:r w:rsidRPr="00682D7A">
        <w:rPr>
          <w:b/>
          <w:i/>
        </w:rPr>
        <w:t>Observation</w:t>
      </w:r>
      <w:r w:rsidRPr="00682D7A">
        <w:rPr>
          <w:b/>
        </w:rPr>
        <w:t xml:space="preserve"> </w:t>
      </w:r>
      <w:r w:rsidR="00FC59D7">
        <w:rPr>
          <w:b/>
        </w:rPr>
        <w:t>4</w:t>
      </w:r>
      <w:r>
        <w:t xml:space="preserve">: </w:t>
      </w:r>
      <w:r w:rsidRPr="001C3862">
        <w:rPr>
          <w:b/>
        </w:rPr>
        <w:t>The EVM requirement for AAS BS without beamsteering is the same as for AAS BS with beamsteering</w:t>
      </w:r>
      <w:r>
        <w:t>.</w:t>
      </w:r>
    </w:p>
    <w:p w14:paraId="61C16FC4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6582194" w14:textId="7074FBC4" w:rsidR="00080512" w:rsidRDefault="00625DC8" w:rsidP="00334CA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R4-16887</w:t>
      </w:r>
      <w:r w:rsidR="009A2AEF">
        <w:rPr>
          <w:sz w:val="18"/>
          <w:lang w:eastAsia="zh-CN"/>
        </w:rPr>
        <w:t>3</w:t>
      </w:r>
      <w:r>
        <w:rPr>
          <w:sz w:val="18"/>
          <w:lang w:eastAsia="zh-CN"/>
        </w:rPr>
        <w:t xml:space="preserve">, Way Forward on OTA </w:t>
      </w:r>
      <w:r w:rsidR="009A2AEF">
        <w:rPr>
          <w:sz w:val="18"/>
          <w:lang w:eastAsia="zh-CN"/>
        </w:rPr>
        <w:t>EVM for eAAS</w:t>
      </w:r>
      <w:r>
        <w:rPr>
          <w:sz w:val="18"/>
          <w:lang w:eastAsia="zh-CN"/>
        </w:rPr>
        <w:t xml:space="preserve">, </w:t>
      </w:r>
      <w:r w:rsidR="009A2AEF">
        <w:rPr>
          <w:sz w:val="18"/>
          <w:lang w:eastAsia="zh-CN"/>
        </w:rPr>
        <w:t xml:space="preserve">NEC, Huawei, </w:t>
      </w:r>
      <w:r>
        <w:rPr>
          <w:sz w:val="18"/>
          <w:lang w:eastAsia="zh-CN"/>
        </w:rPr>
        <w:t>Ericsson</w:t>
      </w:r>
    </w:p>
    <w:p w14:paraId="6150CA5B" w14:textId="3DA0BCC1" w:rsidR="005022F1" w:rsidRDefault="0030223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R4-168559, OTA EVM of eAAS base station transmitters, Nokia, Alcatel-Lucent Shanghai Bell</w:t>
      </w:r>
    </w:p>
    <w:p w14:paraId="5A760CDB" w14:textId="0F527328" w:rsidR="008D6B79" w:rsidRDefault="008D6B7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R4-1610800, WF on OTA requirement compliance range, NTT DOCOMO</w:t>
      </w:r>
    </w:p>
    <w:p w14:paraId="69187269" w14:textId="308476C2" w:rsidR="003A3926" w:rsidRPr="00610895" w:rsidRDefault="003A392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 w:rsidRPr="00561EFB">
        <w:rPr>
          <w:sz w:val="18"/>
          <w:lang w:eastAsia="zh-CN"/>
        </w:rPr>
        <w:t>R4-17</w:t>
      </w:r>
      <w:r w:rsidR="00561EFB" w:rsidRPr="00561EFB">
        <w:rPr>
          <w:sz w:val="18"/>
          <w:lang w:eastAsia="zh-CN"/>
        </w:rPr>
        <w:t>01812</w:t>
      </w:r>
      <w:r>
        <w:rPr>
          <w:sz w:val="18"/>
          <w:lang w:eastAsia="zh-CN"/>
        </w:rPr>
        <w:t>, Names and definitions for OTA requirement compliance range, Nokia, Alcatel-Lucent Shanghai Bell</w:t>
      </w:r>
    </w:p>
    <w:sectPr w:rsidR="003A3926" w:rsidRPr="0061089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3A531E" w14:textId="77777777" w:rsidR="00D972F1" w:rsidRDefault="00D972F1">
      <w:r>
        <w:separator/>
      </w:r>
    </w:p>
  </w:endnote>
  <w:endnote w:type="continuationSeparator" w:id="0">
    <w:p w14:paraId="49D4D020" w14:textId="77777777" w:rsidR="00D972F1" w:rsidRDefault="00D9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8F588" w14:textId="77777777" w:rsidR="00D972F1" w:rsidRDefault="00D972F1">
      <w:r>
        <w:separator/>
      </w:r>
    </w:p>
  </w:footnote>
  <w:footnote w:type="continuationSeparator" w:id="0">
    <w:p w14:paraId="07FCEE7D" w14:textId="77777777" w:rsidR="00D972F1" w:rsidRDefault="00D97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216014"/>
    <w:multiLevelType w:val="hybridMultilevel"/>
    <w:tmpl w:val="598E0C12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41F059EA"/>
    <w:multiLevelType w:val="hybridMultilevel"/>
    <w:tmpl w:val="40C4F8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5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6AC55338"/>
    <w:multiLevelType w:val="hybridMultilevel"/>
    <w:tmpl w:val="88968978"/>
    <w:lvl w:ilvl="0" w:tplc="08090019">
      <w:start w:val="1"/>
      <w:numFmt w:val="lowerLetter"/>
      <w:lvlText w:val="%1."/>
      <w:lvlJc w:val="left"/>
      <w:pPr>
        <w:ind w:left="1004" w:hanging="360"/>
      </w:pPr>
      <w:rPr>
        <w:rFonts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A37721"/>
    <w:multiLevelType w:val="hybridMultilevel"/>
    <w:tmpl w:val="DEC6EFBE"/>
    <w:lvl w:ilvl="0" w:tplc="E6F2853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5"/>
  </w:num>
  <w:num w:numId="8">
    <w:abstractNumId w:val="23"/>
  </w:num>
  <w:num w:numId="9">
    <w:abstractNumId w:val="7"/>
  </w:num>
  <w:num w:numId="10">
    <w:abstractNumId w:val="18"/>
  </w:num>
  <w:num w:numId="11">
    <w:abstractNumId w:val="6"/>
  </w:num>
  <w:num w:numId="12">
    <w:abstractNumId w:val="30"/>
  </w:num>
  <w:num w:numId="13">
    <w:abstractNumId w:val="23"/>
  </w:num>
  <w:num w:numId="14">
    <w:abstractNumId w:val="31"/>
  </w:num>
  <w:num w:numId="15">
    <w:abstractNumId w:val="20"/>
  </w:num>
  <w:num w:numId="16">
    <w:abstractNumId w:val="22"/>
  </w:num>
  <w:num w:numId="17">
    <w:abstractNumId w:val="21"/>
  </w:num>
  <w:num w:numId="18">
    <w:abstractNumId w:val="8"/>
  </w:num>
  <w:num w:numId="19">
    <w:abstractNumId w:val="16"/>
  </w:num>
  <w:num w:numId="20">
    <w:abstractNumId w:val="24"/>
  </w:num>
  <w:num w:numId="21">
    <w:abstractNumId w:val="13"/>
  </w:num>
  <w:num w:numId="22">
    <w:abstractNumId w:val="11"/>
  </w:num>
  <w:num w:numId="23">
    <w:abstractNumId w:val="27"/>
  </w:num>
  <w:num w:numId="24">
    <w:abstractNumId w:val="28"/>
  </w:num>
  <w:num w:numId="25">
    <w:abstractNumId w:val="3"/>
  </w:num>
  <w:num w:numId="26">
    <w:abstractNumId w:val="10"/>
  </w:num>
  <w:num w:numId="27">
    <w:abstractNumId w:val="4"/>
  </w:num>
  <w:num w:numId="28">
    <w:abstractNumId w:val="25"/>
  </w:num>
  <w:num w:numId="29">
    <w:abstractNumId w:val="14"/>
  </w:num>
  <w:num w:numId="30">
    <w:abstractNumId w:val="17"/>
  </w:num>
  <w:num w:numId="31">
    <w:abstractNumId w:val="29"/>
  </w:num>
  <w:num w:numId="32">
    <w:abstractNumId w:val="26"/>
  </w:num>
  <w:num w:numId="33">
    <w:abstractNumId w:val="12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3938"/>
    <w:rsid w:val="000101CB"/>
    <w:rsid w:val="000106FF"/>
    <w:rsid w:val="0001145D"/>
    <w:rsid w:val="000137F6"/>
    <w:rsid w:val="00016F09"/>
    <w:rsid w:val="00017313"/>
    <w:rsid w:val="00017DA1"/>
    <w:rsid w:val="00020C10"/>
    <w:rsid w:val="0002364E"/>
    <w:rsid w:val="000300D0"/>
    <w:rsid w:val="000305C8"/>
    <w:rsid w:val="00030689"/>
    <w:rsid w:val="00033397"/>
    <w:rsid w:val="000348B2"/>
    <w:rsid w:val="000365B5"/>
    <w:rsid w:val="00036844"/>
    <w:rsid w:val="00040095"/>
    <w:rsid w:val="00040A6C"/>
    <w:rsid w:val="000430C4"/>
    <w:rsid w:val="00044D69"/>
    <w:rsid w:val="0004638A"/>
    <w:rsid w:val="000545C7"/>
    <w:rsid w:val="00054AC3"/>
    <w:rsid w:val="0006320C"/>
    <w:rsid w:val="000644A3"/>
    <w:rsid w:val="000667FA"/>
    <w:rsid w:val="00071FFA"/>
    <w:rsid w:val="000721A4"/>
    <w:rsid w:val="000724DA"/>
    <w:rsid w:val="00073190"/>
    <w:rsid w:val="0007527A"/>
    <w:rsid w:val="00080512"/>
    <w:rsid w:val="00081167"/>
    <w:rsid w:val="00081B44"/>
    <w:rsid w:val="000830B8"/>
    <w:rsid w:val="00090468"/>
    <w:rsid w:val="00092463"/>
    <w:rsid w:val="0009290B"/>
    <w:rsid w:val="00092966"/>
    <w:rsid w:val="00097704"/>
    <w:rsid w:val="00097CA9"/>
    <w:rsid w:val="000A1A7C"/>
    <w:rsid w:val="000A362E"/>
    <w:rsid w:val="000A4929"/>
    <w:rsid w:val="000A545C"/>
    <w:rsid w:val="000B05AE"/>
    <w:rsid w:val="000B120E"/>
    <w:rsid w:val="000B26A4"/>
    <w:rsid w:val="000B6232"/>
    <w:rsid w:val="000B62E2"/>
    <w:rsid w:val="000B6309"/>
    <w:rsid w:val="000B677B"/>
    <w:rsid w:val="000B7BCF"/>
    <w:rsid w:val="000C02E7"/>
    <w:rsid w:val="000C0932"/>
    <w:rsid w:val="000C250C"/>
    <w:rsid w:val="000C3813"/>
    <w:rsid w:val="000C5018"/>
    <w:rsid w:val="000C522B"/>
    <w:rsid w:val="000C5EEC"/>
    <w:rsid w:val="000C767F"/>
    <w:rsid w:val="000D0177"/>
    <w:rsid w:val="000D045A"/>
    <w:rsid w:val="000D258A"/>
    <w:rsid w:val="000D4E52"/>
    <w:rsid w:val="000D541C"/>
    <w:rsid w:val="000D58AB"/>
    <w:rsid w:val="000D64D4"/>
    <w:rsid w:val="000D72A7"/>
    <w:rsid w:val="000D771B"/>
    <w:rsid w:val="000D7A16"/>
    <w:rsid w:val="000E0416"/>
    <w:rsid w:val="000E1093"/>
    <w:rsid w:val="000E24F6"/>
    <w:rsid w:val="000F56C1"/>
    <w:rsid w:val="000F583D"/>
    <w:rsid w:val="000F7070"/>
    <w:rsid w:val="00102D48"/>
    <w:rsid w:val="00103E62"/>
    <w:rsid w:val="0010508F"/>
    <w:rsid w:val="00105C1B"/>
    <w:rsid w:val="001063B9"/>
    <w:rsid w:val="001112D2"/>
    <w:rsid w:val="00112188"/>
    <w:rsid w:val="00113D00"/>
    <w:rsid w:val="001209A4"/>
    <w:rsid w:val="00121AA2"/>
    <w:rsid w:val="0012430B"/>
    <w:rsid w:val="001255B4"/>
    <w:rsid w:val="0013236E"/>
    <w:rsid w:val="00135E4A"/>
    <w:rsid w:val="00136A5D"/>
    <w:rsid w:val="00141B79"/>
    <w:rsid w:val="00142D0B"/>
    <w:rsid w:val="00143DD8"/>
    <w:rsid w:val="00145B12"/>
    <w:rsid w:val="00147B64"/>
    <w:rsid w:val="0015012B"/>
    <w:rsid w:val="001509A1"/>
    <w:rsid w:val="00153509"/>
    <w:rsid w:val="001568FC"/>
    <w:rsid w:val="00156982"/>
    <w:rsid w:val="001579AA"/>
    <w:rsid w:val="0016115E"/>
    <w:rsid w:val="001635F0"/>
    <w:rsid w:val="001654C3"/>
    <w:rsid w:val="001659DC"/>
    <w:rsid w:val="00165A9A"/>
    <w:rsid w:val="0016633B"/>
    <w:rsid w:val="001707E4"/>
    <w:rsid w:val="00171463"/>
    <w:rsid w:val="001715FF"/>
    <w:rsid w:val="00172259"/>
    <w:rsid w:val="00172D1A"/>
    <w:rsid w:val="00172DFF"/>
    <w:rsid w:val="001741A0"/>
    <w:rsid w:val="00176E94"/>
    <w:rsid w:val="00177DB9"/>
    <w:rsid w:val="0018168F"/>
    <w:rsid w:val="00183421"/>
    <w:rsid w:val="001842C2"/>
    <w:rsid w:val="00184951"/>
    <w:rsid w:val="0018583D"/>
    <w:rsid w:val="001863F5"/>
    <w:rsid w:val="00191D5A"/>
    <w:rsid w:val="00194CD0"/>
    <w:rsid w:val="00194E93"/>
    <w:rsid w:val="001A0844"/>
    <w:rsid w:val="001A2A06"/>
    <w:rsid w:val="001A4323"/>
    <w:rsid w:val="001A7780"/>
    <w:rsid w:val="001B2D75"/>
    <w:rsid w:val="001B49C9"/>
    <w:rsid w:val="001B58C1"/>
    <w:rsid w:val="001B7DA9"/>
    <w:rsid w:val="001C3862"/>
    <w:rsid w:val="001C3A2E"/>
    <w:rsid w:val="001C4920"/>
    <w:rsid w:val="001C5CCF"/>
    <w:rsid w:val="001D13D2"/>
    <w:rsid w:val="001D2D88"/>
    <w:rsid w:val="001D3BFF"/>
    <w:rsid w:val="001D662B"/>
    <w:rsid w:val="001D68E2"/>
    <w:rsid w:val="001D7A0A"/>
    <w:rsid w:val="001E0B3F"/>
    <w:rsid w:val="001E0EA8"/>
    <w:rsid w:val="001E22D1"/>
    <w:rsid w:val="001E3BBF"/>
    <w:rsid w:val="001E5E16"/>
    <w:rsid w:val="001E7664"/>
    <w:rsid w:val="001F168B"/>
    <w:rsid w:val="001F1C14"/>
    <w:rsid w:val="001F2B53"/>
    <w:rsid w:val="001F36CE"/>
    <w:rsid w:val="001F36FF"/>
    <w:rsid w:val="001F5247"/>
    <w:rsid w:val="001F7831"/>
    <w:rsid w:val="00201C2F"/>
    <w:rsid w:val="00202359"/>
    <w:rsid w:val="002023AE"/>
    <w:rsid w:val="00204045"/>
    <w:rsid w:val="00204A2C"/>
    <w:rsid w:val="00207EA9"/>
    <w:rsid w:val="0021041B"/>
    <w:rsid w:val="00210784"/>
    <w:rsid w:val="0021096E"/>
    <w:rsid w:val="00211D93"/>
    <w:rsid w:val="00214024"/>
    <w:rsid w:val="00216085"/>
    <w:rsid w:val="00217539"/>
    <w:rsid w:val="0022198D"/>
    <w:rsid w:val="002220DD"/>
    <w:rsid w:val="002251A1"/>
    <w:rsid w:val="00225D94"/>
    <w:rsid w:val="0022606D"/>
    <w:rsid w:val="00226ABD"/>
    <w:rsid w:val="002279C7"/>
    <w:rsid w:val="00227CA2"/>
    <w:rsid w:val="00231A80"/>
    <w:rsid w:val="00231E5C"/>
    <w:rsid w:val="00234874"/>
    <w:rsid w:val="00234E78"/>
    <w:rsid w:val="00237812"/>
    <w:rsid w:val="00237C1E"/>
    <w:rsid w:val="00241B8E"/>
    <w:rsid w:val="00244765"/>
    <w:rsid w:val="002519DA"/>
    <w:rsid w:val="002548CF"/>
    <w:rsid w:val="00256F2C"/>
    <w:rsid w:val="00262A06"/>
    <w:rsid w:val="002647D9"/>
    <w:rsid w:val="0026634C"/>
    <w:rsid w:val="002710CA"/>
    <w:rsid w:val="0027171E"/>
    <w:rsid w:val="0027345D"/>
    <w:rsid w:val="00273CE0"/>
    <w:rsid w:val="00273F5D"/>
    <w:rsid w:val="002747EC"/>
    <w:rsid w:val="00277E5B"/>
    <w:rsid w:val="002801D0"/>
    <w:rsid w:val="00281002"/>
    <w:rsid w:val="00283F97"/>
    <w:rsid w:val="00284494"/>
    <w:rsid w:val="002845F1"/>
    <w:rsid w:val="002855BF"/>
    <w:rsid w:val="0028563D"/>
    <w:rsid w:val="002862B7"/>
    <w:rsid w:val="00290BB8"/>
    <w:rsid w:val="002949B1"/>
    <w:rsid w:val="002A027F"/>
    <w:rsid w:val="002A1633"/>
    <w:rsid w:val="002A19F0"/>
    <w:rsid w:val="002A5A95"/>
    <w:rsid w:val="002B139A"/>
    <w:rsid w:val="002B5588"/>
    <w:rsid w:val="002B5B9E"/>
    <w:rsid w:val="002C02F5"/>
    <w:rsid w:val="002C52AF"/>
    <w:rsid w:val="002C64DE"/>
    <w:rsid w:val="002C7FDB"/>
    <w:rsid w:val="002D0066"/>
    <w:rsid w:val="002D0A63"/>
    <w:rsid w:val="002D31F3"/>
    <w:rsid w:val="002D3588"/>
    <w:rsid w:val="002F0D22"/>
    <w:rsid w:val="002F2212"/>
    <w:rsid w:val="002F366A"/>
    <w:rsid w:val="002F6D54"/>
    <w:rsid w:val="002F7CD5"/>
    <w:rsid w:val="0030003D"/>
    <w:rsid w:val="00300723"/>
    <w:rsid w:val="00302238"/>
    <w:rsid w:val="00304264"/>
    <w:rsid w:val="00304A8D"/>
    <w:rsid w:val="0030671D"/>
    <w:rsid w:val="00314BBC"/>
    <w:rsid w:val="00316195"/>
    <w:rsid w:val="003161B4"/>
    <w:rsid w:val="003169C6"/>
    <w:rsid w:val="003172DC"/>
    <w:rsid w:val="00317474"/>
    <w:rsid w:val="0032080C"/>
    <w:rsid w:val="00322FA8"/>
    <w:rsid w:val="00324FC0"/>
    <w:rsid w:val="00325B90"/>
    <w:rsid w:val="00326069"/>
    <w:rsid w:val="00330940"/>
    <w:rsid w:val="003309F0"/>
    <w:rsid w:val="00333470"/>
    <w:rsid w:val="00334CA9"/>
    <w:rsid w:val="003371D2"/>
    <w:rsid w:val="003375FE"/>
    <w:rsid w:val="0034350D"/>
    <w:rsid w:val="00345218"/>
    <w:rsid w:val="0035116B"/>
    <w:rsid w:val="00352D97"/>
    <w:rsid w:val="0035462D"/>
    <w:rsid w:val="00354A86"/>
    <w:rsid w:val="0035791B"/>
    <w:rsid w:val="00363749"/>
    <w:rsid w:val="00367759"/>
    <w:rsid w:val="00370277"/>
    <w:rsid w:val="00370920"/>
    <w:rsid w:val="003726F0"/>
    <w:rsid w:val="00375351"/>
    <w:rsid w:val="003753DF"/>
    <w:rsid w:val="003810FF"/>
    <w:rsid w:val="00382C60"/>
    <w:rsid w:val="00384421"/>
    <w:rsid w:val="003876D8"/>
    <w:rsid w:val="00392600"/>
    <w:rsid w:val="00394576"/>
    <w:rsid w:val="00394707"/>
    <w:rsid w:val="0039655B"/>
    <w:rsid w:val="003A04D9"/>
    <w:rsid w:val="003A1A52"/>
    <w:rsid w:val="003A2941"/>
    <w:rsid w:val="003A3926"/>
    <w:rsid w:val="003A44A1"/>
    <w:rsid w:val="003A4E98"/>
    <w:rsid w:val="003A5A3E"/>
    <w:rsid w:val="003A601A"/>
    <w:rsid w:val="003B0D04"/>
    <w:rsid w:val="003B0D89"/>
    <w:rsid w:val="003B2AD4"/>
    <w:rsid w:val="003B7BE5"/>
    <w:rsid w:val="003C0494"/>
    <w:rsid w:val="003C0559"/>
    <w:rsid w:val="003C0754"/>
    <w:rsid w:val="003C1900"/>
    <w:rsid w:val="003C21BD"/>
    <w:rsid w:val="003C482B"/>
    <w:rsid w:val="003C4E37"/>
    <w:rsid w:val="003C5684"/>
    <w:rsid w:val="003C56C9"/>
    <w:rsid w:val="003C79FD"/>
    <w:rsid w:val="003D236F"/>
    <w:rsid w:val="003D269F"/>
    <w:rsid w:val="003D27D4"/>
    <w:rsid w:val="003D2F36"/>
    <w:rsid w:val="003D6E96"/>
    <w:rsid w:val="003E1611"/>
    <w:rsid w:val="003E16BE"/>
    <w:rsid w:val="003E24CA"/>
    <w:rsid w:val="003E648B"/>
    <w:rsid w:val="003E70F7"/>
    <w:rsid w:val="003F02B3"/>
    <w:rsid w:val="003F28D0"/>
    <w:rsid w:val="003F30E7"/>
    <w:rsid w:val="00401855"/>
    <w:rsid w:val="00403917"/>
    <w:rsid w:val="0040447E"/>
    <w:rsid w:val="004066C0"/>
    <w:rsid w:val="00414176"/>
    <w:rsid w:val="004148A7"/>
    <w:rsid w:val="00415E93"/>
    <w:rsid w:val="00420200"/>
    <w:rsid w:val="004218AF"/>
    <w:rsid w:val="0042236A"/>
    <w:rsid w:val="004260FB"/>
    <w:rsid w:val="0043021C"/>
    <w:rsid w:val="00432EA4"/>
    <w:rsid w:val="00432F9B"/>
    <w:rsid w:val="004337BD"/>
    <w:rsid w:val="00434DB7"/>
    <w:rsid w:val="00441DE8"/>
    <w:rsid w:val="00442797"/>
    <w:rsid w:val="00444753"/>
    <w:rsid w:val="00444BEE"/>
    <w:rsid w:val="00445AB5"/>
    <w:rsid w:val="00446984"/>
    <w:rsid w:val="004476B5"/>
    <w:rsid w:val="0045347A"/>
    <w:rsid w:val="00453F66"/>
    <w:rsid w:val="00454196"/>
    <w:rsid w:val="00454E9B"/>
    <w:rsid w:val="004551C1"/>
    <w:rsid w:val="00456F62"/>
    <w:rsid w:val="0045720E"/>
    <w:rsid w:val="004629DD"/>
    <w:rsid w:val="0046341C"/>
    <w:rsid w:val="00465722"/>
    <w:rsid w:val="00466118"/>
    <w:rsid w:val="00471D6D"/>
    <w:rsid w:val="00475471"/>
    <w:rsid w:val="00475F28"/>
    <w:rsid w:val="00476542"/>
    <w:rsid w:val="00477455"/>
    <w:rsid w:val="0047770E"/>
    <w:rsid w:val="00481014"/>
    <w:rsid w:val="004813D0"/>
    <w:rsid w:val="004819E2"/>
    <w:rsid w:val="00482066"/>
    <w:rsid w:val="0048229C"/>
    <w:rsid w:val="0048658F"/>
    <w:rsid w:val="00487036"/>
    <w:rsid w:val="0049043C"/>
    <w:rsid w:val="0049055B"/>
    <w:rsid w:val="00497329"/>
    <w:rsid w:val="00497EE3"/>
    <w:rsid w:val="004A0324"/>
    <w:rsid w:val="004A20E8"/>
    <w:rsid w:val="004A26DA"/>
    <w:rsid w:val="004A3B8F"/>
    <w:rsid w:val="004A4285"/>
    <w:rsid w:val="004A5110"/>
    <w:rsid w:val="004A51E7"/>
    <w:rsid w:val="004A6FB3"/>
    <w:rsid w:val="004B1406"/>
    <w:rsid w:val="004B1A4A"/>
    <w:rsid w:val="004B1FC6"/>
    <w:rsid w:val="004B40EF"/>
    <w:rsid w:val="004B4FB4"/>
    <w:rsid w:val="004B5554"/>
    <w:rsid w:val="004B59CD"/>
    <w:rsid w:val="004B64A1"/>
    <w:rsid w:val="004B6AD9"/>
    <w:rsid w:val="004B6F07"/>
    <w:rsid w:val="004B712E"/>
    <w:rsid w:val="004B7703"/>
    <w:rsid w:val="004C04F9"/>
    <w:rsid w:val="004C3B04"/>
    <w:rsid w:val="004D2FAA"/>
    <w:rsid w:val="004D3578"/>
    <w:rsid w:val="004D380D"/>
    <w:rsid w:val="004D5157"/>
    <w:rsid w:val="004D517A"/>
    <w:rsid w:val="004D717D"/>
    <w:rsid w:val="004E002D"/>
    <w:rsid w:val="004E213A"/>
    <w:rsid w:val="004E6C01"/>
    <w:rsid w:val="004F0826"/>
    <w:rsid w:val="004F1EAA"/>
    <w:rsid w:val="004F2649"/>
    <w:rsid w:val="004F27DF"/>
    <w:rsid w:val="004F4A45"/>
    <w:rsid w:val="004F5D05"/>
    <w:rsid w:val="004F6634"/>
    <w:rsid w:val="004F7241"/>
    <w:rsid w:val="00500994"/>
    <w:rsid w:val="005022F1"/>
    <w:rsid w:val="00503171"/>
    <w:rsid w:val="00506060"/>
    <w:rsid w:val="00506D97"/>
    <w:rsid w:val="00507AF5"/>
    <w:rsid w:val="005110BC"/>
    <w:rsid w:val="0051369E"/>
    <w:rsid w:val="0051469E"/>
    <w:rsid w:val="005151D2"/>
    <w:rsid w:val="005206A5"/>
    <w:rsid w:val="005209F4"/>
    <w:rsid w:val="00522697"/>
    <w:rsid w:val="005252D5"/>
    <w:rsid w:val="00531327"/>
    <w:rsid w:val="00534DA0"/>
    <w:rsid w:val="005350AD"/>
    <w:rsid w:val="005376E1"/>
    <w:rsid w:val="00540EF4"/>
    <w:rsid w:val="0054183B"/>
    <w:rsid w:val="00542067"/>
    <w:rsid w:val="00543E6C"/>
    <w:rsid w:val="0054509E"/>
    <w:rsid w:val="00545E22"/>
    <w:rsid w:val="00545EAB"/>
    <w:rsid w:val="00546DC4"/>
    <w:rsid w:val="00546DCA"/>
    <w:rsid w:val="00547A4C"/>
    <w:rsid w:val="00557858"/>
    <w:rsid w:val="00561D46"/>
    <w:rsid w:val="00561EFB"/>
    <w:rsid w:val="005649CF"/>
    <w:rsid w:val="00564B4C"/>
    <w:rsid w:val="00565087"/>
    <w:rsid w:val="00565530"/>
    <w:rsid w:val="0056573F"/>
    <w:rsid w:val="00566244"/>
    <w:rsid w:val="00580901"/>
    <w:rsid w:val="00580B11"/>
    <w:rsid w:val="00580F72"/>
    <w:rsid w:val="00581941"/>
    <w:rsid w:val="00581AFF"/>
    <w:rsid w:val="0058394D"/>
    <w:rsid w:val="00583F9B"/>
    <w:rsid w:val="00584167"/>
    <w:rsid w:val="00586928"/>
    <w:rsid w:val="0059000D"/>
    <w:rsid w:val="005921CE"/>
    <w:rsid w:val="00592A31"/>
    <w:rsid w:val="005935C6"/>
    <w:rsid w:val="00594011"/>
    <w:rsid w:val="00595D15"/>
    <w:rsid w:val="00596599"/>
    <w:rsid w:val="005967C3"/>
    <w:rsid w:val="00597839"/>
    <w:rsid w:val="005A16DC"/>
    <w:rsid w:val="005A1848"/>
    <w:rsid w:val="005A35C7"/>
    <w:rsid w:val="005A403F"/>
    <w:rsid w:val="005A525F"/>
    <w:rsid w:val="005A539A"/>
    <w:rsid w:val="005A66E3"/>
    <w:rsid w:val="005A69E2"/>
    <w:rsid w:val="005B0554"/>
    <w:rsid w:val="005B2EA4"/>
    <w:rsid w:val="005B3245"/>
    <w:rsid w:val="005B725A"/>
    <w:rsid w:val="005C0FDB"/>
    <w:rsid w:val="005C106E"/>
    <w:rsid w:val="005C1BF3"/>
    <w:rsid w:val="005C2293"/>
    <w:rsid w:val="005C29C0"/>
    <w:rsid w:val="005C5AC8"/>
    <w:rsid w:val="005D0A67"/>
    <w:rsid w:val="005D343C"/>
    <w:rsid w:val="005D416A"/>
    <w:rsid w:val="005D5CCA"/>
    <w:rsid w:val="005D762D"/>
    <w:rsid w:val="005E36C3"/>
    <w:rsid w:val="005E5F83"/>
    <w:rsid w:val="005F2F95"/>
    <w:rsid w:val="005F5C79"/>
    <w:rsid w:val="00600984"/>
    <w:rsid w:val="006028B1"/>
    <w:rsid w:val="00603723"/>
    <w:rsid w:val="00605848"/>
    <w:rsid w:val="00605D99"/>
    <w:rsid w:val="00610895"/>
    <w:rsid w:val="00611566"/>
    <w:rsid w:val="006120AA"/>
    <w:rsid w:val="00612F4B"/>
    <w:rsid w:val="00613736"/>
    <w:rsid w:val="0061462C"/>
    <w:rsid w:val="00615898"/>
    <w:rsid w:val="00615950"/>
    <w:rsid w:val="00616F25"/>
    <w:rsid w:val="00625433"/>
    <w:rsid w:val="00625DC8"/>
    <w:rsid w:val="00626E03"/>
    <w:rsid w:val="00627AB0"/>
    <w:rsid w:val="00630009"/>
    <w:rsid w:val="0063301A"/>
    <w:rsid w:val="00633831"/>
    <w:rsid w:val="00633D79"/>
    <w:rsid w:val="006423A1"/>
    <w:rsid w:val="006425A2"/>
    <w:rsid w:val="006428E0"/>
    <w:rsid w:val="00642BD2"/>
    <w:rsid w:val="0064349F"/>
    <w:rsid w:val="00646D99"/>
    <w:rsid w:val="0064721B"/>
    <w:rsid w:val="006475B9"/>
    <w:rsid w:val="00650C14"/>
    <w:rsid w:val="006516F9"/>
    <w:rsid w:val="0065488B"/>
    <w:rsid w:val="00654974"/>
    <w:rsid w:val="006550E8"/>
    <w:rsid w:val="00655EB0"/>
    <w:rsid w:val="00656910"/>
    <w:rsid w:val="0066204B"/>
    <w:rsid w:val="0066266E"/>
    <w:rsid w:val="00664B16"/>
    <w:rsid w:val="006653BE"/>
    <w:rsid w:val="00665F61"/>
    <w:rsid w:val="00666374"/>
    <w:rsid w:val="00667974"/>
    <w:rsid w:val="00670420"/>
    <w:rsid w:val="00671162"/>
    <w:rsid w:val="006741CC"/>
    <w:rsid w:val="00674AC8"/>
    <w:rsid w:val="0067675D"/>
    <w:rsid w:val="0067739E"/>
    <w:rsid w:val="006776D1"/>
    <w:rsid w:val="006806B5"/>
    <w:rsid w:val="00680746"/>
    <w:rsid w:val="00680BE7"/>
    <w:rsid w:val="00680F6C"/>
    <w:rsid w:val="0068143A"/>
    <w:rsid w:val="00682D7A"/>
    <w:rsid w:val="00685587"/>
    <w:rsid w:val="00685F26"/>
    <w:rsid w:val="00686736"/>
    <w:rsid w:val="00691554"/>
    <w:rsid w:val="00692648"/>
    <w:rsid w:val="00697186"/>
    <w:rsid w:val="006A0B35"/>
    <w:rsid w:val="006A28E7"/>
    <w:rsid w:val="006B19D5"/>
    <w:rsid w:val="006B1A23"/>
    <w:rsid w:val="006B1C18"/>
    <w:rsid w:val="006B1CB4"/>
    <w:rsid w:val="006B51AB"/>
    <w:rsid w:val="006B5CC4"/>
    <w:rsid w:val="006B6C1A"/>
    <w:rsid w:val="006C115F"/>
    <w:rsid w:val="006C2F98"/>
    <w:rsid w:val="006C339B"/>
    <w:rsid w:val="006C48CB"/>
    <w:rsid w:val="006C66D8"/>
    <w:rsid w:val="006C7481"/>
    <w:rsid w:val="006D145C"/>
    <w:rsid w:val="006D1E24"/>
    <w:rsid w:val="006D4791"/>
    <w:rsid w:val="006D5298"/>
    <w:rsid w:val="006D6055"/>
    <w:rsid w:val="006D6AA5"/>
    <w:rsid w:val="006E0DAD"/>
    <w:rsid w:val="006E10E7"/>
    <w:rsid w:val="006E2E64"/>
    <w:rsid w:val="006E6FCE"/>
    <w:rsid w:val="006F0DA1"/>
    <w:rsid w:val="006F3924"/>
    <w:rsid w:val="006F6A2C"/>
    <w:rsid w:val="00700604"/>
    <w:rsid w:val="00702306"/>
    <w:rsid w:val="007054E8"/>
    <w:rsid w:val="007066FB"/>
    <w:rsid w:val="007110A7"/>
    <w:rsid w:val="00712B4B"/>
    <w:rsid w:val="00714643"/>
    <w:rsid w:val="00715F84"/>
    <w:rsid w:val="007167E8"/>
    <w:rsid w:val="007176DB"/>
    <w:rsid w:val="007201A8"/>
    <w:rsid w:val="007202FD"/>
    <w:rsid w:val="007233DA"/>
    <w:rsid w:val="00726ECF"/>
    <w:rsid w:val="00731A7E"/>
    <w:rsid w:val="00731E7A"/>
    <w:rsid w:val="00732100"/>
    <w:rsid w:val="00734A5B"/>
    <w:rsid w:val="00740732"/>
    <w:rsid w:val="00741F22"/>
    <w:rsid w:val="00744E76"/>
    <w:rsid w:val="00745401"/>
    <w:rsid w:val="00745DF4"/>
    <w:rsid w:val="00746B7B"/>
    <w:rsid w:val="00751E84"/>
    <w:rsid w:val="007546F4"/>
    <w:rsid w:val="00755597"/>
    <w:rsid w:val="00755CCE"/>
    <w:rsid w:val="00755D58"/>
    <w:rsid w:val="00757D40"/>
    <w:rsid w:val="00761E70"/>
    <w:rsid w:val="007636E8"/>
    <w:rsid w:val="00763A99"/>
    <w:rsid w:val="00765BD6"/>
    <w:rsid w:val="00766007"/>
    <w:rsid w:val="00770745"/>
    <w:rsid w:val="00771220"/>
    <w:rsid w:val="00772D0D"/>
    <w:rsid w:val="00773A5C"/>
    <w:rsid w:val="007763C4"/>
    <w:rsid w:val="00780AEF"/>
    <w:rsid w:val="00781F0F"/>
    <w:rsid w:val="00783CF8"/>
    <w:rsid w:val="00783E47"/>
    <w:rsid w:val="00785A41"/>
    <w:rsid w:val="00785BC3"/>
    <w:rsid w:val="0078727C"/>
    <w:rsid w:val="00794703"/>
    <w:rsid w:val="00796C18"/>
    <w:rsid w:val="007A0BE6"/>
    <w:rsid w:val="007A0D95"/>
    <w:rsid w:val="007A2E8D"/>
    <w:rsid w:val="007A6868"/>
    <w:rsid w:val="007A6DD5"/>
    <w:rsid w:val="007A7480"/>
    <w:rsid w:val="007A7A31"/>
    <w:rsid w:val="007B0F24"/>
    <w:rsid w:val="007B1789"/>
    <w:rsid w:val="007B18D8"/>
    <w:rsid w:val="007B3F32"/>
    <w:rsid w:val="007C023C"/>
    <w:rsid w:val="007C08AA"/>
    <w:rsid w:val="007C095F"/>
    <w:rsid w:val="007C2068"/>
    <w:rsid w:val="007C20EA"/>
    <w:rsid w:val="007C2D2F"/>
    <w:rsid w:val="007C367C"/>
    <w:rsid w:val="007C4857"/>
    <w:rsid w:val="007D3777"/>
    <w:rsid w:val="007D4B8E"/>
    <w:rsid w:val="007D6500"/>
    <w:rsid w:val="007E0D24"/>
    <w:rsid w:val="007E0E7C"/>
    <w:rsid w:val="007E13E8"/>
    <w:rsid w:val="007E178C"/>
    <w:rsid w:val="007E24D6"/>
    <w:rsid w:val="007E3F64"/>
    <w:rsid w:val="007E5ACF"/>
    <w:rsid w:val="007F3A76"/>
    <w:rsid w:val="007F3BC4"/>
    <w:rsid w:val="007F401F"/>
    <w:rsid w:val="008006B3"/>
    <w:rsid w:val="00802569"/>
    <w:rsid w:val="008028A4"/>
    <w:rsid w:val="008031D2"/>
    <w:rsid w:val="00803572"/>
    <w:rsid w:val="008044A5"/>
    <w:rsid w:val="00805D37"/>
    <w:rsid w:val="008068B6"/>
    <w:rsid w:val="0080787A"/>
    <w:rsid w:val="00812A8E"/>
    <w:rsid w:val="00812BCC"/>
    <w:rsid w:val="00814B79"/>
    <w:rsid w:val="00815DB9"/>
    <w:rsid w:val="00815DBE"/>
    <w:rsid w:val="00816D4D"/>
    <w:rsid w:val="00820A93"/>
    <w:rsid w:val="0082399C"/>
    <w:rsid w:val="00823F2B"/>
    <w:rsid w:val="00825C5D"/>
    <w:rsid w:val="008268CE"/>
    <w:rsid w:val="008272C7"/>
    <w:rsid w:val="008314F0"/>
    <w:rsid w:val="00831B65"/>
    <w:rsid w:val="00834AD1"/>
    <w:rsid w:val="008353F8"/>
    <w:rsid w:val="00837BD5"/>
    <w:rsid w:val="00843911"/>
    <w:rsid w:val="00843BD9"/>
    <w:rsid w:val="008442AE"/>
    <w:rsid w:val="00844BBD"/>
    <w:rsid w:val="008525F5"/>
    <w:rsid w:val="00852C45"/>
    <w:rsid w:val="008531D2"/>
    <w:rsid w:val="008536CA"/>
    <w:rsid w:val="008610FC"/>
    <w:rsid w:val="00864BF3"/>
    <w:rsid w:val="0086539A"/>
    <w:rsid w:val="00865FF5"/>
    <w:rsid w:val="008663F0"/>
    <w:rsid w:val="00866455"/>
    <w:rsid w:val="00867139"/>
    <w:rsid w:val="0086716D"/>
    <w:rsid w:val="0087443D"/>
    <w:rsid w:val="0087687A"/>
    <w:rsid w:val="008768CA"/>
    <w:rsid w:val="00877F26"/>
    <w:rsid w:val="00880559"/>
    <w:rsid w:val="00881B80"/>
    <w:rsid w:val="00883564"/>
    <w:rsid w:val="00883598"/>
    <w:rsid w:val="008840FF"/>
    <w:rsid w:val="00884944"/>
    <w:rsid w:val="00886976"/>
    <w:rsid w:val="00886E81"/>
    <w:rsid w:val="00886F47"/>
    <w:rsid w:val="00895C2F"/>
    <w:rsid w:val="00896111"/>
    <w:rsid w:val="008A1F7A"/>
    <w:rsid w:val="008A264E"/>
    <w:rsid w:val="008A73CC"/>
    <w:rsid w:val="008A7413"/>
    <w:rsid w:val="008B0648"/>
    <w:rsid w:val="008B12B4"/>
    <w:rsid w:val="008B1745"/>
    <w:rsid w:val="008B2259"/>
    <w:rsid w:val="008B31F0"/>
    <w:rsid w:val="008B36A2"/>
    <w:rsid w:val="008B5A23"/>
    <w:rsid w:val="008B61E2"/>
    <w:rsid w:val="008B7A6D"/>
    <w:rsid w:val="008C1D10"/>
    <w:rsid w:val="008C206E"/>
    <w:rsid w:val="008C3221"/>
    <w:rsid w:val="008D146B"/>
    <w:rsid w:val="008D4234"/>
    <w:rsid w:val="008D46A3"/>
    <w:rsid w:val="008D6B79"/>
    <w:rsid w:val="008D7B95"/>
    <w:rsid w:val="008D7E62"/>
    <w:rsid w:val="008E1DEF"/>
    <w:rsid w:val="008E3509"/>
    <w:rsid w:val="008E361B"/>
    <w:rsid w:val="008E4342"/>
    <w:rsid w:val="008E4836"/>
    <w:rsid w:val="008E54CA"/>
    <w:rsid w:val="008F0251"/>
    <w:rsid w:val="008F19F9"/>
    <w:rsid w:val="008F32DB"/>
    <w:rsid w:val="008F48CF"/>
    <w:rsid w:val="00900F25"/>
    <w:rsid w:val="009026F6"/>
    <w:rsid w:val="0090271F"/>
    <w:rsid w:val="009057EE"/>
    <w:rsid w:val="009167F5"/>
    <w:rsid w:val="0091687F"/>
    <w:rsid w:val="00916B4F"/>
    <w:rsid w:val="009175D3"/>
    <w:rsid w:val="00917891"/>
    <w:rsid w:val="009215B1"/>
    <w:rsid w:val="009220EC"/>
    <w:rsid w:val="00922A02"/>
    <w:rsid w:val="009234AF"/>
    <w:rsid w:val="00926A7C"/>
    <w:rsid w:val="00926D86"/>
    <w:rsid w:val="00931061"/>
    <w:rsid w:val="009312D2"/>
    <w:rsid w:val="00933DF8"/>
    <w:rsid w:val="00933E02"/>
    <w:rsid w:val="0093444E"/>
    <w:rsid w:val="0093564F"/>
    <w:rsid w:val="009368F7"/>
    <w:rsid w:val="00936F40"/>
    <w:rsid w:val="00937E12"/>
    <w:rsid w:val="00942EC2"/>
    <w:rsid w:val="00944A41"/>
    <w:rsid w:val="0095020E"/>
    <w:rsid w:val="00954CCD"/>
    <w:rsid w:val="00960050"/>
    <w:rsid w:val="00961B32"/>
    <w:rsid w:val="0096225D"/>
    <w:rsid w:val="009664FF"/>
    <w:rsid w:val="0097004A"/>
    <w:rsid w:val="00972DE9"/>
    <w:rsid w:val="009730C4"/>
    <w:rsid w:val="00974BB0"/>
    <w:rsid w:val="00974D9E"/>
    <w:rsid w:val="00974F64"/>
    <w:rsid w:val="00976865"/>
    <w:rsid w:val="00977040"/>
    <w:rsid w:val="009772C9"/>
    <w:rsid w:val="009802BA"/>
    <w:rsid w:val="00980D60"/>
    <w:rsid w:val="009829FF"/>
    <w:rsid w:val="00983994"/>
    <w:rsid w:val="0099116A"/>
    <w:rsid w:val="009957D3"/>
    <w:rsid w:val="00997F3F"/>
    <w:rsid w:val="009A1204"/>
    <w:rsid w:val="009A2AEF"/>
    <w:rsid w:val="009A3DD8"/>
    <w:rsid w:val="009A4250"/>
    <w:rsid w:val="009B04B1"/>
    <w:rsid w:val="009B07CD"/>
    <w:rsid w:val="009B6A03"/>
    <w:rsid w:val="009C0FC4"/>
    <w:rsid w:val="009C229E"/>
    <w:rsid w:val="009C3AFC"/>
    <w:rsid w:val="009C4806"/>
    <w:rsid w:val="009C6446"/>
    <w:rsid w:val="009C6B5B"/>
    <w:rsid w:val="009C7434"/>
    <w:rsid w:val="009D148B"/>
    <w:rsid w:val="009D2CFC"/>
    <w:rsid w:val="009D3482"/>
    <w:rsid w:val="009D3E41"/>
    <w:rsid w:val="009D547F"/>
    <w:rsid w:val="009D5AC7"/>
    <w:rsid w:val="009E6120"/>
    <w:rsid w:val="009E71C1"/>
    <w:rsid w:val="009E7A4D"/>
    <w:rsid w:val="009F0F95"/>
    <w:rsid w:val="009F1555"/>
    <w:rsid w:val="009F1CA2"/>
    <w:rsid w:val="009F2DA3"/>
    <w:rsid w:val="009F376A"/>
    <w:rsid w:val="009F62EC"/>
    <w:rsid w:val="009F6E12"/>
    <w:rsid w:val="009F79D0"/>
    <w:rsid w:val="00A00A04"/>
    <w:rsid w:val="00A0254A"/>
    <w:rsid w:val="00A027D9"/>
    <w:rsid w:val="00A03F3D"/>
    <w:rsid w:val="00A04540"/>
    <w:rsid w:val="00A04827"/>
    <w:rsid w:val="00A06A73"/>
    <w:rsid w:val="00A10F02"/>
    <w:rsid w:val="00A122CF"/>
    <w:rsid w:val="00A13F60"/>
    <w:rsid w:val="00A14B2B"/>
    <w:rsid w:val="00A21953"/>
    <w:rsid w:val="00A279B8"/>
    <w:rsid w:val="00A3051A"/>
    <w:rsid w:val="00A325B1"/>
    <w:rsid w:val="00A34058"/>
    <w:rsid w:val="00A354E8"/>
    <w:rsid w:val="00A3627C"/>
    <w:rsid w:val="00A36BCE"/>
    <w:rsid w:val="00A41AF6"/>
    <w:rsid w:val="00A43498"/>
    <w:rsid w:val="00A43EF3"/>
    <w:rsid w:val="00A45FE2"/>
    <w:rsid w:val="00A46022"/>
    <w:rsid w:val="00A47851"/>
    <w:rsid w:val="00A5010F"/>
    <w:rsid w:val="00A5022D"/>
    <w:rsid w:val="00A51764"/>
    <w:rsid w:val="00A5239F"/>
    <w:rsid w:val="00A52411"/>
    <w:rsid w:val="00A53724"/>
    <w:rsid w:val="00A53D4C"/>
    <w:rsid w:val="00A54101"/>
    <w:rsid w:val="00A558DF"/>
    <w:rsid w:val="00A559EF"/>
    <w:rsid w:val="00A5684F"/>
    <w:rsid w:val="00A575A8"/>
    <w:rsid w:val="00A61056"/>
    <w:rsid w:val="00A632BB"/>
    <w:rsid w:val="00A70614"/>
    <w:rsid w:val="00A70BEF"/>
    <w:rsid w:val="00A7177C"/>
    <w:rsid w:val="00A73082"/>
    <w:rsid w:val="00A73D42"/>
    <w:rsid w:val="00A7565B"/>
    <w:rsid w:val="00A82346"/>
    <w:rsid w:val="00A83D72"/>
    <w:rsid w:val="00A8485E"/>
    <w:rsid w:val="00A92A9A"/>
    <w:rsid w:val="00A96290"/>
    <w:rsid w:val="00A9629E"/>
    <w:rsid w:val="00A9671C"/>
    <w:rsid w:val="00A973D8"/>
    <w:rsid w:val="00AA13E2"/>
    <w:rsid w:val="00AA31D3"/>
    <w:rsid w:val="00AA3483"/>
    <w:rsid w:val="00AA5E39"/>
    <w:rsid w:val="00AB21D9"/>
    <w:rsid w:val="00AB6C35"/>
    <w:rsid w:val="00AC080A"/>
    <w:rsid w:val="00AC178C"/>
    <w:rsid w:val="00AC1FA8"/>
    <w:rsid w:val="00AC2BD1"/>
    <w:rsid w:val="00AC4BFF"/>
    <w:rsid w:val="00AC7061"/>
    <w:rsid w:val="00AC790E"/>
    <w:rsid w:val="00AD015F"/>
    <w:rsid w:val="00AD0ACD"/>
    <w:rsid w:val="00AD1C92"/>
    <w:rsid w:val="00AD22D7"/>
    <w:rsid w:val="00AE040B"/>
    <w:rsid w:val="00AE0477"/>
    <w:rsid w:val="00AE143C"/>
    <w:rsid w:val="00AE1D17"/>
    <w:rsid w:val="00AF3271"/>
    <w:rsid w:val="00AF5C26"/>
    <w:rsid w:val="00AF6366"/>
    <w:rsid w:val="00AF7CC0"/>
    <w:rsid w:val="00B00D9F"/>
    <w:rsid w:val="00B00FC1"/>
    <w:rsid w:val="00B023C5"/>
    <w:rsid w:val="00B037D1"/>
    <w:rsid w:val="00B04677"/>
    <w:rsid w:val="00B05FE9"/>
    <w:rsid w:val="00B060A7"/>
    <w:rsid w:val="00B075FF"/>
    <w:rsid w:val="00B106C3"/>
    <w:rsid w:val="00B114D3"/>
    <w:rsid w:val="00B11B86"/>
    <w:rsid w:val="00B12712"/>
    <w:rsid w:val="00B151BE"/>
    <w:rsid w:val="00B15449"/>
    <w:rsid w:val="00B1576F"/>
    <w:rsid w:val="00B16CCF"/>
    <w:rsid w:val="00B175ED"/>
    <w:rsid w:val="00B17A85"/>
    <w:rsid w:val="00B17D84"/>
    <w:rsid w:val="00B20769"/>
    <w:rsid w:val="00B21FDB"/>
    <w:rsid w:val="00B22A1E"/>
    <w:rsid w:val="00B22EC8"/>
    <w:rsid w:val="00B2608E"/>
    <w:rsid w:val="00B3181D"/>
    <w:rsid w:val="00B31BBA"/>
    <w:rsid w:val="00B31C63"/>
    <w:rsid w:val="00B32586"/>
    <w:rsid w:val="00B32B05"/>
    <w:rsid w:val="00B33E84"/>
    <w:rsid w:val="00B35A7C"/>
    <w:rsid w:val="00B3671D"/>
    <w:rsid w:val="00B36A57"/>
    <w:rsid w:val="00B36E5A"/>
    <w:rsid w:val="00B37D83"/>
    <w:rsid w:val="00B403B3"/>
    <w:rsid w:val="00B4126F"/>
    <w:rsid w:val="00B419A4"/>
    <w:rsid w:val="00B41AA1"/>
    <w:rsid w:val="00B41E66"/>
    <w:rsid w:val="00B421F2"/>
    <w:rsid w:val="00B42E9F"/>
    <w:rsid w:val="00B4629E"/>
    <w:rsid w:val="00B47FD1"/>
    <w:rsid w:val="00B52126"/>
    <w:rsid w:val="00B528E2"/>
    <w:rsid w:val="00B55E03"/>
    <w:rsid w:val="00B6113E"/>
    <w:rsid w:val="00B62C44"/>
    <w:rsid w:val="00B62D2E"/>
    <w:rsid w:val="00B643EA"/>
    <w:rsid w:val="00B65110"/>
    <w:rsid w:val="00B65A33"/>
    <w:rsid w:val="00B729FF"/>
    <w:rsid w:val="00B75553"/>
    <w:rsid w:val="00B7710D"/>
    <w:rsid w:val="00B81F83"/>
    <w:rsid w:val="00B84530"/>
    <w:rsid w:val="00B858DB"/>
    <w:rsid w:val="00B85923"/>
    <w:rsid w:val="00B903C2"/>
    <w:rsid w:val="00B93022"/>
    <w:rsid w:val="00B958F1"/>
    <w:rsid w:val="00B9597D"/>
    <w:rsid w:val="00B96C01"/>
    <w:rsid w:val="00B96C86"/>
    <w:rsid w:val="00B97B12"/>
    <w:rsid w:val="00BA0577"/>
    <w:rsid w:val="00BA247D"/>
    <w:rsid w:val="00BA66B7"/>
    <w:rsid w:val="00BA6CA4"/>
    <w:rsid w:val="00BB148A"/>
    <w:rsid w:val="00BB17FC"/>
    <w:rsid w:val="00BB2E05"/>
    <w:rsid w:val="00BB3434"/>
    <w:rsid w:val="00BC4AB5"/>
    <w:rsid w:val="00BC4D65"/>
    <w:rsid w:val="00BC54F9"/>
    <w:rsid w:val="00BC7898"/>
    <w:rsid w:val="00BD0A57"/>
    <w:rsid w:val="00BD0D87"/>
    <w:rsid w:val="00BD2469"/>
    <w:rsid w:val="00BD286F"/>
    <w:rsid w:val="00BD609F"/>
    <w:rsid w:val="00BE0318"/>
    <w:rsid w:val="00BE031A"/>
    <w:rsid w:val="00BE4852"/>
    <w:rsid w:val="00BE5542"/>
    <w:rsid w:val="00BE5937"/>
    <w:rsid w:val="00BE749D"/>
    <w:rsid w:val="00BF021E"/>
    <w:rsid w:val="00BF372D"/>
    <w:rsid w:val="00BF4D83"/>
    <w:rsid w:val="00BF6645"/>
    <w:rsid w:val="00BF6A7D"/>
    <w:rsid w:val="00BF7487"/>
    <w:rsid w:val="00C013D6"/>
    <w:rsid w:val="00C02A59"/>
    <w:rsid w:val="00C10CB9"/>
    <w:rsid w:val="00C10D87"/>
    <w:rsid w:val="00C12B51"/>
    <w:rsid w:val="00C139A8"/>
    <w:rsid w:val="00C16CAB"/>
    <w:rsid w:val="00C17F2A"/>
    <w:rsid w:val="00C23181"/>
    <w:rsid w:val="00C2422B"/>
    <w:rsid w:val="00C24281"/>
    <w:rsid w:val="00C2462E"/>
    <w:rsid w:val="00C30BBA"/>
    <w:rsid w:val="00C31AA4"/>
    <w:rsid w:val="00C33045"/>
    <w:rsid w:val="00C33079"/>
    <w:rsid w:val="00C33BE9"/>
    <w:rsid w:val="00C34A3D"/>
    <w:rsid w:val="00C377C0"/>
    <w:rsid w:val="00C43548"/>
    <w:rsid w:val="00C437CD"/>
    <w:rsid w:val="00C50588"/>
    <w:rsid w:val="00C505FD"/>
    <w:rsid w:val="00C522DE"/>
    <w:rsid w:val="00C523F4"/>
    <w:rsid w:val="00C53404"/>
    <w:rsid w:val="00C5756D"/>
    <w:rsid w:val="00C57DCA"/>
    <w:rsid w:val="00C608C8"/>
    <w:rsid w:val="00C60C7F"/>
    <w:rsid w:val="00C60F8F"/>
    <w:rsid w:val="00C659DA"/>
    <w:rsid w:val="00C67C94"/>
    <w:rsid w:val="00C70261"/>
    <w:rsid w:val="00C7174C"/>
    <w:rsid w:val="00C720DE"/>
    <w:rsid w:val="00C737CC"/>
    <w:rsid w:val="00C73B15"/>
    <w:rsid w:val="00C805A8"/>
    <w:rsid w:val="00C828B8"/>
    <w:rsid w:val="00C83A13"/>
    <w:rsid w:val="00C84418"/>
    <w:rsid w:val="00C849E3"/>
    <w:rsid w:val="00C85185"/>
    <w:rsid w:val="00C905FB"/>
    <w:rsid w:val="00C91043"/>
    <w:rsid w:val="00C91888"/>
    <w:rsid w:val="00C92312"/>
    <w:rsid w:val="00C9322B"/>
    <w:rsid w:val="00C960F6"/>
    <w:rsid w:val="00C97E02"/>
    <w:rsid w:val="00CA1D01"/>
    <w:rsid w:val="00CA38D9"/>
    <w:rsid w:val="00CA3D0C"/>
    <w:rsid w:val="00CA7F1B"/>
    <w:rsid w:val="00CB4FB2"/>
    <w:rsid w:val="00CB5563"/>
    <w:rsid w:val="00CB69BA"/>
    <w:rsid w:val="00CB7E17"/>
    <w:rsid w:val="00CC1E29"/>
    <w:rsid w:val="00CC29CE"/>
    <w:rsid w:val="00CC559E"/>
    <w:rsid w:val="00CD0176"/>
    <w:rsid w:val="00CD0A2E"/>
    <w:rsid w:val="00CD2747"/>
    <w:rsid w:val="00CD3CC5"/>
    <w:rsid w:val="00CD4C7B"/>
    <w:rsid w:val="00CD4D94"/>
    <w:rsid w:val="00CD7510"/>
    <w:rsid w:val="00CE0A31"/>
    <w:rsid w:val="00CE2626"/>
    <w:rsid w:val="00CE4AA6"/>
    <w:rsid w:val="00CE58A8"/>
    <w:rsid w:val="00CE6BBF"/>
    <w:rsid w:val="00CE6C7A"/>
    <w:rsid w:val="00CF01BD"/>
    <w:rsid w:val="00CF14BD"/>
    <w:rsid w:val="00CF18E5"/>
    <w:rsid w:val="00CF4274"/>
    <w:rsid w:val="00D0150E"/>
    <w:rsid w:val="00D049AA"/>
    <w:rsid w:val="00D13E63"/>
    <w:rsid w:val="00D1473D"/>
    <w:rsid w:val="00D15120"/>
    <w:rsid w:val="00D1697A"/>
    <w:rsid w:val="00D203BA"/>
    <w:rsid w:val="00D20564"/>
    <w:rsid w:val="00D22509"/>
    <w:rsid w:val="00D24BEF"/>
    <w:rsid w:val="00D24E3B"/>
    <w:rsid w:val="00D26251"/>
    <w:rsid w:val="00D26C14"/>
    <w:rsid w:val="00D26C7D"/>
    <w:rsid w:val="00D271F9"/>
    <w:rsid w:val="00D30BCB"/>
    <w:rsid w:val="00D30C3E"/>
    <w:rsid w:val="00D32577"/>
    <w:rsid w:val="00D33257"/>
    <w:rsid w:val="00D338A9"/>
    <w:rsid w:val="00D37F9D"/>
    <w:rsid w:val="00D41DCB"/>
    <w:rsid w:val="00D4467B"/>
    <w:rsid w:val="00D4473F"/>
    <w:rsid w:val="00D45204"/>
    <w:rsid w:val="00D46376"/>
    <w:rsid w:val="00D47558"/>
    <w:rsid w:val="00D50815"/>
    <w:rsid w:val="00D51CA1"/>
    <w:rsid w:val="00D56297"/>
    <w:rsid w:val="00D57D91"/>
    <w:rsid w:val="00D70829"/>
    <w:rsid w:val="00D70CC2"/>
    <w:rsid w:val="00D724AD"/>
    <w:rsid w:val="00D738D6"/>
    <w:rsid w:val="00D76326"/>
    <w:rsid w:val="00D7766E"/>
    <w:rsid w:val="00D8059B"/>
    <w:rsid w:val="00D80795"/>
    <w:rsid w:val="00D83270"/>
    <w:rsid w:val="00D84873"/>
    <w:rsid w:val="00D87E00"/>
    <w:rsid w:val="00D9134D"/>
    <w:rsid w:val="00D919E9"/>
    <w:rsid w:val="00D93277"/>
    <w:rsid w:val="00D93803"/>
    <w:rsid w:val="00D93A56"/>
    <w:rsid w:val="00D9422A"/>
    <w:rsid w:val="00D94F9F"/>
    <w:rsid w:val="00D95CF9"/>
    <w:rsid w:val="00D9673F"/>
    <w:rsid w:val="00D96D11"/>
    <w:rsid w:val="00D972F1"/>
    <w:rsid w:val="00D97702"/>
    <w:rsid w:val="00DA21AE"/>
    <w:rsid w:val="00DA2635"/>
    <w:rsid w:val="00DA2E3B"/>
    <w:rsid w:val="00DA3EDB"/>
    <w:rsid w:val="00DA7A03"/>
    <w:rsid w:val="00DB1147"/>
    <w:rsid w:val="00DB1818"/>
    <w:rsid w:val="00DB3534"/>
    <w:rsid w:val="00DB5C8B"/>
    <w:rsid w:val="00DB5EAD"/>
    <w:rsid w:val="00DB6A03"/>
    <w:rsid w:val="00DB6CDF"/>
    <w:rsid w:val="00DB7F55"/>
    <w:rsid w:val="00DB7FE1"/>
    <w:rsid w:val="00DC1D94"/>
    <w:rsid w:val="00DC309B"/>
    <w:rsid w:val="00DC373B"/>
    <w:rsid w:val="00DC4DA2"/>
    <w:rsid w:val="00DC58BA"/>
    <w:rsid w:val="00DC718A"/>
    <w:rsid w:val="00DC7D85"/>
    <w:rsid w:val="00DD22FC"/>
    <w:rsid w:val="00DD2DD4"/>
    <w:rsid w:val="00DD550D"/>
    <w:rsid w:val="00DD650B"/>
    <w:rsid w:val="00DD6FA8"/>
    <w:rsid w:val="00DE0672"/>
    <w:rsid w:val="00DE7607"/>
    <w:rsid w:val="00DF2167"/>
    <w:rsid w:val="00DF2A8F"/>
    <w:rsid w:val="00DF416E"/>
    <w:rsid w:val="00DF59E1"/>
    <w:rsid w:val="00DF6A0F"/>
    <w:rsid w:val="00DF6BED"/>
    <w:rsid w:val="00DF739E"/>
    <w:rsid w:val="00DF7931"/>
    <w:rsid w:val="00E001D3"/>
    <w:rsid w:val="00E023FD"/>
    <w:rsid w:val="00E03893"/>
    <w:rsid w:val="00E0498A"/>
    <w:rsid w:val="00E100A1"/>
    <w:rsid w:val="00E10CBF"/>
    <w:rsid w:val="00E1182C"/>
    <w:rsid w:val="00E13C23"/>
    <w:rsid w:val="00E1575F"/>
    <w:rsid w:val="00E15AB1"/>
    <w:rsid w:val="00E15EBD"/>
    <w:rsid w:val="00E16739"/>
    <w:rsid w:val="00E223B2"/>
    <w:rsid w:val="00E2286B"/>
    <w:rsid w:val="00E245FD"/>
    <w:rsid w:val="00E24856"/>
    <w:rsid w:val="00E275A4"/>
    <w:rsid w:val="00E33458"/>
    <w:rsid w:val="00E341EC"/>
    <w:rsid w:val="00E4045F"/>
    <w:rsid w:val="00E453DE"/>
    <w:rsid w:val="00E454C7"/>
    <w:rsid w:val="00E45722"/>
    <w:rsid w:val="00E45904"/>
    <w:rsid w:val="00E50487"/>
    <w:rsid w:val="00E519F9"/>
    <w:rsid w:val="00E53962"/>
    <w:rsid w:val="00E5474E"/>
    <w:rsid w:val="00E6140C"/>
    <w:rsid w:val="00E622D3"/>
    <w:rsid w:val="00E62835"/>
    <w:rsid w:val="00E63184"/>
    <w:rsid w:val="00E638C9"/>
    <w:rsid w:val="00E67834"/>
    <w:rsid w:val="00E73B5E"/>
    <w:rsid w:val="00E743E5"/>
    <w:rsid w:val="00E7504C"/>
    <w:rsid w:val="00E77645"/>
    <w:rsid w:val="00E779F0"/>
    <w:rsid w:val="00E77E70"/>
    <w:rsid w:val="00E80B82"/>
    <w:rsid w:val="00E836C0"/>
    <w:rsid w:val="00E85882"/>
    <w:rsid w:val="00E86088"/>
    <w:rsid w:val="00E915F0"/>
    <w:rsid w:val="00E92666"/>
    <w:rsid w:val="00E92AC9"/>
    <w:rsid w:val="00E93DCB"/>
    <w:rsid w:val="00E93FE9"/>
    <w:rsid w:val="00E94250"/>
    <w:rsid w:val="00E9454B"/>
    <w:rsid w:val="00EA05AE"/>
    <w:rsid w:val="00EA07EA"/>
    <w:rsid w:val="00EA0F04"/>
    <w:rsid w:val="00EA399D"/>
    <w:rsid w:val="00EA4600"/>
    <w:rsid w:val="00EA46D9"/>
    <w:rsid w:val="00EA50F9"/>
    <w:rsid w:val="00EA6F10"/>
    <w:rsid w:val="00EB2691"/>
    <w:rsid w:val="00EB2948"/>
    <w:rsid w:val="00EB70F9"/>
    <w:rsid w:val="00EC4A25"/>
    <w:rsid w:val="00EC6E06"/>
    <w:rsid w:val="00ED4E8D"/>
    <w:rsid w:val="00EE0F99"/>
    <w:rsid w:val="00EE1156"/>
    <w:rsid w:val="00EE2C95"/>
    <w:rsid w:val="00EE3DDE"/>
    <w:rsid w:val="00EE4C68"/>
    <w:rsid w:val="00EE4D6B"/>
    <w:rsid w:val="00EE4D8F"/>
    <w:rsid w:val="00EE61A4"/>
    <w:rsid w:val="00EF1848"/>
    <w:rsid w:val="00EF218C"/>
    <w:rsid w:val="00EF2D5F"/>
    <w:rsid w:val="00EF42B4"/>
    <w:rsid w:val="00EF53BF"/>
    <w:rsid w:val="00EF6275"/>
    <w:rsid w:val="00EF6B50"/>
    <w:rsid w:val="00EF7393"/>
    <w:rsid w:val="00F025A2"/>
    <w:rsid w:val="00F05426"/>
    <w:rsid w:val="00F07388"/>
    <w:rsid w:val="00F078C8"/>
    <w:rsid w:val="00F110DD"/>
    <w:rsid w:val="00F125D7"/>
    <w:rsid w:val="00F139BA"/>
    <w:rsid w:val="00F13C1D"/>
    <w:rsid w:val="00F14740"/>
    <w:rsid w:val="00F168B8"/>
    <w:rsid w:val="00F2026E"/>
    <w:rsid w:val="00F2210A"/>
    <w:rsid w:val="00F23992"/>
    <w:rsid w:val="00F30FFF"/>
    <w:rsid w:val="00F32066"/>
    <w:rsid w:val="00F360F1"/>
    <w:rsid w:val="00F37743"/>
    <w:rsid w:val="00F419F4"/>
    <w:rsid w:val="00F45897"/>
    <w:rsid w:val="00F51B71"/>
    <w:rsid w:val="00F53872"/>
    <w:rsid w:val="00F539EF"/>
    <w:rsid w:val="00F54767"/>
    <w:rsid w:val="00F54A3D"/>
    <w:rsid w:val="00F56161"/>
    <w:rsid w:val="00F56962"/>
    <w:rsid w:val="00F56B69"/>
    <w:rsid w:val="00F57A8E"/>
    <w:rsid w:val="00F61B3C"/>
    <w:rsid w:val="00F6251B"/>
    <w:rsid w:val="00F649C7"/>
    <w:rsid w:val="00F653B8"/>
    <w:rsid w:val="00F6613D"/>
    <w:rsid w:val="00F67EA8"/>
    <w:rsid w:val="00F704A2"/>
    <w:rsid w:val="00F74314"/>
    <w:rsid w:val="00F743A2"/>
    <w:rsid w:val="00F746ED"/>
    <w:rsid w:val="00F76F8F"/>
    <w:rsid w:val="00F774F3"/>
    <w:rsid w:val="00F80AC2"/>
    <w:rsid w:val="00F817C7"/>
    <w:rsid w:val="00F81833"/>
    <w:rsid w:val="00F81EFF"/>
    <w:rsid w:val="00F826F8"/>
    <w:rsid w:val="00F82E70"/>
    <w:rsid w:val="00F83E7E"/>
    <w:rsid w:val="00F86034"/>
    <w:rsid w:val="00F86180"/>
    <w:rsid w:val="00F8645F"/>
    <w:rsid w:val="00F909AE"/>
    <w:rsid w:val="00F93E68"/>
    <w:rsid w:val="00F944F2"/>
    <w:rsid w:val="00F9595C"/>
    <w:rsid w:val="00F95998"/>
    <w:rsid w:val="00F959B6"/>
    <w:rsid w:val="00F96D43"/>
    <w:rsid w:val="00F96FDB"/>
    <w:rsid w:val="00F9789D"/>
    <w:rsid w:val="00FA1266"/>
    <w:rsid w:val="00FA156F"/>
    <w:rsid w:val="00FA1923"/>
    <w:rsid w:val="00FA270B"/>
    <w:rsid w:val="00FA4FC3"/>
    <w:rsid w:val="00FA5190"/>
    <w:rsid w:val="00FA5286"/>
    <w:rsid w:val="00FA7D40"/>
    <w:rsid w:val="00FA7EDB"/>
    <w:rsid w:val="00FB20BA"/>
    <w:rsid w:val="00FB4FB6"/>
    <w:rsid w:val="00FB66B2"/>
    <w:rsid w:val="00FB7208"/>
    <w:rsid w:val="00FC1192"/>
    <w:rsid w:val="00FC21AC"/>
    <w:rsid w:val="00FC562B"/>
    <w:rsid w:val="00FC582E"/>
    <w:rsid w:val="00FC59D7"/>
    <w:rsid w:val="00FC63BB"/>
    <w:rsid w:val="00FC6C6F"/>
    <w:rsid w:val="00FC7BF6"/>
    <w:rsid w:val="00FD00C4"/>
    <w:rsid w:val="00FD0137"/>
    <w:rsid w:val="00FD03D1"/>
    <w:rsid w:val="00FD08CC"/>
    <w:rsid w:val="00FD1732"/>
    <w:rsid w:val="00FD2BFF"/>
    <w:rsid w:val="00FD3A8D"/>
    <w:rsid w:val="00FD4976"/>
    <w:rsid w:val="00FD5DB4"/>
    <w:rsid w:val="00FE3361"/>
    <w:rsid w:val="00FE4131"/>
    <w:rsid w:val="00FE59EF"/>
    <w:rsid w:val="00FE6368"/>
    <w:rsid w:val="00FF08F3"/>
    <w:rsid w:val="00FF0952"/>
    <w:rsid w:val="00FF1B57"/>
    <w:rsid w:val="00FF5040"/>
    <w:rsid w:val="00FF65A3"/>
    <w:rsid w:val="00FF7356"/>
    <w:rsid w:val="00FF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  <w:style w:type="paragraph" w:styleId="List3">
    <w:name w:val="List 3"/>
    <w:basedOn w:val="List2"/>
    <w:rsid w:val="00370920"/>
    <w:pPr>
      <w:ind w:left="1135" w:hanging="284"/>
      <w:contextualSpacing w:val="0"/>
    </w:pPr>
    <w:rPr>
      <w:rFonts w:eastAsia="SimSun"/>
    </w:rPr>
  </w:style>
  <w:style w:type="paragraph" w:customStyle="1" w:styleId="3GPP">
    <w:name w:val="3GPP 正文"/>
    <w:basedOn w:val="Normal"/>
    <w:link w:val="3GPPChar"/>
    <w:qFormat/>
    <w:rsid w:val="00370920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370920"/>
    <w:rPr>
      <w:rFonts w:eastAsia="SimSun"/>
      <w:lang w:val="x-none" w:eastAsia="ja-JP"/>
    </w:rPr>
  </w:style>
  <w:style w:type="paragraph" w:styleId="List2">
    <w:name w:val="List 2"/>
    <w:basedOn w:val="Normal"/>
    <w:rsid w:val="00370920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EE2B9-11AD-4A66-AD65-4196F1540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85</TotalTime>
  <Pages>3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8452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Tuomo S</dc:creator>
  <cp:keywords>Nokia;3GPP, RAN2</cp:keywords>
  <cp:lastModifiedBy>LO, Anthony (Nokia - GB)</cp:lastModifiedBy>
  <cp:revision>31</cp:revision>
  <dcterms:created xsi:type="dcterms:W3CDTF">2017-01-29T12:57:00Z</dcterms:created>
  <dcterms:modified xsi:type="dcterms:W3CDTF">2017-02-03T18:49:00Z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