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5AFBB" w14:textId="5FC1980D" w:rsidR="00A45FE2" w:rsidRPr="0067102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7576CF">
        <w:rPr>
          <w:noProof w:val="0"/>
          <w:sz w:val="24"/>
        </w:rPr>
        <w:t>WG</w:t>
      </w:r>
      <w:r w:rsidR="00E622D3" w:rsidRPr="007576CF">
        <w:rPr>
          <w:noProof w:val="0"/>
          <w:sz w:val="24"/>
        </w:rPr>
        <w:t>4</w:t>
      </w:r>
      <w:r w:rsidR="00B3671D" w:rsidRPr="007576CF">
        <w:rPr>
          <w:noProof w:val="0"/>
          <w:sz w:val="24"/>
        </w:rPr>
        <w:t xml:space="preserve"> #8</w:t>
      </w:r>
      <w:r w:rsidR="00EB0A5F">
        <w:rPr>
          <w:noProof w:val="0"/>
          <w:sz w:val="24"/>
        </w:rPr>
        <w:t>1</w:t>
      </w:r>
      <w:r w:rsidRPr="007576CF">
        <w:rPr>
          <w:rFonts w:cs="Arial"/>
          <w:bCs/>
          <w:noProof w:val="0"/>
          <w:sz w:val="24"/>
        </w:rPr>
        <w:tab/>
      </w:r>
      <w:r w:rsidR="00E622D3" w:rsidRPr="0067102A">
        <w:rPr>
          <w:rFonts w:cs="Arial"/>
          <w:bCs/>
          <w:noProof w:val="0"/>
          <w:sz w:val="24"/>
        </w:rPr>
        <w:t>R4</w:t>
      </w:r>
      <w:r w:rsidR="00B3671D" w:rsidRPr="0067102A">
        <w:rPr>
          <w:rFonts w:cs="Arial"/>
          <w:bCs/>
          <w:noProof w:val="0"/>
          <w:sz w:val="24"/>
        </w:rPr>
        <w:t>-16</w:t>
      </w:r>
      <w:r w:rsidR="00DB51F0" w:rsidRPr="0067102A">
        <w:rPr>
          <w:rFonts w:cs="Arial"/>
          <w:bCs/>
          <w:noProof w:val="0"/>
          <w:sz w:val="24"/>
        </w:rPr>
        <w:t>09228</w:t>
      </w:r>
    </w:p>
    <w:p w14:paraId="7FE3607D" w14:textId="4289B7A2" w:rsidR="00A45FE2" w:rsidRPr="0067102A" w:rsidRDefault="00EB0A5F" w:rsidP="00A45FE2">
      <w:pPr>
        <w:pStyle w:val="Header"/>
        <w:tabs>
          <w:tab w:val="right" w:pos="9639"/>
        </w:tabs>
        <w:rPr>
          <w:bCs/>
          <w:noProof w:val="0"/>
          <w:sz w:val="24"/>
        </w:rPr>
      </w:pPr>
      <w:r w:rsidRPr="0067102A">
        <w:rPr>
          <w:noProof w:val="0"/>
          <w:sz w:val="24"/>
        </w:rPr>
        <w:t>Reno, Nevada, US</w:t>
      </w:r>
      <w:r w:rsidR="00D55F64" w:rsidRPr="0067102A">
        <w:rPr>
          <w:noProof w:val="0"/>
          <w:sz w:val="24"/>
        </w:rPr>
        <w:t>A</w:t>
      </w:r>
      <w:r w:rsidR="00B3671D" w:rsidRPr="0067102A">
        <w:rPr>
          <w:noProof w:val="0"/>
          <w:sz w:val="24"/>
        </w:rPr>
        <w:t xml:space="preserve">, </w:t>
      </w:r>
      <w:r w:rsidRPr="0067102A">
        <w:rPr>
          <w:noProof w:val="0"/>
          <w:sz w:val="24"/>
        </w:rPr>
        <w:t>Novem</w:t>
      </w:r>
      <w:r w:rsidR="00043AFC" w:rsidRPr="0067102A">
        <w:rPr>
          <w:noProof w:val="0"/>
          <w:sz w:val="24"/>
        </w:rPr>
        <w:t>ber</w:t>
      </w:r>
      <w:r w:rsidR="00B3671D" w:rsidRPr="0067102A">
        <w:rPr>
          <w:noProof w:val="0"/>
          <w:sz w:val="24"/>
        </w:rPr>
        <w:t xml:space="preserve"> </w:t>
      </w:r>
      <w:r w:rsidRPr="0067102A">
        <w:rPr>
          <w:noProof w:val="0"/>
          <w:sz w:val="24"/>
        </w:rPr>
        <w:t>14</w:t>
      </w:r>
      <w:r w:rsidR="00B3671D" w:rsidRPr="0067102A">
        <w:rPr>
          <w:noProof w:val="0"/>
          <w:sz w:val="24"/>
        </w:rPr>
        <w:t xml:space="preserve"> –</w:t>
      </w:r>
      <w:r w:rsidRPr="0067102A">
        <w:rPr>
          <w:noProof w:val="0"/>
          <w:sz w:val="24"/>
        </w:rPr>
        <w:t xml:space="preserve"> 18</w:t>
      </w:r>
      <w:r w:rsidR="00B3671D" w:rsidRPr="0067102A">
        <w:rPr>
          <w:noProof w:val="0"/>
          <w:sz w:val="24"/>
        </w:rPr>
        <w:t>, 2016 </w:t>
      </w:r>
    </w:p>
    <w:p w14:paraId="1314CDA2" w14:textId="77777777" w:rsidR="00CD4C7B" w:rsidRPr="0067102A" w:rsidRDefault="00CD4C7B" w:rsidP="00CD4C7B">
      <w:pPr>
        <w:pStyle w:val="Header"/>
        <w:rPr>
          <w:bCs/>
          <w:noProof w:val="0"/>
          <w:sz w:val="24"/>
        </w:rPr>
      </w:pPr>
    </w:p>
    <w:p w14:paraId="20216877" w14:textId="77777777" w:rsidR="00CD4C7B" w:rsidRPr="0067102A" w:rsidRDefault="00CD4C7B" w:rsidP="00CD4C7B">
      <w:pPr>
        <w:pStyle w:val="Header"/>
        <w:rPr>
          <w:bCs/>
          <w:noProof w:val="0"/>
          <w:sz w:val="24"/>
        </w:rPr>
      </w:pPr>
    </w:p>
    <w:p w14:paraId="3CB161F1" w14:textId="06E7E15B" w:rsidR="00CD4C7B" w:rsidRPr="00B266B0" w:rsidRDefault="00CD4C7B" w:rsidP="00CD4C7B">
      <w:pPr>
        <w:pStyle w:val="CRCoverPage"/>
        <w:tabs>
          <w:tab w:val="left" w:pos="1985"/>
        </w:tabs>
        <w:rPr>
          <w:rFonts w:cs="Arial"/>
          <w:b/>
          <w:bCs/>
          <w:sz w:val="24"/>
          <w:lang w:eastAsia="ja-JP"/>
        </w:rPr>
      </w:pPr>
      <w:r w:rsidRPr="0067102A">
        <w:rPr>
          <w:rFonts w:cs="Arial"/>
          <w:b/>
          <w:bCs/>
          <w:sz w:val="24"/>
        </w:rPr>
        <w:t>Agenda item:</w:t>
      </w:r>
      <w:r w:rsidRPr="0067102A">
        <w:rPr>
          <w:rFonts w:cs="Arial"/>
          <w:b/>
          <w:bCs/>
          <w:sz w:val="24"/>
        </w:rPr>
        <w:tab/>
      </w:r>
      <w:r w:rsidR="00D349DE" w:rsidRPr="0067102A">
        <w:rPr>
          <w:rFonts w:cs="Arial"/>
          <w:b/>
          <w:bCs/>
          <w:sz w:val="24"/>
        </w:rPr>
        <w:t>11.5.3.1</w:t>
      </w:r>
    </w:p>
    <w:p w14:paraId="7C0723AD" w14:textId="75044464"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9B4251" w:rsidRPr="0016316A">
        <w:rPr>
          <w:rFonts w:ascii="Arial" w:hAnsi="Arial" w:cs="Arial"/>
          <w:b/>
          <w:bCs/>
          <w:sz w:val="24"/>
        </w:rPr>
        <w:t>Nokia</w:t>
      </w:r>
      <w:r w:rsidR="009B4251">
        <w:rPr>
          <w:rFonts w:ascii="Arial" w:hAnsi="Arial" w:cs="Arial"/>
          <w:b/>
          <w:bCs/>
          <w:sz w:val="24"/>
        </w:rPr>
        <w:t xml:space="preserve">, </w:t>
      </w:r>
      <w:r w:rsidR="009B4251" w:rsidRPr="00427D20">
        <w:rPr>
          <w:rFonts w:ascii="Arial" w:hAnsi="Arial" w:cs="Arial"/>
          <w:b/>
          <w:bCs/>
          <w:sz w:val="24"/>
        </w:rPr>
        <w:t>Alcatel-Lucent Shanghai Bell</w:t>
      </w:r>
    </w:p>
    <w:p w14:paraId="38F0AED7" w14:textId="20F30B75" w:rsidR="00CD4C7B" w:rsidRPr="006A0B35" w:rsidRDefault="006A0B35" w:rsidP="006A0B35">
      <w:pPr>
        <w:spacing w:after="120"/>
        <w:ind w:left="1985" w:hanging="1985"/>
        <w:rPr>
          <w:rFonts w:ascii="Arial" w:hAnsi="Arial" w:cs="Arial"/>
          <w:bCs/>
          <w:lang w:val="en-US"/>
        </w:rPr>
      </w:pPr>
      <w:r>
        <w:rPr>
          <w:rFonts w:ascii="Arial" w:hAnsi="Arial" w:cs="Arial"/>
          <w:b/>
          <w:bCs/>
          <w:sz w:val="24"/>
        </w:rPr>
        <w:t>Title:</w:t>
      </w:r>
      <w:r>
        <w:rPr>
          <w:rFonts w:ascii="Arial" w:hAnsi="Arial" w:cs="Arial"/>
          <w:b/>
          <w:bCs/>
          <w:sz w:val="24"/>
        </w:rPr>
        <w:tab/>
      </w:r>
      <w:r w:rsidR="0045227D">
        <w:rPr>
          <w:rFonts w:ascii="Arial" w:hAnsi="Arial" w:cs="Arial"/>
          <w:b/>
          <w:bCs/>
          <w:sz w:val="24"/>
        </w:rPr>
        <w:t>Boundary</w:t>
      </w:r>
      <w:r w:rsidR="00124B34">
        <w:rPr>
          <w:rFonts w:ascii="Arial" w:hAnsi="Arial" w:cs="Arial"/>
          <w:b/>
          <w:bCs/>
          <w:sz w:val="24"/>
        </w:rPr>
        <w:t xml:space="preserve"> between u</w:t>
      </w:r>
      <w:r w:rsidR="001D5449">
        <w:rPr>
          <w:rFonts w:ascii="Arial" w:hAnsi="Arial" w:cs="Arial"/>
          <w:b/>
          <w:bCs/>
          <w:sz w:val="24"/>
        </w:rPr>
        <w:t>nwanted</w:t>
      </w:r>
      <w:r w:rsidR="00A90968">
        <w:rPr>
          <w:rFonts w:ascii="Arial" w:hAnsi="Arial" w:cs="Arial"/>
          <w:b/>
          <w:bCs/>
          <w:sz w:val="24"/>
        </w:rPr>
        <w:t xml:space="preserve"> </w:t>
      </w:r>
      <w:r w:rsidR="00124B34">
        <w:rPr>
          <w:rFonts w:ascii="Arial" w:hAnsi="Arial" w:cs="Arial"/>
          <w:b/>
          <w:bCs/>
          <w:sz w:val="24"/>
        </w:rPr>
        <w:t xml:space="preserve">and spurious </w:t>
      </w:r>
      <w:r w:rsidR="001D5449">
        <w:rPr>
          <w:rFonts w:ascii="Arial" w:hAnsi="Arial" w:cs="Arial"/>
          <w:b/>
          <w:bCs/>
          <w:sz w:val="24"/>
        </w:rPr>
        <w:t xml:space="preserve">emissions </w:t>
      </w:r>
      <w:r w:rsidR="00043AFC">
        <w:rPr>
          <w:rFonts w:ascii="Arial" w:hAnsi="Arial" w:cs="Arial"/>
          <w:b/>
          <w:bCs/>
          <w:sz w:val="24"/>
        </w:rPr>
        <w:t>for NR</w:t>
      </w:r>
      <w:r w:rsidR="00134B00">
        <w:rPr>
          <w:rFonts w:ascii="Arial" w:hAnsi="Arial" w:cs="Arial"/>
          <w:b/>
          <w:bCs/>
          <w:sz w:val="24"/>
        </w:rPr>
        <w:t xml:space="preserve"> BS</w:t>
      </w:r>
    </w:p>
    <w:p w14:paraId="143516E5" w14:textId="53BBFE65" w:rsidR="00D67946"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t>Approval</w:t>
      </w:r>
    </w:p>
    <w:p w14:paraId="0EF51EF2" w14:textId="55E20562" w:rsidR="00CD4C7B" w:rsidRPr="006E13D1" w:rsidRDefault="00D67946" w:rsidP="00D67946">
      <w:pPr>
        <w:pStyle w:val="Heading1"/>
      </w:pPr>
      <w:r>
        <w:t>1</w:t>
      </w:r>
      <w:r>
        <w:tab/>
      </w:r>
      <w:r w:rsidR="0056573F">
        <w:t>Introduction</w:t>
      </w:r>
    </w:p>
    <w:p w14:paraId="76B49C8E" w14:textId="5679E2CF" w:rsidR="00134B00" w:rsidRDefault="001B1574" w:rsidP="00123F58">
      <w:pPr>
        <w:spacing w:after="0"/>
        <w:rPr>
          <w:bCs/>
        </w:rPr>
      </w:pPr>
      <w:r>
        <w:rPr>
          <w:bCs/>
        </w:rPr>
        <w:t xml:space="preserve">WF on </w:t>
      </w:r>
      <w:r w:rsidRPr="001B1574">
        <w:rPr>
          <w:bCs/>
        </w:rPr>
        <w:t xml:space="preserve">BS RF requirements for NR </w:t>
      </w:r>
      <w:r w:rsidR="00443E7E" w:rsidRPr="001B1574">
        <w:rPr>
          <w:bCs/>
        </w:rPr>
        <w:t>was</w:t>
      </w:r>
      <w:r w:rsidR="009E6820">
        <w:rPr>
          <w:bCs/>
        </w:rPr>
        <w:t xml:space="preserve"> approved in [1]</w:t>
      </w:r>
      <w:r w:rsidR="00123F58">
        <w:rPr>
          <w:bCs/>
        </w:rPr>
        <w:t>. TP on b</w:t>
      </w:r>
      <w:r w:rsidR="00123F58" w:rsidRPr="00123F58">
        <w:rPr>
          <w:bCs/>
        </w:rPr>
        <w:t>oundary between spurious and OOB domain</w:t>
      </w:r>
      <w:r w:rsidR="009E6820">
        <w:rPr>
          <w:bCs/>
        </w:rPr>
        <w:t xml:space="preserve"> was approved in [2</w:t>
      </w:r>
      <w:r w:rsidR="00123F58">
        <w:rPr>
          <w:bCs/>
        </w:rPr>
        <w:t>].</w:t>
      </w:r>
    </w:p>
    <w:p w14:paraId="64A4B0C3" w14:textId="77777777" w:rsidR="00123F58" w:rsidRPr="00123F58" w:rsidRDefault="00123F58" w:rsidP="00123F58">
      <w:pPr>
        <w:spacing w:after="0"/>
        <w:rPr>
          <w:bCs/>
        </w:rPr>
      </w:pPr>
    </w:p>
    <w:p w14:paraId="78D344E6" w14:textId="03DF6393" w:rsidR="00B17799" w:rsidRDefault="00B17799" w:rsidP="00171463">
      <w:pPr>
        <w:spacing w:after="0"/>
        <w:rPr>
          <w:bCs/>
        </w:rPr>
      </w:pPr>
      <w:r w:rsidRPr="00E93DCB">
        <w:rPr>
          <w:bCs/>
        </w:rPr>
        <w:t xml:space="preserve">In this </w:t>
      </w:r>
      <w:r>
        <w:rPr>
          <w:bCs/>
        </w:rPr>
        <w:t xml:space="preserve">contribution </w:t>
      </w:r>
      <w:r w:rsidRPr="00E93DCB">
        <w:rPr>
          <w:bCs/>
        </w:rPr>
        <w:t xml:space="preserve">we discuss </w:t>
      </w:r>
      <w:r w:rsidR="00123F58">
        <w:rPr>
          <w:bCs/>
        </w:rPr>
        <w:t xml:space="preserve">further on how to specify </w:t>
      </w:r>
      <w:r w:rsidR="00075888">
        <w:rPr>
          <w:bCs/>
        </w:rPr>
        <w:t xml:space="preserve">boundary between </w:t>
      </w:r>
      <w:r w:rsidR="00123F58">
        <w:rPr>
          <w:bCs/>
        </w:rPr>
        <w:t>u</w:t>
      </w:r>
      <w:r w:rsidR="009E6820">
        <w:rPr>
          <w:bCs/>
        </w:rPr>
        <w:t xml:space="preserve">nwanted </w:t>
      </w:r>
      <w:r w:rsidR="00075888">
        <w:rPr>
          <w:bCs/>
        </w:rPr>
        <w:t xml:space="preserve">and spurious </w:t>
      </w:r>
      <w:r w:rsidR="00123F58">
        <w:rPr>
          <w:bCs/>
        </w:rPr>
        <w:t>emissions for NR BS.</w:t>
      </w:r>
    </w:p>
    <w:p w14:paraId="2D0C07D9" w14:textId="77777777" w:rsidR="00820206" w:rsidRDefault="00820206" w:rsidP="00171463">
      <w:pPr>
        <w:spacing w:after="0"/>
        <w:rPr>
          <w:bCs/>
        </w:rPr>
      </w:pPr>
    </w:p>
    <w:p w14:paraId="53466831" w14:textId="57DF1F96" w:rsidR="009B4251" w:rsidRPr="009B4251" w:rsidRDefault="00C608C8" w:rsidP="009B4251">
      <w:pPr>
        <w:pStyle w:val="Heading1"/>
      </w:pPr>
      <w:r>
        <w:t>2</w:t>
      </w:r>
      <w:r>
        <w:tab/>
        <w:t>Discussion</w:t>
      </w:r>
    </w:p>
    <w:p w14:paraId="46153E63" w14:textId="52D088EE" w:rsidR="00123F58" w:rsidRDefault="00123F58" w:rsidP="00123F58">
      <w:pPr>
        <w:spacing w:after="0"/>
        <w:rPr>
          <w:lang w:val="en-US"/>
        </w:rPr>
      </w:pPr>
      <w:r>
        <w:rPr>
          <w:lang w:val="en-US"/>
        </w:rPr>
        <w:t>As agreed in [1] the f</w:t>
      </w:r>
      <w:r w:rsidRPr="00123F58">
        <w:rPr>
          <w:lang w:val="en-US"/>
        </w:rPr>
        <w:t xml:space="preserve">ollowing principles </w:t>
      </w:r>
      <w:r>
        <w:rPr>
          <w:lang w:val="en-US"/>
        </w:rPr>
        <w:t xml:space="preserve">are considered for defining </w:t>
      </w:r>
      <w:r w:rsidR="005C1A83">
        <w:rPr>
          <w:lang w:val="en-US"/>
        </w:rPr>
        <w:t xml:space="preserve">BS </w:t>
      </w:r>
      <w:r>
        <w:rPr>
          <w:lang w:val="en-US"/>
        </w:rPr>
        <w:t>unwanted emissions:</w:t>
      </w:r>
    </w:p>
    <w:p w14:paraId="08BBDBAA" w14:textId="77777777" w:rsidR="00123F58" w:rsidRPr="00123F58" w:rsidRDefault="00123F58" w:rsidP="00123F58">
      <w:pPr>
        <w:spacing w:after="0"/>
        <w:rPr>
          <w:lang w:val="en-US"/>
        </w:rPr>
      </w:pPr>
    </w:p>
    <w:p w14:paraId="66624679" w14:textId="77777777" w:rsidR="00123F58" w:rsidRDefault="00123F58" w:rsidP="00123F58">
      <w:pPr>
        <w:pStyle w:val="ListParagraph"/>
        <w:numPr>
          <w:ilvl w:val="0"/>
          <w:numId w:val="32"/>
        </w:numPr>
        <w:rPr>
          <w:sz w:val="20"/>
          <w:szCs w:val="20"/>
          <w:lang w:val="en-US"/>
        </w:rPr>
      </w:pPr>
      <w:r w:rsidRPr="00123F58">
        <w:rPr>
          <w:sz w:val="20"/>
          <w:szCs w:val="20"/>
          <w:lang w:val="en-US"/>
        </w:rPr>
        <w:t>FCC limits for mmWave bands as a starting point</w:t>
      </w:r>
    </w:p>
    <w:p w14:paraId="5C376E89" w14:textId="77777777" w:rsidR="00123F58" w:rsidRPr="00123F58" w:rsidRDefault="00123F58" w:rsidP="00123F58">
      <w:pPr>
        <w:pStyle w:val="ListParagraph"/>
        <w:numPr>
          <w:ilvl w:val="0"/>
          <w:numId w:val="32"/>
        </w:numPr>
        <w:rPr>
          <w:sz w:val="20"/>
          <w:szCs w:val="20"/>
          <w:lang w:val="en-US"/>
        </w:rPr>
      </w:pPr>
      <w:r w:rsidRPr="00123F58">
        <w:rPr>
          <w:sz w:val="20"/>
          <w:szCs w:val="20"/>
          <w:lang w:val="en-US"/>
        </w:rPr>
        <w:t>The absolute limits should be defined for NR</w:t>
      </w:r>
    </w:p>
    <w:p w14:paraId="07FB5929" w14:textId="1A3581F4" w:rsidR="00123F58" w:rsidRDefault="00123F58" w:rsidP="00123F58">
      <w:pPr>
        <w:pStyle w:val="ListParagraph"/>
        <w:numPr>
          <w:ilvl w:val="0"/>
          <w:numId w:val="32"/>
        </w:numPr>
        <w:rPr>
          <w:sz w:val="20"/>
          <w:szCs w:val="20"/>
          <w:lang w:val="en-US"/>
        </w:rPr>
      </w:pPr>
      <w:r w:rsidRPr="00123F58">
        <w:rPr>
          <w:sz w:val="20"/>
          <w:szCs w:val="20"/>
          <w:lang w:val="en-US"/>
        </w:rPr>
        <w:t>Boundary may not be aligned with the ITU-R recommendation. Instead, it should depend on the channel BWs adopted by NR and the band filter rejection capability</w:t>
      </w:r>
    </w:p>
    <w:p w14:paraId="11C71A9A" w14:textId="77777777" w:rsidR="005C1A83" w:rsidRPr="005C1A83" w:rsidRDefault="005C1A83" w:rsidP="005C1A83">
      <w:pPr>
        <w:pStyle w:val="ListParagraph"/>
        <w:rPr>
          <w:sz w:val="20"/>
          <w:szCs w:val="20"/>
          <w:lang w:val="en-US"/>
        </w:rPr>
      </w:pPr>
    </w:p>
    <w:p w14:paraId="3552C6B3" w14:textId="4C4B60EA" w:rsidR="00123F58" w:rsidRPr="00123F58" w:rsidRDefault="00123F58" w:rsidP="00123F58">
      <w:pPr>
        <w:rPr>
          <w:lang w:val="en-US"/>
        </w:rPr>
      </w:pPr>
      <w:r w:rsidRPr="00123F58">
        <w:rPr>
          <w:lang w:val="en-US"/>
        </w:rPr>
        <w:t xml:space="preserve">Further investigations </w:t>
      </w:r>
      <w:r>
        <w:rPr>
          <w:lang w:val="en-US"/>
        </w:rPr>
        <w:t xml:space="preserve">was </w:t>
      </w:r>
      <w:r w:rsidRPr="00123F58">
        <w:rPr>
          <w:lang w:val="en-US"/>
        </w:rPr>
        <w:t xml:space="preserve">recommended in </w:t>
      </w:r>
      <w:r>
        <w:rPr>
          <w:lang w:val="en-US"/>
        </w:rPr>
        <w:t xml:space="preserve">the </w:t>
      </w:r>
      <w:r w:rsidRPr="00123F58">
        <w:rPr>
          <w:lang w:val="en-US"/>
        </w:rPr>
        <w:t>following areas</w:t>
      </w:r>
      <w:r>
        <w:rPr>
          <w:lang w:val="en-US"/>
        </w:rPr>
        <w:t>:</w:t>
      </w:r>
    </w:p>
    <w:p w14:paraId="439D8463" w14:textId="77777777" w:rsidR="00123F58" w:rsidRPr="00123F58" w:rsidRDefault="00123F58" w:rsidP="00123F58">
      <w:pPr>
        <w:pStyle w:val="ListParagraph"/>
        <w:numPr>
          <w:ilvl w:val="0"/>
          <w:numId w:val="32"/>
        </w:numPr>
        <w:rPr>
          <w:sz w:val="20"/>
          <w:szCs w:val="20"/>
          <w:lang w:val="en-US"/>
        </w:rPr>
      </w:pPr>
      <w:r w:rsidRPr="00123F58">
        <w:rPr>
          <w:sz w:val="20"/>
          <w:szCs w:val="20"/>
          <w:lang w:val="en-US"/>
        </w:rPr>
        <w:t>Carrier-centric SEM or the band/carrier-centric UEM principle</w:t>
      </w:r>
    </w:p>
    <w:p w14:paraId="0CECAF1F" w14:textId="77777777" w:rsidR="00123F58" w:rsidRPr="00123F58" w:rsidRDefault="00123F58" w:rsidP="00123F58">
      <w:pPr>
        <w:pStyle w:val="ListParagraph"/>
        <w:numPr>
          <w:ilvl w:val="0"/>
          <w:numId w:val="32"/>
        </w:numPr>
        <w:rPr>
          <w:sz w:val="20"/>
          <w:szCs w:val="20"/>
          <w:lang w:val="en-US"/>
        </w:rPr>
      </w:pPr>
      <w:r w:rsidRPr="00123F58">
        <w:rPr>
          <w:sz w:val="20"/>
          <w:szCs w:val="20"/>
          <w:lang w:val="en-US"/>
        </w:rPr>
        <w:t>Choice of border between OOB and spurious domain</w:t>
      </w:r>
    </w:p>
    <w:p w14:paraId="6F06F3FA" w14:textId="77777777" w:rsidR="00123F58" w:rsidRPr="00123F58" w:rsidRDefault="00123F58" w:rsidP="00123F58">
      <w:pPr>
        <w:pStyle w:val="ListParagraph"/>
        <w:numPr>
          <w:ilvl w:val="0"/>
          <w:numId w:val="32"/>
        </w:numPr>
        <w:rPr>
          <w:sz w:val="20"/>
          <w:szCs w:val="20"/>
          <w:lang w:val="en-US"/>
        </w:rPr>
      </w:pPr>
      <w:r w:rsidRPr="00123F58">
        <w:rPr>
          <w:sz w:val="20"/>
          <w:szCs w:val="20"/>
          <w:lang w:val="en-US"/>
        </w:rPr>
        <w:t>Choice of absolute or relative levels</w:t>
      </w:r>
    </w:p>
    <w:p w14:paraId="78CAB51A" w14:textId="77777777" w:rsidR="00123F58" w:rsidRPr="00123F58" w:rsidRDefault="00123F58" w:rsidP="00123F58">
      <w:pPr>
        <w:pStyle w:val="ListParagraph"/>
        <w:numPr>
          <w:ilvl w:val="0"/>
          <w:numId w:val="32"/>
        </w:numPr>
        <w:rPr>
          <w:sz w:val="20"/>
          <w:szCs w:val="20"/>
          <w:lang w:val="en-US"/>
        </w:rPr>
      </w:pPr>
      <w:r w:rsidRPr="00123F58">
        <w:rPr>
          <w:sz w:val="20"/>
          <w:szCs w:val="20"/>
          <w:lang w:val="en-US"/>
        </w:rPr>
        <w:t>Choice of actual value for ACLR requirement</w:t>
      </w:r>
    </w:p>
    <w:p w14:paraId="1392AD3F" w14:textId="77777777" w:rsidR="00123F58" w:rsidRPr="00123F58" w:rsidRDefault="00123F58" w:rsidP="00123F58">
      <w:pPr>
        <w:pStyle w:val="ListParagraph"/>
        <w:numPr>
          <w:ilvl w:val="0"/>
          <w:numId w:val="32"/>
        </w:numPr>
        <w:rPr>
          <w:sz w:val="20"/>
          <w:szCs w:val="20"/>
          <w:lang w:val="en-US"/>
        </w:rPr>
      </w:pPr>
      <w:r w:rsidRPr="00123F58">
        <w:rPr>
          <w:sz w:val="20"/>
          <w:szCs w:val="20"/>
          <w:lang w:val="en-US"/>
        </w:rPr>
        <w:t>Follow ACLR agreement; intention is to use new name for TRP metric</w:t>
      </w:r>
    </w:p>
    <w:p w14:paraId="41B9327F" w14:textId="77777777" w:rsidR="00820206" w:rsidRDefault="00820206" w:rsidP="004129F8">
      <w:pPr>
        <w:pStyle w:val="Heading2"/>
      </w:pPr>
    </w:p>
    <w:p w14:paraId="278505DD" w14:textId="2014B6F1" w:rsidR="004129F8" w:rsidRDefault="005C1A83" w:rsidP="004129F8">
      <w:pPr>
        <w:pStyle w:val="Heading2"/>
      </w:pPr>
      <w:r>
        <w:t>2.1</w:t>
      </w:r>
      <w:r>
        <w:tab/>
        <w:t>Unwanted emissions</w:t>
      </w:r>
    </w:p>
    <w:p w14:paraId="31DFFA87" w14:textId="7DBDCA2C" w:rsidR="004129F8" w:rsidRDefault="00D349DE" w:rsidP="00123F58">
      <w:pPr>
        <w:spacing w:after="0"/>
        <w:rPr>
          <w:lang w:val="en-US"/>
        </w:rPr>
      </w:pPr>
      <w:r>
        <w:t xml:space="preserve">For </w:t>
      </w:r>
      <w:r w:rsidR="00281E1F">
        <w:t xml:space="preserve">bands </w:t>
      </w:r>
      <w:r>
        <w:t xml:space="preserve">below 6 GHz it </w:t>
      </w:r>
      <w:r w:rsidR="001E1DEB">
        <w:t xml:space="preserve">has been approved in RAN4 </w:t>
      </w:r>
      <w:r>
        <w:t xml:space="preserve">that existing 3GPP </w:t>
      </w:r>
      <w:r w:rsidRPr="00D349DE">
        <w:t>requirements for LTE and MSR including AAS should be re-used for NR as much as possible.</w:t>
      </w:r>
      <w:r w:rsidR="00281E1F">
        <w:t xml:space="preserve"> </w:t>
      </w:r>
      <w:r w:rsidR="00281E1F">
        <w:rPr>
          <w:lang w:val="en-US"/>
        </w:rPr>
        <w:t>Assumption would be that principles for defining unwanted emissions will be the same for NR as for LTE. This is particularly relevant for the BS, where requirements will need to be defined also for MSR BS, involving existing LTE and UMTS limits.</w:t>
      </w:r>
      <w:r w:rsidR="005F02BB">
        <w:rPr>
          <w:lang w:val="en-US"/>
        </w:rPr>
        <w:t xml:space="preserve"> Careful consideration is needed when defining new bands for NR below 6GHz, Different approach may be needed</w:t>
      </w:r>
      <w:r w:rsidR="002F2942">
        <w:rPr>
          <w:lang w:val="en-US"/>
        </w:rPr>
        <w:t>,</w:t>
      </w:r>
      <w:r w:rsidR="005F02BB">
        <w:rPr>
          <w:lang w:val="en-US"/>
        </w:rPr>
        <w:t xml:space="preserve"> especially with wider BWs than specified today.</w:t>
      </w:r>
    </w:p>
    <w:p w14:paraId="2D8A4B92" w14:textId="77777777" w:rsidR="00B962AF" w:rsidRDefault="00B962AF" w:rsidP="00123F58">
      <w:pPr>
        <w:spacing w:after="0"/>
        <w:rPr>
          <w:lang w:val="en-US"/>
        </w:rPr>
      </w:pPr>
    </w:p>
    <w:p w14:paraId="2D81D910" w14:textId="0E8B916B" w:rsidR="00B962AF" w:rsidRDefault="00D016DB" w:rsidP="00D67946">
      <w:pPr>
        <w:spacing w:after="0"/>
        <w:rPr>
          <w:lang w:val="en-US"/>
        </w:rPr>
      </w:pPr>
      <w:r>
        <w:rPr>
          <w:lang w:val="en-US"/>
        </w:rPr>
        <w:t xml:space="preserve">Following sub-clauses discusses further on how to specify unwanted emissions requirements for bands above 6 GHz. OTA </w:t>
      </w:r>
      <w:r w:rsidR="00D67946">
        <w:rPr>
          <w:lang w:val="en-US"/>
        </w:rPr>
        <w:t>ACLR will be specified b</w:t>
      </w:r>
      <w:r w:rsidR="00B43D4D" w:rsidRPr="00D67946">
        <w:rPr>
          <w:lang w:val="en-US"/>
        </w:rPr>
        <w:t>ased on new definit</w:t>
      </w:r>
      <w:r>
        <w:rPr>
          <w:lang w:val="en-US"/>
        </w:rPr>
        <w:t>i</w:t>
      </w:r>
      <w:r w:rsidR="00B43D4D" w:rsidRPr="00D67946">
        <w:rPr>
          <w:lang w:val="en-US"/>
        </w:rPr>
        <w:t>on</w:t>
      </w:r>
      <w:r w:rsidR="009E6820">
        <w:rPr>
          <w:lang w:val="en-US"/>
        </w:rPr>
        <w:t xml:space="preserve"> approved in eAAS WF [5</w:t>
      </w:r>
      <w:r>
        <w:rPr>
          <w:lang w:val="en-US"/>
        </w:rPr>
        <w:t xml:space="preserve">]. </w:t>
      </w:r>
      <w:r w:rsidR="00D67946">
        <w:rPr>
          <w:lang w:val="en-US"/>
        </w:rPr>
        <w:t>Open issues for setting ACLR requirements will be discussed further in eAAS WI.</w:t>
      </w:r>
      <w:r>
        <w:rPr>
          <w:lang w:val="en-US"/>
        </w:rPr>
        <w:t xml:space="preserve"> </w:t>
      </w:r>
    </w:p>
    <w:p w14:paraId="78D30B13" w14:textId="77777777" w:rsidR="00820206" w:rsidRDefault="00820206" w:rsidP="00D67946">
      <w:pPr>
        <w:spacing w:after="0"/>
        <w:rPr>
          <w:lang w:val="en-US"/>
        </w:rPr>
      </w:pPr>
    </w:p>
    <w:p w14:paraId="01E0E70C" w14:textId="77777777" w:rsidR="00281E1F" w:rsidRDefault="00281E1F" w:rsidP="00123F58">
      <w:pPr>
        <w:spacing w:after="0"/>
        <w:rPr>
          <w:lang w:val="en-US"/>
        </w:rPr>
      </w:pPr>
    </w:p>
    <w:p w14:paraId="2C0C5FBF" w14:textId="342896FC" w:rsidR="00281E1F" w:rsidRDefault="00D67946" w:rsidP="00D67946">
      <w:pPr>
        <w:pStyle w:val="Heading3"/>
      </w:pPr>
      <w:r>
        <w:t>2.1.1</w:t>
      </w:r>
      <w:r>
        <w:tab/>
      </w:r>
      <w:r w:rsidRPr="00D67946">
        <w:t>SEM or UEM principle</w:t>
      </w:r>
    </w:p>
    <w:p w14:paraId="2E2BCB55" w14:textId="30C7AEA4" w:rsidR="00233796" w:rsidRDefault="00233796" w:rsidP="004748CD">
      <w:r>
        <w:t xml:space="preserve">Spectrum emission mask (SEM) principle was applied for UMTS. </w:t>
      </w:r>
      <w:r w:rsidRPr="006D025B">
        <w:t>The boundary between the out-of-band and spurious domain</w:t>
      </w:r>
      <w:r>
        <w:t xml:space="preserve"> is based on the “250% rule” in ITU</w:t>
      </w:r>
      <w:r>
        <w:noBreakHyphen/>
        <w:t xml:space="preserve">R SM.329. </w:t>
      </w:r>
      <w:r w:rsidRPr="00FF1D57">
        <w:t>The boundary between the out-of-band and spuri</w:t>
      </w:r>
      <w:r>
        <w:t xml:space="preserve">ous domain is </w:t>
      </w:r>
      <w:r w:rsidRPr="00FF1D57">
        <w:t xml:space="preserve">fundamentally based on a 5 MHz channel bandwidth, placing it at 12.5 MHz from the carrier centre (10 MHz from the </w:t>
      </w:r>
      <w:r>
        <w:lastRenderedPageBreak/>
        <w:t>channel</w:t>
      </w:r>
      <w:r w:rsidRPr="00FF1D57">
        <w:t xml:space="preserve"> edge). This 10 MHz assumption originates from the UMTS 5 MHz carrier and is in 3GPP also applied for LTE BS transmissions, </w:t>
      </w:r>
      <w:r>
        <w:t>applying as a stricter requirement also to</w:t>
      </w:r>
      <w:r w:rsidRPr="00FF1D57">
        <w:t xml:space="preserve"> 10, 15 or 20 MHz</w:t>
      </w:r>
      <w:r w:rsidRPr="004A3178">
        <w:t xml:space="preserve"> </w:t>
      </w:r>
      <w:r>
        <w:t xml:space="preserve">RF </w:t>
      </w:r>
      <w:r w:rsidRPr="00FF1D57">
        <w:t>bandwidth.</w:t>
      </w:r>
    </w:p>
    <w:p w14:paraId="36AD21C5" w14:textId="673ACA3C" w:rsidR="004748CD" w:rsidRDefault="004748CD" w:rsidP="004748CD">
      <w:r w:rsidRPr="00BE05E1">
        <w:t xml:space="preserve">Operating band unwanted emission mask </w:t>
      </w:r>
      <w:r>
        <w:t>(</w:t>
      </w:r>
      <w:r>
        <w:rPr>
          <w:lang w:val="en-US"/>
        </w:rPr>
        <w:t xml:space="preserve">UEM) principle was applied for LTE with a motivation that emissions were influenced largely by band filtering. </w:t>
      </w:r>
      <w:r w:rsidR="00B23F66">
        <w:t>UEM is a unified definition of all unwanted emission within the operating band, plus in 10 MHz on each side. Outside of that range, spurious emissions are defined as shown in figure 1.</w:t>
      </w:r>
    </w:p>
    <w:bookmarkStart w:id="1" w:name="_MON_1230619646"/>
    <w:bookmarkStart w:id="2" w:name="_MON_1230620479"/>
    <w:bookmarkStart w:id="3" w:name="_MON_1230620585"/>
    <w:bookmarkStart w:id="4" w:name="_MON_1230620596"/>
    <w:bookmarkStart w:id="5" w:name="_MON_1230620632"/>
    <w:bookmarkStart w:id="6" w:name="_MON_1231848251"/>
    <w:bookmarkEnd w:id="1"/>
    <w:bookmarkEnd w:id="2"/>
    <w:bookmarkEnd w:id="3"/>
    <w:bookmarkEnd w:id="4"/>
    <w:bookmarkEnd w:id="5"/>
    <w:bookmarkEnd w:id="6"/>
    <w:bookmarkStart w:id="7" w:name="_MON_1290505889"/>
    <w:bookmarkEnd w:id="7"/>
    <w:p w14:paraId="28018D93" w14:textId="77777777" w:rsidR="00B23F66" w:rsidRPr="007F4011" w:rsidRDefault="00B23F66" w:rsidP="00B23F66">
      <w:pPr>
        <w:pStyle w:val="TH"/>
      </w:pPr>
      <w:r w:rsidRPr="007F4011">
        <w:object w:dxaOrig="9540" w:dyaOrig="2879" w14:anchorId="5A9F3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11.5pt" o:ole="" filled="t">
            <v:imagedata r:id="rId8" o:title=""/>
          </v:shape>
          <o:OLEObject Type="Embed" ProgID="Word.Picture.8" ShapeID="_x0000_i1025" DrawAspect="Content" ObjectID="_1539768933" r:id="rId9"/>
        </w:object>
      </w:r>
    </w:p>
    <w:p w14:paraId="5EA119DD" w14:textId="2C2A2C45" w:rsidR="00B23F66" w:rsidRDefault="00B23F66" w:rsidP="000267CB">
      <w:pPr>
        <w:spacing w:beforeLines="50" w:before="120"/>
        <w:jc w:val="center"/>
        <w:rPr>
          <w:rFonts w:eastAsia="SimSun"/>
          <w:b/>
          <w:lang w:eastAsia="zh-CN"/>
        </w:rPr>
      </w:pPr>
      <w:r w:rsidRPr="000267CB">
        <w:rPr>
          <w:rFonts w:eastAsia="SimSun"/>
          <w:b/>
          <w:lang w:eastAsia="zh-CN"/>
        </w:rPr>
        <w:t>Figure 1:</w:t>
      </w:r>
      <w:r w:rsidR="000267CB">
        <w:rPr>
          <w:rFonts w:eastAsia="SimSun"/>
          <w:b/>
          <w:lang w:eastAsia="zh-CN"/>
        </w:rPr>
        <w:t xml:space="preserve"> </w:t>
      </w:r>
      <w:r w:rsidRPr="000267CB">
        <w:rPr>
          <w:rFonts w:eastAsia="SimSun"/>
          <w:b/>
          <w:lang w:eastAsia="zh-CN"/>
        </w:rPr>
        <w:t>LTE spurious emissions and operating band unwanted emissions</w:t>
      </w:r>
      <w:r w:rsidR="000267CB">
        <w:rPr>
          <w:rFonts w:eastAsia="SimSun"/>
          <w:b/>
          <w:lang w:eastAsia="zh-CN"/>
        </w:rPr>
        <w:t xml:space="preserve"> (from TR 36.942)</w:t>
      </w:r>
    </w:p>
    <w:p w14:paraId="514885A7" w14:textId="77777777" w:rsidR="00B20065" w:rsidRPr="000267CB" w:rsidRDefault="00B20065" w:rsidP="000267CB">
      <w:pPr>
        <w:spacing w:beforeLines="50" w:before="120"/>
        <w:jc w:val="center"/>
        <w:rPr>
          <w:rFonts w:eastAsia="SimSun"/>
          <w:b/>
          <w:lang w:eastAsia="zh-CN"/>
        </w:rPr>
      </w:pPr>
    </w:p>
    <w:p w14:paraId="387D0AC6" w14:textId="0E9B6D03" w:rsidR="00051408" w:rsidRDefault="00051408" w:rsidP="00051408">
      <w:pPr>
        <w:rPr>
          <w:rFonts w:eastAsia="SimSun"/>
          <w:lang w:eastAsia="zh-CN"/>
        </w:rPr>
      </w:pPr>
      <w:r w:rsidRPr="00051408">
        <w:rPr>
          <w:lang w:val="en-US"/>
        </w:rPr>
        <w:t xml:space="preserve">RAN4#80bis agreed to </w:t>
      </w:r>
      <w:r>
        <w:rPr>
          <w:lang w:val="en-US"/>
        </w:rPr>
        <w:t>take FCC limits for above 6 GHz</w:t>
      </w:r>
      <w:r w:rsidRPr="00123F58">
        <w:rPr>
          <w:lang w:val="en-US"/>
        </w:rPr>
        <w:t xml:space="preserve"> bands as a starting point</w:t>
      </w:r>
      <w:r>
        <w:rPr>
          <w:lang w:val="en-US"/>
        </w:rPr>
        <w:t xml:space="preserve">. </w:t>
      </w:r>
      <w:r>
        <w:rPr>
          <w:rFonts w:eastAsia="SimSun" w:hint="eastAsia"/>
          <w:lang w:eastAsia="zh-CN"/>
        </w:rPr>
        <w:t xml:space="preserve">Figure 2 shows the proposed </w:t>
      </w:r>
      <w:r w:rsidR="000267CB">
        <w:rPr>
          <w:rFonts w:eastAsia="SimSun"/>
          <w:lang w:eastAsia="zh-CN"/>
        </w:rPr>
        <w:t>spectrum</w:t>
      </w:r>
      <w:r>
        <w:rPr>
          <w:rFonts w:eastAsia="SimSun" w:hint="eastAsia"/>
          <w:lang w:eastAsia="zh-CN"/>
        </w:rPr>
        <w:t xml:space="preserve"> emission mask for NR above 6GHz, where X denotes the channel BW of NR and Y is determined by the maximum output power and ACLR value.</w:t>
      </w:r>
      <w:r w:rsidR="0055179C">
        <w:rPr>
          <w:rFonts w:eastAsia="SimSun"/>
          <w:lang w:eastAsia="zh-CN"/>
        </w:rPr>
        <w:t xml:space="preserve"> </w:t>
      </w:r>
      <w:r w:rsidR="0055179C">
        <w:rPr>
          <w:rFonts w:eastAsia="SimSun" w:hint="eastAsia"/>
          <w:lang w:eastAsia="zh-CN"/>
        </w:rPr>
        <w:t>Similar to LTE, it was proposed that the mask in the second adjacent channel is determined by ACLR value</w:t>
      </w:r>
      <w:r w:rsidR="00764EF7">
        <w:rPr>
          <w:rFonts w:eastAsia="SimSun"/>
          <w:lang w:eastAsia="zh-CN"/>
        </w:rPr>
        <w:t xml:space="preserve"> [4]</w:t>
      </w:r>
      <w:r w:rsidR="008C31EC">
        <w:rPr>
          <w:rFonts w:eastAsia="SimSun"/>
          <w:lang w:eastAsia="zh-CN"/>
        </w:rPr>
        <w:t>.</w:t>
      </w:r>
    </w:p>
    <w:p w14:paraId="4338939E" w14:textId="77777777" w:rsidR="00051408" w:rsidRPr="003E2378" w:rsidRDefault="00051408" w:rsidP="00051408">
      <w:pPr>
        <w:spacing w:beforeLines="50" w:before="120"/>
        <w:jc w:val="center"/>
        <w:rPr>
          <w:rFonts w:eastAsia="SimSun"/>
          <w:lang w:eastAsia="zh-CN"/>
        </w:rPr>
      </w:pPr>
      <w:r>
        <w:object w:dxaOrig="8493" w:dyaOrig="3386" w14:anchorId="52312A82">
          <v:shape id="_x0000_i1026" type="#_x0000_t75" style="width:352.5pt;height:141pt" o:ole="">
            <v:imagedata r:id="rId10" o:title=""/>
          </v:shape>
          <o:OLEObject Type="Embed" ProgID="Visio.Drawing.11" ShapeID="_x0000_i1026" DrawAspect="Content" ObjectID="_1539768934" r:id="rId11"/>
        </w:object>
      </w:r>
    </w:p>
    <w:p w14:paraId="6C83FECB" w14:textId="67051E3C" w:rsidR="00051408" w:rsidRPr="000B1FD3" w:rsidRDefault="000267CB" w:rsidP="00051408">
      <w:pPr>
        <w:spacing w:beforeLines="50" w:before="120"/>
        <w:jc w:val="center"/>
        <w:rPr>
          <w:rFonts w:eastAsia="SimSun"/>
          <w:b/>
          <w:lang w:eastAsia="zh-CN"/>
        </w:rPr>
      </w:pPr>
      <w:r>
        <w:rPr>
          <w:rFonts w:eastAsia="SimSun" w:hint="eastAsia"/>
          <w:b/>
          <w:lang w:eastAsia="zh-CN"/>
        </w:rPr>
        <w:t>Figure 2:</w:t>
      </w:r>
      <w:r w:rsidR="00051408" w:rsidRPr="000B1FD3">
        <w:rPr>
          <w:rFonts w:eastAsia="SimSun" w:hint="eastAsia"/>
          <w:b/>
          <w:lang w:eastAsia="zh-CN"/>
        </w:rPr>
        <w:t xml:space="preserve"> </w:t>
      </w:r>
      <w:r w:rsidR="00051408">
        <w:rPr>
          <w:rFonts w:eastAsia="SimSun" w:hint="eastAsia"/>
          <w:b/>
          <w:lang w:eastAsia="zh-CN"/>
        </w:rPr>
        <w:t>Proposed s</w:t>
      </w:r>
      <w:r w:rsidR="00051408" w:rsidRPr="000B1FD3">
        <w:rPr>
          <w:rFonts w:eastAsia="SimSun" w:hint="eastAsia"/>
          <w:b/>
          <w:lang w:eastAsia="zh-CN"/>
        </w:rPr>
        <w:t>pectrum emission mask for NR</w:t>
      </w:r>
    </w:p>
    <w:p w14:paraId="34B4451D" w14:textId="7752C0D2" w:rsidR="0055179C" w:rsidRDefault="0055179C" w:rsidP="00051408">
      <w:pPr>
        <w:rPr>
          <w:lang w:val="en-US"/>
        </w:rPr>
      </w:pPr>
      <w:r>
        <w:rPr>
          <w:lang w:val="en-US"/>
        </w:rPr>
        <w:t xml:space="preserve">This mask may overlap with the spurious domain if the boundary is set as fixed value. Small </w:t>
      </w:r>
      <w:r>
        <w:rPr>
          <w:rFonts w:eastAsia="SimSun" w:cs="v5.0.0" w:hint="eastAsia"/>
          <w:lang w:eastAsia="zh-CN"/>
        </w:rPr>
        <w:t xml:space="preserve">frequency offset from the band edge may not </w:t>
      </w:r>
      <w:r>
        <w:rPr>
          <w:rFonts w:eastAsia="SimSun" w:cs="v5.0.0"/>
          <w:lang w:eastAsia="zh-CN"/>
        </w:rPr>
        <w:t xml:space="preserve">be </w:t>
      </w:r>
      <w:r>
        <w:rPr>
          <w:rFonts w:eastAsia="SimSun" w:cs="v5.0.0" w:hint="eastAsia"/>
          <w:lang w:eastAsia="zh-CN"/>
        </w:rPr>
        <w:t>enough for wider NR channel BWs considering the fil</w:t>
      </w:r>
      <w:r w:rsidR="005F4720">
        <w:rPr>
          <w:rFonts w:eastAsia="SimSun" w:cs="v5.0.0"/>
          <w:lang w:eastAsia="zh-CN"/>
        </w:rPr>
        <w:t>t</w:t>
      </w:r>
      <w:r>
        <w:rPr>
          <w:rFonts w:eastAsia="SimSun" w:cs="v5.0.0" w:hint="eastAsia"/>
          <w:lang w:eastAsia="zh-CN"/>
        </w:rPr>
        <w:t>er rejection capability.</w:t>
      </w:r>
      <w:r>
        <w:rPr>
          <w:rFonts w:eastAsia="SimSun" w:cs="v5.0.0"/>
          <w:lang w:eastAsia="zh-CN"/>
        </w:rPr>
        <w:t xml:space="preserve"> Wider BWs may therefore need to consider also </w:t>
      </w:r>
      <w:r w:rsidR="008C31EC">
        <w:rPr>
          <w:rFonts w:eastAsia="SimSun" w:cs="v5.0.0"/>
          <w:lang w:eastAsia="zh-CN"/>
        </w:rPr>
        <w:t>250%</w:t>
      </w:r>
      <w:r>
        <w:rPr>
          <w:rFonts w:eastAsia="SimSun" w:cs="v5.0.0"/>
          <w:lang w:eastAsia="zh-CN"/>
        </w:rPr>
        <w:t xml:space="preserve"> principle together with UEM.</w:t>
      </w:r>
    </w:p>
    <w:p w14:paraId="535CE00C" w14:textId="77777777" w:rsidR="00820206" w:rsidRPr="004748CD" w:rsidRDefault="00820206" w:rsidP="004748CD"/>
    <w:p w14:paraId="5AF55545" w14:textId="1FE82089" w:rsidR="00D67946" w:rsidRDefault="00D67946" w:rsidP="00D67946">
      <w:pPr>
        <w:pStyle w:val="Heading3"/>
      </w:pPr>
      <w:r>
        <w:t>2.1.2</w:t>
      </w:r>
      <w:r>
        <w:tab/>
      </w:r>
      <w:r w:rsidRPr="00D67946">
        <w:t>B</w:t>
      </w:r>
      <w:r w:rsidR="008C31EC">
        <w:t>oundary</w:t>
      </w:r>
      <w:r w:rsidRPr="00D67946">
        <w:t xml:space="preserve"> between OOB and spurious domain</w:t>
      </w:r>
    </w:p>
    <w:p w14:paraId="2C569BD5" w14:textId="220A7FAD" w:rsidR="00AA549B" w:rsidRDefault="00427EBA" w:rsidP="00AA549B">
      <w:r>
        <w:t>Compared to past NR support wider carriers and different</w:t>
      </w:r>
      <w:r w:rsidR="00AA549B" w:rsidRPr="00BE05E1">
        <w:t xml:space="preserve"> numerologies.</w:t>
      </w:r>
      <w:r>
        <w:t xml:space="preserve"> </w:t>
      </w:r>
      <w:r w:rsidRPr="00BE05E1">
        <w:t>For a carrier placed at the edge of a band, the unwanted emission levels outside the band will depend on the carrier bandwidth and numerology, but also on any passband filtering applied for the band. Such a filter is more challenging for higher bands for AAS-type systems, in terms of achieving high attenuation close to the band.</w:t>
      </w:r>
    </w:p>
    <w:p w14:paraId="6D11D5A9" w14:textId="7E68BCCE" w:rsidR="00427EBA" w:rsidRDefault="00427EBA" w:rsidP="00427EBA">
      <w:pPr>
        <w:rPr>
          <w:lang w:val="en-US"/>
        </w:rPr>
      </w:pPr>
      <w:r>
        <w:t>F</w:t>
      </w:r>
      <w:r>
        <w:rPr>
          <w:lang w:val="en-US"/>
        </w:rPr>
        <w:t xml:space="preserve">or the new bands we may need to consider again the “250% rule”. The rule for wider carriers and higher bands is defined in ITU-R Recommendation SM.1539-1, as shown in Table 1. The recommendation defines a threshold value </w:t>
      </w:r>
      <w:r w:rsidRPr="007A40B8">
        <w:rPr>
          <w:i/>
          <w:lang w:val="en-US"/>
        </w:rPr>
        <w:t>B</w:t>
      </w:r>
      <w:r w:rsidRPr="007A40B8">
        <w:rPr>
          <w:i/>
          <w:vertAlign w:val="subscript"/>
          <w:lang w:val="en-US"/>
        </w:rPr>
        <w:t>U</w:t>
      </w:r>
      <w:r>
        <w:rPr>
          <w:lang w:val="en-US"/>
        </w:rPr>
        <w:t xml:space="preserve"> for the necessary bandwidth </w:t>
      </w:r>
      <w:r w:rsidRPr="007A40B8">
        <w:rPr>
          <w:i/>
          <w:lang w:val="en-US"/>
        </w:rPr>
        <w:t>B</w:t>
      </w:r>
      <w:r>
        <w:rPr>
          <w:i/>
          <w:vertAlign w:val="subscript"/>
          <w:lang w:val="en-US"/>
        </w:rPr>
        <w:t>N</w:t>
      </w:r>
      <w:r>
        <w:rPr>
          <w:lang w:val="en-US"/>
        </w:rPr>
        <w:t xml:space="preserve"> of the transmission. When the bandwidth of the transmission is higher than the threshold </w:t>
      </w:r>
      <w:r w:rsidRPr="007A40B8">
        <w:rPr>
          <w:i/>
          <w:lang w:val="en-US"/>
        </w:rPr>
        <w:t>B</w:t>
      </w:r>
      <w:r w:rsidRPr="007A40B8">
        <w:rPr>
          <w:i/>
          <w:vertAlign w:val="subscript"/>
          <w:lang w:val="en-US"/>
        </w:rPr>
        <w:t>U</w:t>
      </w:r>
      <w:r>
        <w:rPr>
          <w:lang w:val="en-US"/>
        </w:rPr>
        <w:t xml:space="preserve">, the 250% rule (2.5 </w:t>
      </w:r>
      <w:r w:rsidRPr="007A40B8">
        <w:rPr>
          <w:i/>
          <w:lang w:val="en-US"/>
        </w:rPr>
        <w:t>B</w:t>
      </w:r>
      <w:r>
        <w:rPr>
          <w:i/>
          <w:vertAlign w:val="subscript"/>
          <w:lang w:val="en-US"/>
        </w:rPr>
        <w:t>N</w:t>
      </w:r>
      <w:r>
        <w:rPr>
          <w:lang w:val="en-US"/>
        </w:rPr>
        <w:t>) is replaced by the rule listed in the “Separation” column, resulting in a separation somewhere between 150% and 250% of the necessary bandwidth.</w:t>
      </w:r>
    </w:p>
    <w:p w14:paraId="603E9C9E" w14:textId="71E6711D" w:rsidR="00427EBA" w:rsidRPr="007A40B8" w:rsidRDefault="00427EBA" w:rsidP="00427EBA">
      <w:pPr>
        <w:pStyle w:val="TH"/>
      </w:pPr>
      <w:r w:rsidRPr="007A40B8">
        <w:lastRenderedPageBreak/>
        <w:t>Table</w:t>
      </w:r>
      <w:r>
        <w:t xml:space="preserve"> 1</w:t>
      </w:r>
      <w:r w:rsidRPr="007A40B8">
        <w:t xml:space="preserve">: Guideline values for the boundary of the spurious domain </w:t>
      </w:r>
      <w:r w:rsidRPr="007A40B8">
        <w:br/>
        <w:t>(</w:t>
      </w:r>
      <w:r>
        <w:t>Extracted from ITU-R SM.1539</w:t>
      </w:r>
      <w:r w:rsidRPr="007A40B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1169"/>
        <w:gridCol w:w="1241"/>
        <w:gridCol w:w="1877"/>
      </w:tblGrid>
      <w:tr w:rsidR="00427EBA" w:rsidRPr="00D34CAD" w14:paraId="600E68BB" w14:textId="77777777" w:rsidTr="00BE05E1">
        <w:trPr>
          <w:cantSplit/>
          <w:jc w:val="center"/>
        </w:trPr>
        <w:tc>
          <w:tcPr>
            <w:tcW w:w="2338" w:type="dxa"/>
            <w:vMerge w:val="restart"/>
            <w:vAlign w:val="center"/>
          </w:tcPr>
          <w:p w14:paraId="5D0B4CB6" w14:textId="77777777" w:rsidR="00427EBA" w:rsidRPr="00D34CAD" w:rsidRDefault="00427EBA" w:rsidP="00BE05E1">
            <w:pPr>
              <w:pStyle w:val="TAH"/>
            </w:pPr>
            <w:r w:rsidRPr="00D34CAD">
              <w:br w:type="page"/>
              <w:t>Frequency</w:t>
            </w:r>
            <w:r w:rsidRPr="00D34CAD">
              <w:br/>
              <w:t>range</w:t>
            </w:r>
          </w:p>
        </w:tc>
        <w:tc>
          <w:tcPr>
            <w:tcW w:w="1169" w:type="dxa"/>
            <w:vMerge w:val="restart"/>
            <w:vAlign w:val="center"/>
          </w:tcPr>
          <w:p w14:paraId="158AD0DD" w14:textId="77777777" w:rsidR="00427EBA" w:rsidRPr="00D34CAD" w:rsidRDefault="00427EBA" w:rsidP="00BE05E1">
            <w:pPr>
              <w:pStyle w:val="TAH"/>
            </w:pPr>
            <w:r w:rsidRPr="00D34CAD">
              <w:t>Normal</w:t>
            </w:r>
            <w:r w:rsidRPr="00D34CAD">
              <w:br/>
              <w:t>separation</w:t>
            </w:r>
          </w:p>
        </w:tc>
        <w:tc>
          <w:tcPr>
            <w:tcW w:w="3118" w:type="dxa"/>
            <w:gridSpan w:val="2"/>
            <w:vAlign w:val="center"/>
          </w:tcPr>
          <w:p w14:paraId="097B7399" w14:textId="77777777" w:rsidR="00427EBA" w:rsidRPr="00D34CAD" w:rsidRDefault="00427EBA" w:rsidP="00BE05E1">
            <w:pPr>
              <w:pStyle w:val="TAH"/>
            </w:pPr>
            <w:r w:rsidRPr="00D34CAD">
              <w:t>Wideband case</w:t>
            </w:r>
            <w:r w:rsidRPr="00D34CAD">
              <w:br/>
              <w:t>(</w:t>
            </w:r>
            <w:r w:rsidRPr="00D34CAD">
              <w:rPr>
                <w:i/>
                <w:iCs/>
              </w:rPr>
              <w:t>B</w:t>
            </w:r>
            <w:r w:rsidRPr="00D34CAD">
              <w:rPr>
                <w:i/>
                <w:iCs/>
                <w:position w:val="-4"/>
                <w:sz w:val="16"/>
              </w:rPr>
              <w:t>N</w:t>
            </w:r>
            <w:r w:rsidRPr="00D34CAD">
              <w:t xml:space="preserve"> </w:t>
            </w:r>
            <w:r w:rsidRPr="00D34CAD">
              <w:rPr>
                <w:rFonts w:ascii="Symbol" w:hAnsi="Symbol"/>
              </w:rPr>
              <w:t></w:t>
            </w:r>
            <w:r w:rsidRPr="00D34CAD">
              <w:t xml:space="preserve"> </w:t>
            </w:r>
            <w:r w:rsidRPr="00D34CAD">
              <w:rPr>
                <w:i/>
                <w:iCs/>
              </w:rPr>
              <w:t>B</w:t>
            </w:r>
            <w:r w:rsidRPr="00D34CAD">
              <w:rPr>
                <w:i/>
                <w:iCs/>
                <w:position w:val="-4"/>
                <w:sz w:val="16"/>
              </w:rPr>
              <w:t>U</w:t>
            </w:r>
            <w:r w:rsidRPr="00D34CAD">
              <w:t>)</w:t>
            </w:r>
          </w:p>
        </w:tc>
      </w:tr>
      <w:tr w:rsidR="00427EBA" w:rsidRPr="00D34CAD" w14:paraId="73E7A90C" w14:textId="77777777" w:rsidTr="00BE05E1">
        <w:trPr>
          <w:cantSplit/>
          <w:jc w:val="center"/>
        </w:trPr>
        <w:tc>
          <w:tcPr>
            <w:tcW w:w="2338" w:type="dxa"/>
            <w:vMerge/>
            <w:vAlign w:val="center"/>
          </w:tcPr>
          <w:p w14:paraId="23D4B7F6" w14:textId="77777777" w:rsidR="00427EBA" w:rsidRPr="00D34CAD" w:rsidRDefault="00427EBA" w:rsidP="00BE05E1">
            <w:pPr>
              <w:pStyle w:val="TAH"/>
            </w:pPr>
          </w:p>
        </w:tc>
        <w:tc>
          <w:tcPr>
            <w:tcW w:w="1169" w:type="dxa"/>
            <w:vMerge/>
            <w:vAlign w:val="center"/>
          </w:tcPr>
          <w:p w14:paraId="32A20CAB" w14:textId="77777777" w:rsidR="00427EBA" w:rsidRPr="00D34CAD" w:rsidRDefault="00427EBA" w:rsidP="00BE05E1">
            <w:pPr>
              <w:pStyle w:val="TAH"/>
            </w:pPr>
          </w:p>
        </w:tc>
        <w:tc>
          <w:tcPr>
            <w:tcW w:w="1241" w:type="dxa"/>
            <w:vAlign w:val="center"/>
          </w:tcPr>
          <w:p w14:paraId="0DCCCDB9" w14:textId="77777777" w:rsidR="00427EBA" w:rsidRPr="00D34CAD" w:rsidRDefault="00427EBA" w:rsidP="00BE05E1">
            <w:pPr>
              <w:pStyle w:val="TAH"/>
            </w:pPr>
            <w:r w:rsidRPr="00D34CAD">
              <w:rPr>
                <w:i/>
                <w:iCs/>
              </w:rPr>
              <w:t>B</w:t>
            </w:r>
            <w:r w:rsidRPr="00D34CAD">
              <w:rPr>
                <w:i/>
                <w:iCs/>
                <w:position w:val="-4"/>
                <w:sz w:val="16"/>
              </w:rPr>
              <w:t>U</w:t>
            </w:r>
          </w:p>
        </w:tc>
        <w:tc>
          <w:tcPr>
            <w:tcW w:w="1877" w:type="dxa"/>
            <w:vAlign w:val="center"/>
          </w:tcPr>
          <w:p w14:paraId="04FCDE45" w14:textId="77777777" w:rsidR="00427EBA" w:rsidRPr="00D34CAD" w:rsidRDefault="00427EBA" w:rsidP="00BE05E1">
            <w:pPr>
              <w:pStyle w:val="TAH"/>
            </w:pPr>
            <w:r w:rsidRPr="00D34CAD">
              <w:t>Separation</w:t>
            </w:r>
          </w:p>
        </w:tc>
      </w:tr>
      <w:tr w:rsidR="00427EBA" w:rsidRPr="00D34CAD" w14:paraId="58A0F773" w14:textId="77777777" w:rsidTr="00BE05E1">
        <w:trPr>
          <w:jc w:val="center"/>
        </w:trPr>
        <w:tc>
          <w:tcPr>
            <w:tcW w:w="2338" w:type="dxa"/>
          </w:tcPr>
          <w:p w14:paraId="194D231A" w14:textId="77777777" w:rsidR="00427EBA" w:rsidRPr="00D34CAD" w:rsidRDefault="00427EBA" w:rsidP="00BE05E1">
            <w:pPr>
              <w:pStyle w:val="TAC"/>
            </w:pPr>
            <w:r w:rsidRPr="00D34CAD">
              <w:t xml:space="preserve">30 MHz </w:t>
            </w:r>
            <w:r w:rsidRPr="00D34CAD">
              <w:rPr>
                <w:rFonts w:ascii="Symbol" w:hAnsi="Symbol"/>
              </w:rPr>
              <w:t></w:t>
            </w:r>
            <w:r w:rsidRPr="00D34CAD">
              <w:t xml:space="preserve"> </w:t>
            </w:r>
            <w:r w:rsidRPr="00D34CAD">
              <w:rPr>
                <w:i/>
              </w:rPr>
              <w:t>f</w:t>
            </w:r>
            <w:r w:rsidRPr="00D34CAD">
              <w:rPr>
                <w:i/>
                <w:iCs/>
                <w:position w:val="-4"/>
                <w:sz w:val="16"/>
              </w:rPr>
              <w:t>c</w:t>
            </w:r>
            <w:r w:rsidRPr="00D34CAD">
              <w:t xml:space="preserve"> </w:t>
            </w:r>
            <w:r w:rsidRPr="00D34CAD">
              <w:rPr>
                <w:rFonts w:ascii="Symbol" w:hAnsi="Symbol"/>
              </w:rPr>
              <w:t></w:t>
            </w:r>
            <w:r w:rsidRPr="00D34CAD">
              <w:t xml:space="preserve"> 1 GHz</w:t>
            </w:r>
          </w:p>
        </w:tc>
        <w:tc>
          <w:tcPr>
            <w:tcW w:w="1169" w:type="dxa"/>
          </w:tcPr>
          <w:p w14:paraId="3F486C18" w14:textId="77777777" w:rsidR="00427EBA" w:rsidRPr="00D34CAD" w:rsidRDefault="00427EBA" w:rsidP="00BE05E1">
            <w:pPr>
              <w:pStyle w:val="TAC"/>
            </w:pPr>
            <w:r w:rsidRPr="00D34CAD">
              <w:t xml:space="preserve">2.5 </w:t>
            </w:r>
            <w:r w:rsidRPr="00D34CAD">
              <w:rPr>
                <w:i/>
              </w:rPr>
              <w:t>B</w:t>
            </w:r>
            <w:r w:rsidRPr="00D34CAD">
              <w:rPr>
                <w:i/>
                <w:iCs/>
                <w:position w:val="-4"/>
                <w:sz w:val="16"/>
              </w:rPr>
              <w:t>N</w:t>
            </w:r>
          </w:p>
        </w:tc>
        <w:tc>
          <w:tcPr>
            <w:tcW w:w="1241" w:type="dxa"/>
          </w:tcPr>
          <w:p w14:paraId="5867B1C7" w14:textId="77777777" w:rsidR="00427EBA" w:rsidRPr="00D34CAD" w:rsidRDefault="00427EBA" w:rsidP="00BE05E1">
            <w:pPr>
              <w:pStyle w:val="TAC"/>
            </w:pPr>
            <w:r w:rsidRPr="00D34CAD">
              <w:t>10 MHz</w:t>
            </w:r>
          </w:p>
        </w:tc>
        <w:tc>
          <w:tcPr>
            <w:tcW w:w="1877" w:type="dxa"/>
          </w:tcPr>
          <w:p w14:paraId="1D1C1010" w14:textId="77777777" w:rsidR="00427EBA" w:rsidRPr="00D34CAD" w:rsidRDefault="00427EBA" w:rsidP="00BE05E1">
            <w:pPr>
              <w:pStyle w:val="TAC"/>
            </w:pPr>
            <w:r w:rsidRPr="00D34CAD">
              <w:t xml:space="preserve">1.5 </w:t>
            </w:r>
            <w:r w:rsidRPr="00D34CAD">
              <w:rPr>
                <w:i/>
              </w:rPr>
              <w:t>B</w:t>
            </w:r>
            <w:r w:rsidRPr="00D34CAD">
              <w:rPr>
                <w:i/>
                <w:iCs/>
                <w:position w:val="-4"/>
                <w:sz w:val="16"/>
              </w:rPr>
              <w:t>N</w:t>
            </w:r>
            <w:r w:rsidRPr="00D34CAD">
              <w:t xml:space="preserve"> + 10 MHz</w:t>
            </w:r>
          </w:p>
        </w:tc>
      </w:tr>
      <w:tr w:rsidR="00427EBA" w:rsidRPr="00D34CAD" w14:paraId="6371ABD4" w14:textId="77777777" w:rsidTr="00BE05E1">
        <w:trPr>
          <w:jc w:val="center"/>
        </w:trPr>
        <w:tc>
          <w:tcPr>
            <w:tcW w:w="2338" w:type="dxa"/>
          </w:tcPr>
          <w:p w14:paraId="3241D51D" w14:textId="77777777" w:rsidR="00427EBA" w:rsidRPr="00D34CAD" w:rsidRDefault="00427EBA" w:rsidP="00BE05E1">
            <w:pPr>
              <w:pStyle w:val="TAC"/>
            </w:pPr>
            <w:r w:rsidRPr="00D34CAD">
              <w:t xml:space="preserve">1 GHz </w:t>
            </w:r>
            <w:r w:rsidRPr="00D34CAD">
              <w:rPr>
                <w:rFonts w:ascii="Symbol" w:hAnsi="Symbol"/>
              </w:rPr>
              <w:t></w:t>
            </w:r>
            <w:r w:rsidRPr="00D34CAD">
              <w:t xml:space="preserve"> </w:t>
            </w:r>
            <w:r w:rsidRPr="00D34CAD">
              <w:rPr>
                <w:i/>
              </w:rPr>
              <w:t>f</w:t>
            </w:r>
            <w:r w:rsidRPr="00D34CAD">
              <w:rPr>
                <w:i/>
                <w:iCs/>
                <w:position w:val="-4"/>
                <w:sz w:val="16"/>
              </w:rPr>
              <w:t>c</w:t>
            </w:r>
            <w:r w:rsidRPr="00D34CAD">
              <w:t xml:space="preserve"> </w:t>
            </w:r>
            <w:r w:rsidRPr="00D34CAD">
              <w:rPr>
                <w:rFonts w:ascii="Symbol" w:hAnsi="Symbol"/>
              </w:rPr>
              <w:t></w:t>
            </w:r>
            <w:r w:rsidRPr="00D34CAD">
              <w:t xml:space="preserve"> 3 GHz</w:t>
            </w:r>
          </w:p>
        </w:tc>
        <w:tc>
          <w:tcPr>
            <w:tcW w:w="1169" w:type="dxa"/>
          </w:tcPr>
          <w:p w14:paraId="22998750" w14:textId="77777777" w:rsidR="00427EBA" w:rsidRPr="00D34CAD" w:rsidRDefault="00427EBA" w:rsidP="00BE05E1">
            <w:pPr>
              <w:pStyle w:val="TAC"/>
            </w:pPr>
            <w:r w:rsidRPr="00D34CAD">
              <w:t xml:space="preserve">2.5 </w:t>
            </w:r>
            <w:r w:rsidRPr="00D34CAD">
              <w:rPr>
                <w:i/>
              </w:rPr>
              <w:t>B</w:t>
            </w:r>
            <w:r w:rsidRPr="00D34CAD">
              <w:rPr>
                <w:i/>
                <w:iCs/>
                <w:position w:val="-4"/>
                <w:sz w:val="16"/>
              </w:rPr>
              <w:t>N</w:t>
            </w:r>
          </w:p>
        </w:tc>
        <w:tc>
          <w:tcPr>
            <w:tcW w:w="1241" w:type="dxa"/>
          </w:tcPr>
          <w:p w14:paraId="76E8D05E" w14:textId="77777777" w:rsidR="00427EBA" w:rsidRPr="00D34CAD" w:rsidRDefault="00427EBA" w:rsidP="00BE05E1">
            <w:pPr>
              <w:pStyle w:val="TAC"/>
            </w:pPr>
            <w:r w:rsidRPr="00D34CAD">
              <w:t>50 MHz</w:t>
            </w:r>
          </w:p>
        </w:tc>
        <w:tc>
          <w:tcPr>
            <w:tcW w:w="1877" w:type="dxa"/>
          </w:tcPr>
          <w:p w14:paraId="5C8E8ADA" w14:textId="77777777" w:rsidR="00427EBA" w:rsidRPr="00D34CAD" w:rsidRDefault="00427EBA" w:rsidP="00BE05E1">
            <w:pPr>
              <w:pStyle w:val="TAC"/>
            </w:pPr>
            <w:r w:rsidRPr="00D34CAD">
              <w:t xml:space="preserve">1.5 </w:t>
            </w:r>
            <w:r w:rsidRPr="00D34CAD">
              <w:rPr>
                <w:i/>
              </w:rPr>
              <w:t>B</w:t>
            </w:r>
            <w:r w:rsidRPr="00D34CAD">
              <w:rPr>
                <w:i/>
                <w:iCs/>
                <w:position w:val="-4"/>
                <w:sz w:val="16"/>
              </w:rPr>
              <w:t>N</w:t>
            </w:r>
            <w:r w:rsidRPr="00D34CAD">
              <w:t xml:space="preserve"> + 50 MHz</w:t>
            </w:r>
          </w:p>
        </w:tc>
      </w:tr>
      <w:tr w:rsidR="00427EBA" w:rsidRPr="00D34CAD" w14:paraId="4EECEE6C" w14:textId="77777777" w:rsidTr="00BE05E1">
        <w:trPr>
          <w:jc w:val="center"/>
        </w:trPr>
        <w:tc>
          <w:tcPr>
            <w:tcW w:w="2338" w:type="dxa"/>
          </w:tcPr>
          <w:p w14:paraId="1AD9CDAB" w14:textId="77777777" w:rsidR="00427EBA" w:rsidRPr="00D34CAD" w:rsidRDefault="00427EBA" w:rsidP="00BE05E1">
            <w:pPr>
              <w:pStyle w:val="TAC"/>
            </w:pPr>
            <w:r w:rsidRPr="00D34CAD">
              <w:t xml:space="preserve">3 GHz </w:t>
            </w:r>
            <w:r w:rsidRPr="00D34CAD">
              <w:rPr>
                <w:rFonts w:ascii="Symbol" w:hAnsi="Symbol"/>
              </w:rPr>
              <w:t></w:t>
            </w:r>
            <w:r w:rsidRPr="00D34CAD">
              <w:t xml:space="preserve"> </w:t>
            </w:r>
            <w:r w:rsidRPr="00D34CAD">
              <w:rPr>
                <w:i/>
              </w:rPr>
              <w:t>f</w:t>
            </w:r>
            <w:r w:rsidRPr="00D34CAD">
              <w:rPr>
                <w:i/>
                <w:iCs/>
                <w:position w:val="-4"/>
                <w:sz w:val="16"/>
              </w:rPr>
              <w:t>c</w:t>
            </w:r>
            <w:r w:rsidRPr="00D34CAD">
              <w:t> </w:t>
            </w:r>
            <w:r w:rsidRPr="00D34CAD">
              <w:rPr>
                <w:rFonts w:ascii="Symbol" w:hAnsi="Symbol"/>
              </w:rPr>
              <w:t></w:t>
            </w:r>
            <w:r w:rsidRPr="00D34CAD">
              <w:t xml:space="preserve"> 10 GHz</w:t>
            </w:r>
          </w:p>
        </w:tc>
        <w:tc>
          <w:tcPr>
            <w:tcW w:w="1169" w:type="dxa"/>
          </w:tcPr>
          <w:p w14:paraId="30B3D0F2" w14:textId="77777777" w:rsidR="00427EBA" w:rsidRPr="00D34CAD" w:rsidRDefault="00427EBA" w:rsidP="00BE05E1">
            <w:pPr>
              <w:pStyle w:val="TAC"/>
            </w:pPr>
            <w:r w:rsidRPr="00D34CAD">
              <w:t xml:space="preserve">2.5 </w:t>
            </w:r>
            <w:r w:rsidRPr="00D34CAD">
              <w:rPr>
                <w:i/>
              </w:rPr>
              <w:t>B</w:t>
            </w:r>
            <w:r w:rsidRPr="00D34CAD">
              <w:rPr>
                <w:i/>
                <w:iCs/>
                <w:position w:val="-4"/>
                <w:sz w:val="16"/>
              </w:rPr>
              <w:t>N</w:t>
            </w:r>
          </w:p>
        </w:tc>
        <w:tc>
          <w:tcPr>
            <w:tcW w:w="1241" w:type="dxa"/>
          </w:tcPr>
          <w:p w14:paraId="7D6393C0" w14:textId="77777777" w:rsidR="00427EBA" w:rsidRPr="00D34CAD" w:rsidRDefault="00427EBA" w:rsidP="00BE05E1">
            <w:pPr>
              <w:pStyle w:val="TAC"/>
            </w:pPr>
            <w:r w:rsidRPr="00D34CAD">
              <w:t>100 MHz</w:t>
            </w:r>
          </w:p>
        </w:tc>
        <w:tc>
          <w:tcPr>
            <w:tcW w:w="1877" w:type="dxa"/>
          </w:tcPr>
          <w:p w14:paraId="702823A9" w14:textId="77777777" w:rsidR="00427EBA" w:rsidRPr="00D34CAD" w:rsidRDefault="00427EBA" w:rsidP="00BE05E1">
            <w:pPr>
              <w:pStyle w:val="TAC"/>
            </w:pPr>
            <w:r w:rsidRPr="00D34CAD">
              <w:t xml:space="preserve">1.5 </w:t>
            </w:r>
            <w:r w:rsidRPr="00D34CAD">
              <w:rPr>
                <w:i/>
              </w:rPr>
              <w:t>B</w:t>
            </w:r>
            <w:r w:rsidRPr="00D34CAD">
              <w:rPr>
                <w:i/>
                <w:iCs/>
                <w:position w:val="-4"/>
                <w:sz w:val="16"/>
              </w:rPr>
              <w:t>N</w:t>
            </w:r>
            <w:r w:rsidRPr="00D34CAD">
              <w:t xml:space="preserve"> + 100 MHz</w:t>
            </w:r>
          </w:p>
        </w:tc>
      </w:tr>
      <w:tr w:rsidR="00427EBA" w:rsidRPr="00D34CAD" w14:paraId="1C9086FB" w14:textId="77777777" w:rsidTr="00BE05E1">
        <w:trPr>
          <w:jc w:val="center"/>
        </w:trPr>
        <w:tc>
          <w:tcPr>
            <w:tcW w:w="2338" w:type="dxa"/>
          </w:tcPr>
          <w:p w14:paraId="728391F4" w14:textId="77777777" w:rsidR="00427EBA" w:rsidRPr="00D34CAD" w:rsidRDefault="00427EBA" w:rsidP="00BE05E1">
            <w:pPr>
              <w:pStyle w:val="TAC"/>
            </w:pPr>
            <w:r w:rsidRPr="00D34CAD">
              <w:t xml:space="preserve">10 GHz </w:t>
            </w:r>
            <w:r w:rsidRPr="00D34CAD">
              <w:rPr>
                <w:rFonts w:ascii="Symbol" w:hAnsi="Symbol"/>
              </w:rPr>
              <w:t></w:t>
            </w:r>
            <w:r w:rsidRPr="00D34CAD">
              <w:t xml:space="preserve"> </w:t>
            </w:r>
            <w:r w:rsidRPr="00D34CAD">
              <w:rPr>
                <w:i/>
              </w:rPr>
              <w:t>f</w:t>
            </w:r>
            <w:r w:rsidRPr="00D34CAD">
              <w:rPr>
                <w:i/>
                <w:iCs/>
                <w:position w:val="-4"/>
                <w:sz w:val="16"/>
              </w:rPr>
              <w:t>c</w:t>
            </w:r>
            <w:r w:rsidRPr="00D34CAD">
              <w:t> </w:t>
            </w:r>
            <w:r w:rsidRPr="00D34CAD">
              <w:rPr>
                <w:rFonts w:ascii="Symbol" w:hAnsi="Symbol"/>
              </w:rPr>
              <w:t></w:t>
            </w:r>
            <w:r w:rsidRPr="00D34CAD">
              <w:t xml:space="preserve"> 15 GHz</w:t>
            </w:r>
          </w:p>
        </w:tc>
        <w:tc>
          <w:tcPr>
            <w:tcW w:w="1169" w:type="dxa"/>
          </w:tcPr>
          <w:p w14:paraId="3C832CFC" w14:textId="77777777" w:rsidR="00427EBA" w:rsidRPr="00D34CAD" w:rsidRDefault="00427EBA" w:rsidP="00BE05E1">
            <w:pPr>
              <w:pStyle w:val="TAC"/>
            </w:pPr>
            <w:r w:rsidRPr="00D34CAD">
              <w:t xml:space="preserve">2.5 </w:t>
            </w:r>
            <w:r w:rsidRPr="00D34CAD">
              <w:rPr>
                <w:i/>
              </w:rPr>
              <w:t>B</w:t>
            </w:r>
            <w:r w:rsidRPr="00D34CAD">
              <w:rPr>
                <w:i/>
                <w:iCs/>
                <w:position w:val="-4"/>
                <w:sz w:val="16"/>
              </w:rPr>
              <w:t>N</w:t>
            </w:r>
          </w:p>
        </w:tc>
        <w:tc>
          <w:tcPr>
            <w:tcW w:w="1241" w:type="dxa"/>
          </w:tcPr>
          <w:p w14:paraId="0F619664" w14:textId="77777777" w:rsidR="00427EBA" w:rsidRPr="00D34CAD" w:rsidRDefault="00427EBA" w:rsidP="00BE05E1">
            <w:pPr>
              <w:pStyle w:val="TAC"/>
            </w:pPr>
            <w:r w:rsidRPr="00D34CAD">
              <w:t>250 MHz</w:t>
            </w:r>
          </w:p>
        </w:tc>
        <w:tc>
          <w:tcPr>
            <w:tcW w:w="1877" w:type="dxa"/>
          </w:tcPr>
          <w:p w14:paraId="2DD341D0" w14:textId="77777777" w:rsidR="00427EBA" w:rsidRPr="00D34CAD" w:rsidRDefault="00427EBA" w:rsidP="00BE05E1">
            <w:pPr>
              <w:pStyle w:val="TAC"/>
            </w:pPr>
            <w:r w:rsidRPr="00D34CAD">
              <w:t xml:space="preserve">1.5 </w:t>
            </w:r>
            <w:r w:rsidRPr="00D34CAD">
              <w:rPr>
                <w:i/>
              </w:rPr>
              <w:t>B</w:t>
            </w:r>
            <w:r w:rsidRPr="00D34CAD">
              <w:rPr>
                <w:i/>
                <w:iCs/>
                <w:position w:val="-4"/>
                <w:sz w:val="16"/>
              </w:rPr>
              <w:t>N</w:t>
            </w:r>
            <w:r w:rsidRPr="00D34CAD">
              <w:t xml:space="preserve"> + 250 MHz</w:t>
            </w:r>
          </w:p>
        </w:tc>
      </w:tr>
      <w:tr w:rsidR="00427EBA" w:rsidRPr="00D34CAD" w14:paraId="7B9AB47D" w14:textId="77777777" w:rsidTr="00BE05E1">
        <w:trPr>
          <w:jc w:val="center"/>
        </w:trPr>
        <w:tc>
          <w:tcPr>
            <w:tcW w:w="2338" w:type="dxa"/>
          </w:tcPr>
          <w:p w14:paraId="6F970A6C" w14:textId="77777777" w:rsidR="00427EBA" w:rsidRPr="00D34CAD" w:rsidRDefault="00427EBA" w:rsidP="00BE05E1">
            <w:pPr>
              <w:pStyle w:val="TAC"/>
            </w:pPr>
            <w:r w:rsidRPr="00D34CAD">
              <w:t xml:space="preserve">15 GHz </w:t>
            </w:r>
            <w:r w:rsidRPr="00D34CAD">
              <w:rPr>
                <w:rFonts w:ascii="Symbol" w:hAnsi="Symbol"/>
              </w:rPr>
              <w:t></w:t>
            </w:r>
            <w:r w:rsidRPr="00D34CAD">
              <w:t xml:space="preserve"> </w:t>
            </w:r>
            <w:r w:rsidRPr="00D34CAD">
              <w:rPr>
                <w:i/>
              </w:rPr>
              <w:t>f</w:t>
            </w:r>
            <w:r w:rsidRPr="00D34CAD">
              <w:rPr>
                <w:i/>
                <w:iCs/>
                <w:position w:val="-4"/>
                <w:sz w:val="16"/>
              </w:rPr>
              <w:t>c</w:t>
            </w:r>
            <w:r w:rsidRPr="00D34CAD">
              <w:t xml:space="preserve"> </w:t>
            </w:r>
            <w:r w:rsidRPr="00D34CAD">
              <w:rPr>
                <w:rFonts w:ascii="Symbol" w:hAnsi="Symbol"/>
              </w:rPr>
              <w:t></w:t>
            </w:r>
            <w:r w:rsidRPr="00D34CAD">
              <w:t xml:space="preserve"> 26 GHz</w:t>
            </w:r>
          </w:p>
        </w:tc>
        <w:tc>
          <w:tcPr>
            <w:tcW w:w="1169" w:type="dxa"/>
          </w:tcPr>
          <w:p w14:paraId="1077B6C4" w14:textId="77777777" w:rsidR="00427EBA" w:rsidRPr="00D34CAD" w:rsidRDefault="00427EBA" w:rsidP="00BE05E1">
            <w:pPr>
              <w:pStyle w:val="TAC"/>
            </w:pPr>
            <w:r w:rsidRPr="00D34CAD">
              <w:t xml:space="preserve">2.5 </w:t>
            </w:r>
            <w:r w:rsidRPr="00D34CAD">
              <w:rPr>
                <w:i/>
              </w:rPr>
              <w:t>B</w:t>
            </w:r>
            <w:r w:rsidRPr="00D34CAD">
              <w:rPr>
                <w:i/>
                <w:iCs/>
                <w:position w:val="-4"/>
                <w:sz w:val="16"/>
              </w:rPr>
              <w:t>N</w:t>
            </w:r>
          </w:p>
        </w:tc>
        <w:tc>
          <w:tcPr>
            <w:tcW w:w="1241" w:type="dxa"/>
          </w:tcPr>
          <w:p w14:paraId="5BAB3579" w14:textId="77777777" w:rsidR="00427EBA" w:rsidRPr="00D34CAD" w:rsidRDefault="00427EBA" w:rsidP="00BE05E1">
            <w:pPr>
              <w:pStyle w:val="TAC"/>
            </w:pPr>
            <w:r w:rsidRPr="00D34CAD">
              <w:t>500 MHz</w:t>
            </w:r>
          </w:p>
        </w:tc>
        <w:tc>
          <w:tcPr>
            <w:tcW w:w="1877" w:type="dxa"/>
          </w:tcPr>
          <w:p w14:paraId="522F4C9B" w14:textId="77777777" w:rsidR="00427EBA" w:rsidRPr="00D34CAD" w:rsidRDefault="00427EBA" w:rsidP="00BE05E1">
            <w:pPr>
              <w:pStyle w:val="TAC"/>
            </w:pPr>
            <w:r w:rsidRPr="00D34CAD">
              <w:t xml:space="preserve">1.5 </w:t>
            </w:r>
            <w:r w:rsidRPr="00D34CAD">
              <w:rPr>
                <w:i/>
              </w:rPr>
              <w:t>B</w:t>
            </w:r>
            <w:r w:rsidRPr="00D34CAD">
              <w:rPr>
                <w:i/>
                <w:iCs/>
                <w:position w:val="-4"/>
                <w:sz w:val="16"/>
              </w:rPr>
              <w:t>N</w:t>
            </w:r>
            <w:r w:rsidRPr="00D34CAD">
              <w:t xml:space="preserve"> + 500 MHz</w:t>
            </w:r>
          </w:p>
        </w:tc>
      </w:tr>
      <w:tr w:rsidR="00427EBA" w:rsidRPr="00D34CAD" w14:paraId="1A3282A7" w14:textId="77777777" w:rsidTr="00BE05E1">
        <w:trPr>
          <w:jc w:val="center"/>
        </w:trPr>
        <w:tc>
          <w:tcPr>
            <w:tcW w:w="2338" w:type="dxa"/>
          </w:tcPr>
          <w:p w14:paraId="790B2BF9" w14:textId="77777777" w:rsidR="00427EBA" w:rsidRPr="00D34CAD" w:rsidRDefault="00427EBA" w:rsidP="00BE05E1">
            <w:pPr>
              <w:pStyle w:val="TAC"/>
            </w:pPr>
            <w:r w:rsidRPr="00D34CAD">
              <w:rPr>
                <w:i/>
              </w:rPr>
              <w:t>f</w:t>
            </w:r>
            <w:r w:rsidRPr="00D34CAD">
              <w:rPr>
                <w:i/>
                <w:iCs/>
                <w:position w:val="-4"/>
                <w:sz w:val="16"/>
              </w:rPr>
              <w:t>c</w:t>
            </w:r>
            <w:r w:rsidRPr="00D34CAD">
              <w:t xml:space="preserve"> </w:t>
            </w:r>
            <w:r w:rsidRPr="00D34CAD">
              <w:rPr>
                <w:rFonts w:ascii="Symbol" w:hAnsi="Symbol"/>
              </w:rPr>
              <w:t></w:t>
            </w:r>
            <w:r w:rsidRPr="00D34CAD">
              <w:t xml:space="preserve"> 26 GHz</w:t>
            </w:r>
          </w:p>
        </w:tc>
        <w:tc>
          <w:tcPr>
            <w:tcW w:w="1169" w:type="dxa"/>
          </w:tcPr>
          <w:p w14:paraId="3CA2E65E" w14:textId="77777777" w:rsidR="00427EBA" w:rsidRPr="00D34CAD" w:rsidRDefault="00427EBA" w:rsidP="00BE05E1">
            <w:pPr>
              <w:pStyle w:val="TAC"/>
            </w:pPr>
            <w:r w:rsidRPr="00D34CAD">
              <w:t xml:space="preserve">2.5 </w:t>
            </w:r>
            <w:r w:rsidRPr="00D34CAD">
              <w:rPr>
                <w:i/>
              </w:rPr>
              <w:t>B</w:t>
            </w:r>
            <w:r w:rsidRPr="00D34CAD">
              <w:rPr>
                <w:i/>
                <w:iCs/>
                <w:position w:val="-4"/>
                <w:sz w:val="16"/>
              </w:rPr>
              <w:t>N</w:t>
            </w:r>
          </w:p>
        </w:tc>
        <w:tc>
          <w:tcPr>
            <w:tcW w:w="1241" w:type="dxa"/>
          </w:tcPr>
          <w:p w14:paraId="506C882D" w14:textId="77777777" w:rsidR="00427EBA" w:rsidRPr="00D34CAD" w:rsidRDefault="00427EBA" w:rsidP="00BE05E1">
            <w:pPr>
              <w:pStyle w:val="TAC"/>
            </w:pPr>
            <w:r w:rsidRPr="00D34CAD">
              <w:t>500 MHz</w:t>
            </w:r>
          </w:p>
        </w:tc>
        <w:tc>
          <w:tcPr>
            <w:tcW w:w="1877" w:type="dxa"/>
          </w:tcPr>
          <w:p w14:paraId="6EB112FE" w14:textId="77777777" w:rsidR="00427EBA" w:rsidRPr="00D34CAD" w:rsidRDefault="00427EBA" w:rsidP="00BE05E1">
            <w:pPr>
              <w:pStyle w:val="TAC"/>
            </w:pPr>
            <w:r w:rsidRPr="00D34CAD">
              <w:t xml:space="preserve">1.5 </w:t>
            </w:r>
            <w:r w:rsidRPr="00D34CAD">
              <w:rPr>
                <w:i/>
              </w:rPr>
              <w:t>B</w:t>
            </w:r>
            <w:r w:rsidRPr="00D34CAD">
              <w:rPr>
                <w:i/>
                <w:iCs/>
                <w:position w:val="-4"/>
                <w:sz w:val="16"/>
              </w:rPr>
              <w:t>N</w:t>
            </w:r>
            <w:r w:rsidRPr="00D34CAD">
              <w:t xml:space="preserve"> + 500 MHz</w:t>
            </w:r>
          </w:p>
        </w:tc>
      </w:tr>
    </w:tbl>
    <w:p w14:paraId="367C96E3" w14:textId="77777777" w:rsidR="00427EBA" w:rsidRDefault="00427EBA" w:rsidP="00AA549B"/>
    <w:p w14:paraId="13203349" w14:textId="329E5162" w:rsidR="00427EBA" w:rsidRDefault="00427EBA" w:rsidP="00AA549B">
      <w:r>
        <w:t xml:space="preserve">Recommended </w:t>
      </w:r>
      <w:r w:rsidR="00CF0AEC">
        <w:t xml:space="preserve">boundary </w:t>
      </w:r>
      <w:r>
        <w:t xml:space="preserve">offsets for </w:t>
      </w:r>
      <w:r w:rsidR="008657E1">
        <w:t xml:space="preserve">some </w:t>
      </w:r>
      <w:r>
        <w:t xml:space="preserve">possible NR BWs </w:t>
      </w:r>
      <w:r w:rsidR="00EC0969">
        <w:t xml:space="preserve">above 6 GHz </w:t>
      </w:r>
      <w:r>
        <w:t xml:space="preserve">are </w:t>
      </w:r>
      <w:r w:rsidR="008657E1">
        <w:t>shown</w:t>
      </w:r>
      <w:r>
        <w:t xml:space="preserve"> in Table 2.</w:t>
      </w:r>
      <w:r w:rsidR="003701A8">
        <w:t xml:space="preserve"> Threshold values are highlighted by orange.</w:t>
      </w:r>
    </w:p>
    <w:p w14:paraId="2DF32B83" w14:textId="77777777" w:rsidR="00820206" w:rsidRDefault="00820206" w:rsidP="00AA549B"/>
    <w:p w14:paraId="090AB067" w14:textId="0D362B78" w:rsidR="00427EBA" w:rsidRDefault="00427EBA" w:rsidP="00427EBA">
      <w:pPr>
        <w:pStyle w:val="TH"/>
      </w:pPr>
      <w:r w:rsidRPr="007A40B8">
        <w:t>Table</w:t>
      </w:r>
      <w:r>
        <w:t xml:space="preserve"> 2</w:t>
      </w:r>
      <w:r w:rsidR="00CF0AEC">
        <w:t>: B</w:t>
      </w:r>
      <w:r w:rsidRPr="007A40B8">
        <w:t>oundary</w:t>
      </w:r>
      <w:r w:rsidR="00CF0AEC">
        <w:t xml:space="preserve"> offsets for </w:t>
      </w:r>
      <w:r w:rsidR="00254910">
        <w:t>example</w:t>
      </w:r>
      <w:r w:rsidR="00CF0AEC">
        <w:t xml:space="preserve"> NR BWs</w:t>
      </w:r>
    </w:p>
    <w:tbl>
      <w:tblPr>
        <w:tblW w:w="9574" w:type="dxa"/>
        <w:tblInd w:w="-5" w:type="dxa"/>
        <w:tblLook w:val="04A0" w:firstRow="1" w:lastRow="0" w:firstColumn="1" w:lastColumn="0" w:noHBand="0" w:noVBand="1"/>
      </w:tblPr>
      <w:tblGrid>
        <w:gridCol w:w="2332"/>
        <w:gridCol w:w="1157"/>
        <w:gridCol w:w="841"/>
        <w:gridCol w:w="1631"/>
        <w:gridCol w:w="1631"/>
        <w:gridCol w:w="1982"/>
      </w:tblGrid>
      <w:tr w:rsidR="00254910" w:rsidRPr="00254910" w14:paraId="21468B50" w14:textId="77777777" w:rsidTr="00254910">
        <w:trPr>
          <w:trHeight w:val="277"/>
        </w:trPr>
        <w:tc>
          <w:tcPr>
            <w:tcW w:w="23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DD77C2" w14:textId="77777777" w:rsidR="00254910" w:rsidRPr="00254910" w:rsidRDefault="00254910" w:rsidP="00254910">
            <w:pPr>
              <w:spacing w:after="0"/>
              <w:rPr>
                <w:rFonts w:ascii="Calibri" w:hAnsi="Calibri"/>
                <w:color w:val="000000"/>
                <w:sz w:val="22"/>
                <w:szCs w:val="22"/>
                <w:lang w:val="en-US"/>
              </w:rPr>
            </w:pPr>
            <w:r w:rsidRPr="00254910">
              <w:rPr>
                <w:rFonts w:ascii="Calibri" w:hAnsi="Calibri"/>
                <w:color w:val="000000"/>
                <w:sz w:val="22"/>
                <w:szCs w:val="22"/>
                <w:lang w:val="en-US"/>
              </w:rPr>
              <w:t>Frequency range</w:t>
            </w:r>
          </w:p>
        </w:tc>
        <w:tc>
          <w:tcPr>
            <w:tcW w:w="1157" w:type="dxa"/>
            <w:tcBorders>
              <w:top w:val="single" w:sz="4" w:space="0" w:color="auto"/>
              <w:left w:val="nil"/>
              <w:bottom w:val="single" w:sz="4" w:space="0" w:color="auto"/>
              <w:right w:val="single" w:sz="4" w:space="0" w:color="auto"/>
            </w:tcBorders>
            <w:shd w:val="clear" w:color="auto" w:fill="auto"/>
            <w:noWrap/>
            <w:vAlign w:val="bottom"/>
            <w:hideMark/>
          </w:tcPr>
          <w:p w14:paraId="4F4828AA" w14:textId="71E5B7BE" w:rsidR="00254910" w:rsidRPr="00254910" w:rsidRDefault="00254910" w:rsidP="008657E1">
            <w:pPr>
              <w:spacing w:after="0"/>
              <w:jc w:val="center"/>
              <w:rPr>
                <w:rFonts w:ascii="Calibri" w:hAnsi="Calibri"/>
                <w:color w:val="000000"/>
                <w:sz w:val="22"/>
                <w:szCs w:val="22"/>
                <w:lang w:val="en-US"/>
              </w:rPr>
            </w:pPr>
            <w:r w:rsidRPr="00254910">
              <w:rPr>
                <w:rFonts w:ascii="Calibri" w:hAnsi="Calibri"/>
                <w:color w:val="000000"/>
                <w:sz w:val="22"/>
                <w:szCs w:val="22"/>
                <w:lang w:val="en-US"/>
              </w:rPr>
              <w:t>Channel BW</w:t>
            </w:r>
            <w:r w:rsidR="008918EF">
              <w:rPr>
                <w:rFonts w:ascii="Calibri" w:hAnsi="Calibri"/>
                <w:color w:val="000000"/>
                <w:sz w:val="22"/>
                <w:szCs w:val="22"/>
                <w:lang w:val="en-US"/>
              </w:rPr>
              <w:t xml:space="preserve">, </w:t>
            </w:r>
            <w:r w:rsidR="008918EF" w:rsidRPr="00D34CAD">
              <w:rPr>
                <w:i/>
                <w:iCs/>
              </w:rPr>
              <w:t>B</w:t>
            </w:r>
            <w:r w:rsidR="008918EF" w:rsidRPr="00D34CAD">
              <w:rPr>
                <w:i/>
                <w:iCs/>
                <w:position w:val="-4"/>
                <w:sz w:val="16"/>
              </w:rPr>
              <w:t>N</w:t>
            </w:r>
          </w:p>
        </w:tc>
        <w:tc>
          <w:tcPr>
            <w:tcW w:w="841" w:type="dxa"/>
            <w:tcBorders>
              <w:top w:val="single" w:sz="4" w:space="0" w:color="auto"/>
              <w:left w:val="nil"/>
              <w:bottom w:val="single" w:sz="4" w:space="0" w:color="auto"/>
              <w:right w:val="single" w:sz="4" w:space="0" w:color="auto"/>
            </w:tcBorders>
            <w:shd w:val="clear" w:color="auto" w:fill="auto"/>
            <w:noWrap/>
            <w:vAlign w:val="bottom"/>
            <w:hideMark/>
          </w:tcPr>
          <w:p w14:paraId="1E4CDDC6" w14:textId="44DEAE78" w:rsidR="00254910" w:rsidRPr="00254910" w:rsidRDefault="003701A8" w:rsidP="008657E1">
            <w:pPr>
              <w:spacing w:after="0"/>
              <w:jc w:val="center"/>
              <w:rPr>
                <w:rFonts w:ascii="Calibri" w:hAnsi="Calibri"/>
                <w:color w:val="000000"/>
                <w:sz w:val="22"/>
                <w:szCs w:val="22"/>
                <w:lang w:val="en-US"/>
              </w:rPr>
            </w:pPr>
            <w:r w:rsidRPr="00D34CAD">
              <w:rPr>
                <w:i/>
                <w:iCs/>
              </w:rPr>
              <w:t>B</w:t>
            </w:r>
            <w:r>
              <w:rPr>
                <w:i/>
                <w:iCs/>
                <w:position w:val="-4"/>
                <w:sz w:val="16"/>
              </w:rPr>
              <w:t>U</w:t>
            </w:r>
          </w:p>
        </w:tc>
        <w:tc>
          <w:tcPr>
            <w:tcW w:w="1631" w:type="dxa"/>
            <w:tcBorders>
              <w:top w:val="single" w:sz="4" w:space="0" w:color="auto"/>
              <w:left w:val="nil"/>
              <w:bottom w:val="single" w:sz="4" w:space="0" w:color="auto"/>
              <w:right w:val="single" w:sz="4" w:space="0" w:color="auto"/>
            </w:tcBorders>
            <w:shd w:val="clear" w:color="auto" w:fill="auto"/>
            <w:noWrap/>
            <w:vAlign w:val="bottom"/>
            <w:hideMark/>
          </w:tcPr>
          <w:p w14:paraId="05E4AA82" w14:textId="77777777" w:rsidR="00254910" w:rsidRPr="00254910" w:rsidRDefault="00254910" w:rsidP="008657E1">
            <w:pPr>
              <w:spacing w:after="0"/>
              <w:jc w:val="center"/>
              <w:rPr>
                <w:rFonts w:ascii="Calibri" w:hAnsi="Calibri"/>
                <w:color w:val="000000"/>
                <w:sz w:val="22"/>
                <w:szCs w:val="22"/>
                <w:lang w:val="en-US"/>
              </w:rPr>
            </w:pPr>
            <w:r w:rsidRPr="00254910">
              <w:rPr>
                <w:rFonts w:ascii="Calibri" w:hAnsi="Calibri"/>
                <w:color w:val="000000"/>
                <w:sz w:val="22"/>
                <w:szCs w:val="22"/>
                <w:lang w:val="en-US"/>
              </w:rPr>
              <w:t>Normal separation</w:t>
            </w:r>
          </w:p>
        </w:tc>
        <w:tc>
          <w:tcPr>
            <w:tcW w:w="1631" w:type="dxa"/>
            <w:tcBorders>
              <w:top w:val="single" w:sz="4" w:space="0" w:color="auto"/>
              <w:left w:val="nil"/>
              <w:bottom w:val="single" w:sz="4" w:space="0" w:color="auto"/>
              <w:right w:val="single" w:sz="4" w:space="0" w:color="auto"/>
            </w:tcBorders>
            <w:shd w:val="clear" w:color="auto" w:fill="auto"/>
            <w:noWrap/>
            <w:vAlign w:val="bottom"/>
            <w:hideMark/>
          </w:tcPr>
          <w:p w14:paraId="306DEBD5" w14:textId="7EC12C97" w:rsidR="00254910" w:rsidRPr="00254910" w:rsidRDefault="00254910" w:rsidP="008657E1">
            <w:pPr>
              <w:spacing w:after="0"/>
              <w:jc w:val="center"/>
              <w:rPr>
                <w:rFonts w:ascii="Calibri" w:hAnsi="Calibri"/>
                <w:color w:val="000000"/>
                <w:sz w:val="22"/>
                <w:szCs w:val="22"/>
                <w:lang w:val="en-US"/>
              </w:rPr>
            </w:pPr>
            <w:r w:rsidRPr="00254910">
              <w:rPr>
                <w:rFonts w:ascii="Calibri" w:hAnsi="Calibri"/>
                <w:color w:val="000000"/>
                <w:sz w:val="22"/>
                <w:szCs w:val="22"/>
                <w:lang w:val="en-US"/>
              </w:rPr>
              <w:t xml:space="preserve">Separation </w:t>
            </w:r>
            <w:r w:rsidR="003701A8">
              <w:rPr>
                <w:rFonts w:ascii="Calibri" w:hAnsi="Calibri"/>
                <w:color w:val="000000"/>
                <w:sz w:val="22"/>
                <w:szCs w:val="22"/>
                <w:lang w:val="en-US"/>
              </w:rPr>
              <w:t xml:space="preserve">    </w:t>
            </w:r>
            <w:r w:rsidR="003701A8" w:rsidRPr="00D34CAD">
              <w:rPr>
                <w:i/>
                <w:iCs/>
              </w:rPr>
              <w:t>B</w:t>
            </w:r>
            <w:r w:rsidR="003701A8" w:rsidRPr="00D34CAD">
              <w:rPr>
                <w:i/>
                <w:iCs/>
                <w:position w:val="-4"/>
                <w:sz w:val="16"/>
              </w:rPr>
              <w:t>N</w:t>
            </w:r>
            <w:r w:rsidR="003701A8" w:rsidRPr="00254910">
              <w:rPr>
                <w:rFonts w:ascii="Calibri" w:hAnsi="Calibri"/>
                <w:color w:val="000000"/>
                <w:sz w:val="22"/>
                <w:szCs w:val="22"/>
                <w:lang w:val="en-US"/>
              </w:rPr>
              <w:t xml:space="preserve"> </w:t>
            </w:r>
            <w:r w:rsidRPr="00254910">
              <w:rPr>
                <w:rFonts w:ascii="Calibri" w:hAnsi="Calibri"/>
                <w:color w:val="000000"/>
                <w:sz w:val="22"/>
                <w:szCs w:val="22"/>
                <w:lang w:val="en-US"/>
              </w:rPr>
              <w:t>&gt;</w:t>
            </w:r>
            <w:r w:rsidR="003701A8" w:rsidRPr="00D34CAD">
              <w:rPr>
                <w:i/>
                <w:iCs/>
              </w:rPr>
              <w:t xml:space="preserve"> B</w:t>
            </w:r>
            <w:r w:rsidR="003701A8">
              <w:rPr>
                <w:i/>
                <w:iCs/>
                <w:position w:val="-4"/>
                <w:sz w:val="16"/>
              </w:rPr>
              <w:t>U</w:t>
            </w:r>
          </w:p>
        </w:tc>
        <w:tc>
          <w:tcPr>
            <w:tcW w:w="1982" w:type="dxa"/>
            <w:tcBorders>
              <w:top w:val="single" w:sz="4" w:space="0" w:color="auto"/>
              <w:left w:val="nil"/>
              <w:bottom w:val="single" w:sz="4" w:space="0" w:color="auto"/>
              <w:right w:val="single" w:sz="4" w:space="0" w:color="auto"/>
            </w:tcBorders>
            <w:shd w:val="clear" w:color="auto" w:fill="auto"/>
            <w:noWrap/>
            <w:vAlign w:val="bottom"/>
            <w:hideMark/>
          </w:tcPr>
          <w:p w14:paraId="03FD2379" w14:textId="5111F369" w:rsidR="00254910" w:rsidRPr="00254910" w:rsidRDefault="00254910" w:rsidP="008657E1">
            <w:pPr>
              <w:spacing w:after="0"/>
              <w:jc w:val="center"/>
              <w:rPr>
                <w:rFonts w:ascii="Calibri" w:hAnsi="Calibri"/>
                <w:color w:val="000000"/>
                <w:sz w:val="22"/>
                <w:szCs w:val="22"/>
                <w:lang w:val="en-US"/>
              </w:rPr>
            </w:pPr>
            <w:r w:rsidRPr="00254910">
              <w:rPr>
                <w:rFonts w:ascii="Calibri" w:hAnsi="Calibri"/>
                <w:color w:val="000000"/>
                <w:sz w:val="22"/>
                <w:szCs w:val="22"/>
                <w:lang w:val="en-US"/>
              </w:rPr>
              <w:t>Offset from band edge</w:t>
            </w:r>
            <w:r w:rsidR="008657E1">
              <w:rPr>
                <w:rFonts w:ascii="Calibri" w:hAnsi="Calibri"/>
                <w:color w:val="000000"/>
                <w:sz w:val="22"/>
                <w:szCs w:val="22"/>
                <w:lang w:val="en-US"/>
              </w:rPr>
              <w:t xml:space="preserve"> [MHz]</w:t>
            </w:r>
          </w:p>
        </w:tc>
      </w:tr>
      <w:tr w:rsidR="00254910" w:rsidRPr="00254910" w14:paraId="580368A3" w14:textId="77777777" w:rsidTr="0073289E">
        <w:trPr>
          <w:trHeight w:val="277"/>
        </w:trPr>
        <w:tc>
          <w:tcPr>
            <w:tcW w:w="2332" w:type="dxa"/>
            <w:tcBorders>
              <w:top w:val="nil"/>
              <w:left w:val="single" w:sz="4" w:space="0" w:color="auto"/>
              <w:bottom w:val="nil"/>
              <w:right w:val="single" w:sz="4" w:space="0" w:color="auto"/>
            </w:tcBorders>
            <w:shd w:val="clear" w:color="auto" w:fill="auto"/>
            <w:noWrap/>
            <w:vAlign w:val="bottom"/>
            <w:hideMark/>
          </w:tcPr>
          <w:p w14:paraId="1002F647" w14:textId="71CD7732" w:rsidR="00254910" w:rsidRPr="00254910" w:rsidRDefault="003B3FA8" w:rsidP="00254910">
            <w:pPr>
              <w:spacing w:after="0"/>
              <w:rPr>
                <w:rFonts w:ascii="Calibri" w:hAnsi="Calibri"/>
                <w:color w:val="000000"/>
                <w:sz w:val="22"/>
                <w:szCs w:val="22"/>
                <w:lang w:val="en-US"/>
              </w:rPr>
            </w:pPr>
            <w:r>
              <w:rPr>
                <w:rFonts w:ascii="Calibri" w:hAnsi="Calibri"/>
                <w:color w:val="000000"/>
                <w:sz w:val="22"/>
                <w:szCs w:val="22"/>
              </w:rPr>
              <w:t>6</w:t>
            </w:r>
            <w:r w:rsidR="00254910" w:rsidRPr="00254910">
              <w:rPr>
                <w:rFonts w:ascii="Calibri" w:hAnsi="Calibri"/>
                <w:color w:val="000000"/>
                <w:sz w:val="22"/>
                <w:szCs w:val="22"/>
              </w:rPr>
              <w:t xml:space="preserve"> GHz </w:t>
            </w:r>
            <w:r w:rsidR="00254910" w:rsidRPr="00254910">
              <w:rPr>
                <w:rFonts w:ascii="Symbol" w:hAnsi="Symbol"/>
                <w:color w:val="000000"/>
                <w:sz w:val="18"/>
                <w:szCs w:val="18"/>
              </w:rPr>
              <w:t></w:t>
            </w:r>
            <w:r w:rsidR="00254910" w:rsidRPr="00254910">
              <w:rPr>
                <w:rFonts w:ascii="Arial" w:hAnsi="Arial" w:cs="Arial"/>
                <w:color w:val="000000"/>
                <w:sz w:val="18"/>
                <w:szCs w:val="18"/>
              </w:rPr>
              <w:t xml:space="preserve"> </w:t>
            </w:r>
            <w:r w:rsidR="00254910" w:rsidRPr="00254910">
              <w:rPr>
                <w:rFonts w:ascii="Arial" w:hAnsi="Arial" w:cs="Arial"/>
                <w:i/>
                <w:iCs/>
                <w:color w:val="000000"/>
                <w:sz w:val="18"/>
                <w:szCs w:val="18"/>
              </w:rPr>
              <w:t>f</w:t>
            </w:r>
            <w:r w:rsidR="00254910" w:rsidRPr="00254910">
              <w:rPr>
                <w:rFonts w:ascii="Arial" w:hAnsi="Arial" w:cs="Arial"/>
                <w:i/>
                <w:iCs/>
                <w:color w:val="000000"/>
                <w:sz w:val="16"/>
                <w:szCs w:val="16"/>
              </w:rPr>
              <w:t>c</w:t>
            </w:r>
            <w:r w:rsidR="00254910" w:rsidRPr="00254910">
              <w:rPr>
                <w:rFonts w:ascii="Arial" w:hAnsi="Arial" w:cs="Arial"/>
                <w:color w:val="000000"/>
                <w:sz w:val="18"/>
                <w:szCs w:val="18"/>
              </w:rPr>
              <w:t> </w:t>
            </w:r>
            <w:r w:rsidR="00254910" w:rsidRPr="00254910">
              <w:rPr>
                <w:rFonts w:ascii="Symbol" w:hAnsi="Symbol"/>
                <w:color w:val="000000"/>
                <w:sz w:val="18"/>
                <w:szCs w:val="18"/>
              </w:rPr>
              <w:t></w:t>
            </w:r>
            <w:r w:rsidR="00254910" w:rsidRPr="00254910">
              <w:rPr>
                <w:rFonts w:ascii="Arial" w:hAnsi="Arial" w:cs="Arial"/>
                <w:color w:val="000000"/>
                <w:sz w:val="18"/>
                <w:szCs w:val="18"/>
              </w:rPr>
              <w:t xml:space="preserve"> 10 GHz</w:t>
            </w:r>
          </w:p>
        </w:tc>
        <w:tc>
          <w:tcPr>
            <w:tcW w:w="1157" w:type="dxa"/>
            <w:tcBorders>
              <w:top w:val="nil"/>
              <w:left w:val="nil"/>
              <w:bottom w:val="single" w:sz="4" w:space="0" w:color="auto"/>
              <w:right w:val="single" w:sz="4" w:space="0" w:color="auto"/>
            </w:tcBorders>
            <w:shd w:val="clear" w:color="auto" w:fill="auto"/>
            <w:noWrap/>
            <w:vAlign w:val="bottom"/>
            <w:hideMark/>
          </w:tcPr>
          <w:p w14:paraId="5CAEC3E1"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40</w:t>
            </w:r>
          </w:p>
        </w:tc>
        <w:tc>
          <w:tcPr>
            <w:tcW w:w="841" w:type="dxa"/>
            <w:tcBorders>
              <w:top w:val="nil"/>
              <w:left w:val="nil"/>
              <w:bottom w:val="single" w:sz="4" w:space="0" w:color="auto"/>
              <w:right w:val="single" w:sz="4" w:space="0" w:color="auto"/>
            </w:tcBorders>
            <w:shd w:val="clear" w:color="auto" w:fill="auto"/>
            <w:noWrap/>
            <w:vAlign w:val="bottom"/>
            <w:hideMark/>
          </w:tcPr>
          <w:p w14:paraId="379D7085"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100</w:t>
            </w:r>
          </w:p>
        </w:tc>
        <w:tc>
          <w:tcPr>
            <w:tcW w:w="1631" w:type="dxa"/>
            <w:tcBorders>
              <w:top w:val="nil"/>
              <w:left w:val="nil"/>
              <w:bottom w:val="single" w:sz="4" w:space="0" w:color="auto"/>
              <w:right w:val="single" w:sz="4" w:space="0" w:color="auto"/>
            </w:tcBorders>
            <w:shd w:val="clear" w:color="000000" w:fill="92D050"/>
            <w:noWrap/>
            <w:vAlign w:val="bottom"/>
            <w:hideMark/>
          </w:tcPr>
          <w:p w14:paraId="2DF279BB"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100</w:t>
            </w:r>
          </w:p>
        </w:tc>
        <w:tc>
          <w:tcPr>
            <w:tcW w:w="1631" w:type="dxa"/>
            <w:tcBorders>
              <w:top w:val="nil"/>
              <w:left w:val="nil"/>
              <w:bottom w:val="single" w:sz="4" w:space="0" w:color="auto"/>
              <w:right w:val="single" w:sz="4" w:space="0" w:color="auto"/>
            </w:tcBorders>
            <w:shd w:val="clear" w:color="auto" w:fill="auto"/>
            <w:noWrap/>
            <w:vAlign w:val="bottom"/>
          </w:tcPr>
          <w:p w14:paraId="4A34C57D" w14:textId="7262BB9D" w:rsidR="00254910" w:rsidRPr="00254910" w:rsidRDefault="00254910" w:rsidP="00254910">
            <w:pPr>
              <w:spacing w:after="0"/>
              <w:jc w:val="right"/>
              <w:rPr>
                <w:rFonts w:ascii="Calibri" w:hAnsi="Calibri"/>
                <w:color w:val="000000"/>
                <w:sz w:val="22"/>
                <w:szCs w:val="22"/>
                <w:lang w:val="en-US"/>
              </w:rPr>
            </w:pPr>
          </w:p>
        </w:tc>
        <w:tc>
          <w:tcPr>
            <w:tcW w:w="1982" w:type="dxa"/>
            <w:tcBorders>
              <w:top w:val="nil"/>
              <w:left w:val="nil"/>
              <w:bottom w:val="single" w:sz="4" w:space="0" w:color="auto"/>
              <w:right w:val="single" w:sz="4" w:space="0" w:color="auto"/>
            </w:tcBorders>
            <w:shd w:val="clear" w:color="auto" w:fill="auto"/>
            <w:noWrap/>
            <w:vAlign w:val="bottom"/>
            <w:hideMark/>
          </w:tcPr>
          <w:p w14:paraId="65891BFB"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80</w:t>
            </w:r>
          </w:p>
        </w:tc>
      </w:tr>
      <w:tr w:rsidR="00254910" w:rsidRPr="00254910" w14:paraId="041AD860" w14:textId="77777777" w:rsidTr="0073289E">
        <w:trPr>
          <w:trHeight w:val="277"/>
        </w:trPr>
        <w:tc>
          <w:tcPr>
            <w:tcW w:w="2332" w:type="dxa"/>
            <w:tcBorders>
              <w:top w:val="nil"/>
              <w:left w:val="single" w:sz="4" w:space="0" w:color="auto"/>
              <w:bottom w:val="nil"/>
              <w:right w:val="single" w:sz="4" w:space="0" w:color="auto"/>
            </w:tcBorders>
            <w:shd w:val="clear" w:color="auto" w:fill="auto"/>
            <w:noWrap/>
            <w:vAlign w:val="bottom"/>
            <w:hideMark/>
          </w:tcPr>
          <w:p w14:paraId="15D22A1B" w14:textId="77777777" w:rsidR="00254910" w:rsidRPr="00254910" w:rsidRDefault="00254910" w:rsidP="00254910">
            <w:pPr>
              <w:spacing w:after="0"/>
              <w:rPr>
                <w:rFonts w:ascii="Calibri" w:hAnsi="Calibri"/>
                <w:color w:val="000000"/>
                <w:sz w:val="22"/>
                <w:szCs w:val="22"/>
                <w:lang w:val="en-US"/>
              </w:rPr>
            </w:pPr>
            <w:r w:rsidRPr="00254910">
              <w:rPr>
                <w:rFonts w:ascii="Calibri" w:hAnsi="Calibri"/>
                <w:color w:val="000000"/>
                <w:sz w:val="22"/>
                <w:szCs w:val="22"/>
                <w:lang w:val="en-US"/>
              </w:rPr>
              <w:t> </w:t>
            </w:r>
          </w:p>
        </w:tc>
        <w:tc>
          <w:tcPr>
            <w:tcW w:w="1157" w:type="dxa"/>
            <w:tcBorders>
              <w:top w:val="nil"/>
              <w:left w:val="nil"/>
              <w:bottom w:val="single" w:sz="4" w:space="0" w:color="auto"/>
              <w:right w:val="single" w:sz="4" w:space="0" w:color="auto"/>
            </w:tcBorders>
            <w:shd w:val="clear" w:color="auto" w:fill="auto"/>
            <w:noWrap/>
            <w:vAlign w:val="bottom"/>
            <w:hideMark/>
          </w:tcPr>
          <w:p w14:paraId="3AA60F12"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80</w:t>
            </w:r>
          </w:p>
        </w:tc>
        <w:tc>
          <w:tcPr>
            <w:tcW w:w="841" w:type="dxa"/>
            <w:tcBorders>
              <w:top w:val="nil"/>
              <w:left w:val="nil"/>
              <w:bottom w:val="single" w:sz="4" w:space="0" w:color="auto"/>
              <w:right w:val="single" w:sz="4" w:space="0" w:color="auto"/>
            </w:tcBorders>
            <w:shd w:val="clear" w:color="auto" w:fill="auto"/>
            <w:noWrap/>
            <w:vAlign w:val="bottom"/>
            <w:hideMark/>
          </w:tcPr>
          <w:p w14:paraId="0F9D0766"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100</w:t>
            </w:r>
          </w:p>
        </w:tc>
        <w:tc>
          <w:tcPr>
            <w:tcW w:w="1631" w:type="dxa"/>
            <w:tcBorders>
              <w:top w:val="nil"/>
              <w:left w:val="nil"/>
              <w:bottom w:val="single" w:sz="4" w:space="0" w:color="auto"/>
              <w:right w:val="single" w:sz="4" w:space="0" w:color="auto"/>
            </w:tcBorders>
            <w:shd w:val="clear" w:color="000000" w:fill="92D050"/>
            <w:noWrap/>
            <w:vAlign w:val="bottom"/>
            <w:hideMark/>
          </w:tcPr>
          <w:p w14:paraId="16319013"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200</w:t>
            </w:r>
          </w:p>
        </w:tc>
        <w:tc>
          <w:tcPr>
            <w:tcW w:w="1631" w:type="dxa"/>
            <w:tcBorders>
              <w:top w:val="nil"/>
              <w:left w:val="nil"/>
              <w:bottom w:val="single" w:sz="4" w:space="0" w:color="auto"/>
              <w:right w:val="single" w:sz="4" w:space="0" w:color="auto"/>
            </w:tcBorders>
            <w:shd w:val="clear" w:color="auto" w:fill="auto"/>
            <w:noWrap/>
            <w:vAlign w:val="bottom"/>
          </w:tcPr>
          <w:p w14:paraId="0670EF57" w14:textId="50C45904" w:rsidR="00254910" w:rsidRPr="00254910" w:rsidRDefault="00254910" w:rsidP="00254910">
            <w:pPr>
              <w:spacing w:after="0"/>
              <w:jc w:val="right"/>
              <w:rPr>
                <w:rFonts w:ascii="Calibri" w:hAnsi="Calibri"/>
                <w:color w:val="000000"/>
                <w:sz w:val="22"/>
                <w:szCs w:val="22"/>
                <w:lang w:val="en-US"/>
              </w:rPr>
            </w:pPr>
          </w:p>
        </w:tc>
        <w:tc>
          <w:tcPr>
            <w:tcW w:w="1982" w:type="dxa"/>
            <w:tcBorders>
              <w:top w:val="nil"/>
              <w:left w:val="nil"/>
              <w:bottom w:val="single" w:sz="4" w:space="0" w:color="auto"/>
              <w:right w:val="single" w:sz="4" w:space="0" w:color="auto"/>
            </w:tcBorders>
            <w:shd w:val="clear" w:color="auto" w:fill="auto"/>
            <w:noWrap/>
            <w:vAlign w:val="bottom"/>
            <w:hideMark/>
          </w:tcPr>
          <w:p w14:paraId="359A8631"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160</w:t>
            </w:r>
          </w:p>
        </w:tc>
      </w:tr>
      <w:tr w:rsidR="00254910" w:rsidRPr="00254910" w14:paraId="203A7C31" w14:textId="77777777" w:rsidTr="0073289E">
        <w:trPr>
          <w:trHeight w:val="277"/>
        </w:trPr>
        <w:tc>
          <w:tcPr>
            <w:tcW w:w="2332" w:type="dxa"/>
            <w:tcBorders>
              <w:top w:val="nil"/>
              <w:left w:val="single" w:sz="4" w:space="0" w:color="auto"/>
              <w:bottom w:val="nil"/>
              <w:right w:val="single" w:sz="4" w:space="0" w:color="auto"/>
            </w:tcBorders>
            <w:shd w:val="clear" w:color="auto" w:fill="auto"/>
            <w:noWrap/>
            <w:vAlign w:val="bottom"/>
            <w:hideMark/>
          </w:tcPr>
          <w:p w14:paraId="14EB94CC" w14:textId="77777777" w:rsidR="00254910" w:rsidRPr="00254910" w:rsidRDefault="00254910" w:rsidP="00254910">
            <w:pPr>
              <w:spacing w:after="0"/>
              <w:rPr>
                <w:rFonts w:ascii="Calibri" w:hAnsi="Calibri"/>
                <w:color w:val="000000"/>
                <w:sz w:val="22"/>
                <w:szCs w:val="22"/>
                <w:lang w:val="en-US"/>
              </w:rPr>
            </w:pPr>
            <w:r w:rsidRPr="00254910">
              <w:rPr>
                <w:rFonts w:ascii="Calibri" w:hAnsi="Calibri"/>
                <w:color w:val="000000"/>
                <w:sz w:val="22"/>
                <w:szCs w:val="22"/>
                <w:lang w:val="en-US"/>
              </w:rPr>
              <w:t> </w:t>
            </w:r>
          </w:p>
        </w:tc>
        <w:tc>
          <w:tcPr>
            <w:tcW w:w="1157" w:type="dxa"/>
            <w:tcBorders>
              <w:top w:val="nil"/>
              <w:left w:val="nil"/>
              <w:bottom w:val="single" w:sz="4" w:space="0" w:color="auto"/>
              <w:right w:val="single" w:sz="4" w:space="0" w:color="auto"/>
            </w:tcBorders>
            <w:shd w:val="clear" w:color="000000" w:fill="FFC000"/>
            <w:noWrap/>
            <w:vAlign w:val="bottom"/>
            <w:hideMark/>
          </w:tcPr>
          <w:p w14:paraId="2CB8193F"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100</w:t>
            </w:r>
          </w:p>
        </w:tc>
        <w:tc>
          <w:tcPr>
            <w:tcW w:w="841" w:type="dxa"/>
            <w:tcBorders>
              <w:top w:val="nil"/>
              <w:left w:val="nil"/>
              <w:bottom w:val="single" w:sz="4" w:space="0" w:color="auto"/>
              <w:right w:val="single" w:sz="4" w:space="0" w:color="auto"/>
            </w:tcBorders>
            <w:shd w:val="clear" w:color="000000" w:fill="FFC000"/>
            <w:noWrap/>
            <w:vAlign w:val="bottom"/>
            <w:hideMark/>
          </w:tcPr>
          <w:p w14:paraId="2DAD5623"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100</w:t>
            </w:r>
          </w:p>
        </w:tc>
        <w:tc>
          <w:tcPr>
            <w:tcW w:w="1631" w:type="dxa"/>
            <w:tcBorders>
              <w:top w:val="nil"/>
              <w:left w:val="nil"/>
              <w:bottom w:val="single" w:sz="4" w:space="0" w:color="auto"/>
              <w:right w:val="single" w:sz="4" w:space="0" w:color="auto"/>
            </w:tcBorders>
            <w:shd w:val="clear" w:color="000000" w:fill="92D050"/>
            <w:noWrap/>
            <w:vAlign w:val="bottom"/>
            <w:hideMark/>
          </w:tcPr>
          <w:p w14:paraId="6DCE44CB"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250</w:t>
            </w:r>
          </w:p>
        </w:tc>
        <w:tc>
          <w:tcPr>
            <w:tcW w:w="1631" w:type="dxa"/>
            <w:tcBorders>
              <w:top w:val="nil"/>
              <w:left w:val="nil"/>
              <w:bottom w:val="single" w:sz="4" w:space="0" w:color="auto"/>
              <w:right w:val="single" w:sz="4" w:space="0" w:color="auto"/>
            </w:tcBorders>
            <w:shd w:val="clear" w:color="auto" w:fill="auto"/>
            <w:noWrap/>
            <w:vAlign w:val="bottom"/>
          </w:tcPr>
          <w:p w14:paraId="1D3215E9" w14:textId="1797C659" w:rsidR="00254910" w:rsidRPr="00254910" w:rsidRDefault="00254910" w:rsidP="00254910">
            <w:pPr>
              <w:spacing w:after="0"/>
              <w:jc w:val="right"/>
              <w:rPr>
                <w:rFonts w:ascii="Calibri" w:hAnsi="Calibri"/>
                <w:color w:val="000000"/>
                <w:sz w:val="22"/>
                <w:szCs w:val="22"/>
                <w:lang w:val="en-US"/>
              </w:rPr>
            </w:pPr>
          </w:p>
        </w:tc>
        <w:tc>
          <w:tcPr>
            <w:tcW w:w="1982" w:type="dxa"/>
            <w:tcBorders>
              <w:top w:val="nil"/>
              <w:left w:val="nil"/>
              <w:bottom w:val="single" w:sz="4" w:space="0" w:color="auto"/>
              <w:right w:val="single" w:sz="4" w:space="0" w:color="auto"/>
            </w:tcBorders>
            <w:shd w:val="clear" w:color="auto" w:fill="auto"/>
            <w:noWrap/>
            <w:vAlign w:val="bottom"/>
            <w:hideMark/>
          </w:tcPr>
          <w:p w14:paraId="257F505B"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200</w:t>
            </w:r>
          </w:p>
        </w:tc>
      </w:tr>
      <w:tr w:rsidR="00254910" w:rsidRPr="00254910" w14:paraId="071F135E" w14:textId="77777777" w:rsidTr="00254910">
        <w:trPr>
          <w:trHeight w:val="277"/>
        </w:trPr>
        <w:tc>
          <w:tcPr>
            <w:tcW w:w="2332" w:type="dxa"/>
            <w:tcBorders>
              <w:top w:val="nil"/>
              <w:left w:val="single" w:sz="4" w:space="0" w:color="auto"/>
              <w:bottom w:val="nil"/>
              <w:right w:val="single" w:sz="4" w:space="0" w:color="auto"/>
            </w:tcBorders>
            <w:shd w:val="clear" w:color="auto" w:fill="auto"/>
            <w:noWrap/>
            <w:vAlign w:val="bottom"/>
            <w:hideMark/>
          </w:tcPr>
          <w:p w14:paraId="7EBB2210" w14:textId="77777777" w:rsidR="00254910" w:rsidRPr="00254910" w:rsidRDefault="00254910" w:rsidP="00254910">
            <w:pPr>
              <w:spacing w:after="0"/>
              <w:rPr>
                <w:rFonts w:ascii="Calibri" w:hAnsi="Calibri"/>
                <w:color w:val="000000"/>
                <w:sz w:val="22"/>
                <w:szCs w:val="22"/>
                <w:lang w:val="en-US"/>
              </w:rPr>
            </w:pPr>
            <w:r w:rsidRPr="00254910">
              <w:rPr>
                <w:rFonts w:ascii="Calibri" w:hAnsi="Calibri"/>
                <w:color w:val="000000"/>
                <w:sz w:val="22"/>
                <w:szCs w:val="22"/>
                <w:lang w:val="en-US"/>
              </w:rPr>
              <w:t> </w:t>
            </w:r>
          </w:p>
        </w:tc>
        <w:tc>
          <w:tcPr>
            <w:tcW w:w="1157" w:type="dxa"/>
            <w:tcBorders>
              <w:top w:val="nil"/>
              <w:left w:val="nil"/>
              <w:bottom w:val="single" w:sz="4" w:space="0" w:color="auto"/>
              <w:right w:val="single" w:sz="4" w:space="0" w:color="auto"/>
            </w:tcBorders>
            <w:shd w:val="clear" w:color="auto" w:fill="auto"/>
            <w:noWrap/>
            <w:vAlign w:val="bottom"/>
            <w:hideMark/>
          </w:tcPr>
          <w:p w14:paraId="6C16BDD7"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200</w:t>
            </w:r>
          </w:p>
        </w:tc>
        <w:tc>
          <w:tcPr>
            <w:tcW w:w="841" w:type="dxa"/>
            <w:tcBorders>
              <w:top w:val="nil"/>
              <w:left w:val="nil"/>
              <w:bottom w:val="single" w:sz="4" w:space="0" w:color="auto"/>
              <w:right w:val="single" w:sz="4" w:space="0" w:color="auto"/>
            </w:tcBorders>
            <w:shd w:val="clear" w:color="auto" w:fill="auto"/>
            <w:noWrap/>
            <w:vAlign w:val="bottom"/>
            <w:hideMark/>
          </w:tcPr>
          <w:p w14:paraId="3F7DCF07"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100</w:t>
            </w:r>
          </w:p>
        </w:tc>
        <w:tc>
          <w:tcPr>
            <w:tcW w:w="1631" w:type="dxa"/>
            <w:tcBorders>
              <w:top w:val="nil"/>
              <w:left w:val="nil"/>
              <w:bottom w:val="single" w:sz="4" w:space="0" w:color="auto"/>
              <w:right w:val="single" w:sz="4" w:space="0" w:color="auto"/>
            </w:tcBorders>
            <w:shd w:val="clear" w:color="auto" w:fill="auto"/>
            <w:noWrap/>
            <w:vAlign w:val="bottom"/>
            <w:hideMark/>
          </w:tcPr>
          <w:p w14:paraId="587C0500"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500</w:t>
            </w:r>
          </w:p>
        </w:tc>
        <w:tc>
          <w:tcPr>
            <w:tcW w:w="1631" w:type="dxa"/>
            <w:tcBorders>
              <w:top w:val="nil"/>
              <w:left w:val="nil"/>
              <w:bottom w:val="single" w:sz="4" w:space="0" w:color="auto"/>
              <w:right w:val="single" w:sz="4" w:space="0" w:color="auto"/>
            </w:tcBorders>
            <w:shd w:val="clear" w:color="000000" w:fill="92D050"/>
            <w:noWrap/>
            <w:vAlign w:val="bottom"/>
            <w:hideMark/>
          </w:tcPr>
          <w:p w14:paraId="28D8B974"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400</w:t>
            </w:r>
          </w:p>
        </w:tc>
        <w:tc>
          <w:tcPr>
            <w:tcW w:w="1982" w:type="dxa"/>
            <w:tcBorders>
              <w:top w:val="nil"/>
              <w:left w:val="nil"/>
              <w:bottom w:val="single" w:sz="4" w:space="0" w:color="auto"/>
              <w:right w:val="single" w:sz="4" w:space="0" w:color="auto"/>
            </w:tcBorders>
            <w:shd w:val="clear" w:color="auto" w:fill="auto"/>
            <w:noWrap/>
            <w:vAlign w:val="bottom"/>
            <w:hideMark/>
          </w:tcPr>
          <w:p w14:paraId="1D4F5290"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300</w:t>
            </w:r>
          </w:p>
        </w:tc>
      </w:tr>
      <w:tr w:rsidR="00254910" w:rsidRPr="00254910" w14:paraId="6D43285C" w14:textId="77777777" w:rsidTr="00254910">
        <w:trPr>
          <w:trHeight w:val="277"/>
        </w:trPr>
        <w:tc>
          <w:tcPr>
            <w:tcW w:w="2332" w:type="dxa"/>
            <w:tcBorders>
              <w:top w:val="nil"/>
              <w:left w:val="single" w:sz="4" w:space="0" w:color="auto"/>
              <w:bottom w:val="nil"/>
              <w:right w:val="single" w:sz="4" w:space="0" w:color="auto"/>
            </w:tcBorders>
            <w:shd w:val="clear" w:color="auto" w:fill="auto"/>
            <w:noWrap/>
            <w:vAlign w:val="bottom"/>
            <w:hideMark/>
          </w:tcPr>
          <w:p w14:paraId="4E36A157" w14:textId="77777777" w:rsidR="00254910" w:rsidRPr="00254910" w:rsidRDefault="00254910" w:rsidP="00254910">
            <w:pPr>
              <w:spacing w:after="0"/>
              <w:rPr>
                <w:rFonts w:ascii="Calibri" w:hAnsi="Calibri"/>
                <w:color w:val="000000"/>
                <w:sz w:val="22"/>
                <w:szCs w:val="22"/>
                <w:lang w:val="en-US"/>
              </w:rPr>
            </w:pPr>
            <w:r w:rsidRPr="00254910">
              <w:rPr>
                <w:rFonts w:ascii="Calibri" w:hAnsi="Calibri"/>
                <w:color w:val="000000"/>
                <w:sz w:val="22"/>
                <w:szCs w:val="22"/>
                <w:lang w:val="en-US"/>
              </w:rPr>
              <w:t> </w:t>
            </w:r>
          </w:p>
        </w:tc>
        <w:tc>
          <w:tcPr>
            <w:tcW w:w="1157" w:type="dxa"/>
            <w:tcBorders>
              <w:top w:val="nil"/>
              <w:left w:val="nil"/>
              <w:bottom w:val="single" w:sz="4" w:space="0" w:color="auto"/>
              <w:right w:val="single" w:sz="4" w:space="0" w:color="auto"/>
            </w:tcBorders>
            <w:shd w:val="clear" w:color="auto" w:fill="auto"/>
            <w:noWrap/>
            <w:vAlign w:val="bottom"/>
            <w:hideMark/>
          </w:tcPr>
          <w:p w14:paraId="20D8562E"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800</w:t>
            </w:r>
          </w:p>
        </w:tc>
        <w:tc>
          <w:tcPr>
            <w:tcW w:w="841" w:type="dxa"/>
            <w:tcBorders>
              <w:top w:val="nil"/>
              <w:left w:val="nil"/>
              <w:bottom w:val="single" w:sz="4" w:space="0" w:color="auto"/>
              <w:right w:val="single" w:sz="4" w:space="0" w:color="auto"/>
            </w:tcBorders>
            <w:shd w:val="clear" w:color="auto" w:fill="auto"/>
            <w:noWrap/>
            <w:vAlign w:val="bottom"/>
            <w:hideMark/>
          </w:tcPr>
          <w:p w14:paraId="266EF8CE"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100</w:t>
            </w:r>
          </w:p>
        </w:tc>
        <w:tc>
          <w:tcPr>
            <w:tcW w:w="1631" w:type="dxa"/>
            <w:tcBorders>
              <w:top w:val="nil"/>
              <w:left w:val="nil"/>
              <w:bottom w:val="single" w:sz="4" w:space="0" w:color="auto"/>
              <w:right w:val="single" w:sz="4" w:space="0" w:color="auto"/>
            </w:tcBorders>
            <w:shd w:val="clear" w:color="auto" w:fill="auto"/>
            <w:noWrap/>
            <w:vAlign w:val="bottom"/>
            <w:hideMark/>
          </w:tcPr>
          <w:p w14:paraId="0A4BC55D"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2000</w:t>
            </w:r>
          </w:p>
        </w:tc>
        <w:tc>
          <w:tcPr>
            <w:tcW w:w="1631" w:type="dxa"/>
            <w:tcBorders>
              <w:top w:val="nil"/>
              <w:left w:val="nil"/>
              <w:bottom w:val="single" w:sz="4" w:space="0" w:color="auto"/>
              <w:right w:val="single" w:sz="4" w:space="0" w:color="auto"/>
            </w:tcBorders>
            <w:shd w:val="clear" w:color="000000" w:fill="92D050"/>
            <w:noWrap/>
            <w:vAlign w:val="bottom"/>
            <w:hideMark/>
          </w:tcPr>
          <w:p w14:paraId="17DF420D"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1300</w:t>
            </w:r>
          </w:p>
        </w:tc>
        <w:tc>
          <w:tcPr>
            <w:tcW w:w="1982" w:type="dxa"/>
            <w:tcBorders>
              <w:top w:val="nil"/>
              <w:left w:val="nil"/>
              <w:bottom w:val="single" w:sz="4" w:space="0" w:color="auto"/>
              <w:right w:val="single" w:sz="4" w:space="0" w:color="auto"/>
            </w:tcBorders>
            <w:shd w:val="clear" w:color="auto" w:fill="auto"/>
            <w:noWrap/>
            <w:vAlign w:val="bottom"/>
            <w:hideMark/>
          </w:tcPr>
          <w:p w14:paraId="6AF5A837"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900</w:t>
            </w:r>
          </w:p>
        </w:tc>
      </w:tr>
      <w:tr w:rsidR="00254910" w:rsidRPr="00254910" w14:paraId="42B99BED" w14:textId="77777777" w:rsidTr="00254910">
        <w:trPr>
          <w:trHeight w:val="277"/>
        </w:trPr>
        <w:tc>
          <w:tcPr>
            <w:tcW w:w="2332" w:type="dxa"/>
            <w:tcBorders>
              <w:top w:val="nil"/>
              <w:left w:val="single" w:sz="4" w:space="0" w:color="auto"/>
              <w:bottom w:val="single" w:sz="4" w:space="0" w:color="auto"/>
              <w:right w:val="single" w:sz="4" w:space="0" w:color="auto"/>
            </w:tcBorders>
            <w:shd w:val="clear" w:color="auto" w:fill="auto"/>
            <w:noWrap/>
            <w:vAlign w:val="bottom"/>
            <w:hideMark/>
          </w:tcPr>
          <w:p w14:paraId="44703E4B" w14:textId="77777777" w:rsidR="00254910" w:rsidRPr="00254910" w:rsidRDefault="00254910" w:rsidP="00254910">
            <w:pPr>
              <w:spacing w:after="0"/>
              <w:rPr>
                <w:rFonts w:ascii="Calibri" w:hAnsi="Calibri"/>
                <w:color w:val="000000"/>
                <w:sz w:val="22"/>
                <w:szCs w:val="22"/>
                <w:lang w:val="en-US"/>
              </w:rPr>
            </w:pPr>
            <w:r w:rsidRPr="00254910">
              <w:rPr>
                <w:rFonts w:ascii="Calibri" w:hAnsi="Calibri"/>
                <w:color w:val="000000"/>
                <w:sz w:val="22"/>
                <w:szCs w:val="22"/>
                <w:lang w:val="en-US"/>
              </w:rPr>
              <w:t> </w:t>
            </w:r>
          </w:p>
        </w:tc>
        <w:tc>
          <w:tcPr>
            <w:tcW w:w="1157" w:type="dxa"/>
            <w:tcBorders>
              <w:top w:val="nil"/>
              <w:left w:val="nil"/>
              <w:bottom w:val="single" w:sz="4" w:space="0" w:color="auto"/>
              <w:right w:val="single" w:sz="4" w:space="0" w:color="auto"/>
            </w:tcBorders>
            <w:shd w:val="clear" w:color="auto" w:fill="auto"/>
            <w:noWrap/>
            <w:vAlign w:val="bottom"/>
            <w:hideMark/>
          </w:tcPr>
          <w:p w14:paraId="21129A3D"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1000</w:t>
            </w:r>
          </w:p>
        </w:tc>
        <w:tc>
          <w:tcPr>
            <w:tcW w:w="841" w:type="dxa"/>
            <w:tcBorders>
              <w:top w:val="nil"/>
              <w:left w:val="nil"/>
              <w:bottom w:val="single" w:sz="4" w:space="0" w:color="auto"/>
              <w:right w:val="single" w:sz="4" w:space="0" w:color="auto"/>
            </w:tcBorders>
            <w:shd w:val="clear" w:color="auto" w:fill="auto"/>
            <w:noWrap/>
            <w:vAlign w:val="bottom"/>
            <w:hideMark/>
          </w:tcPr>
          <w:p w14:paraId="61B3EB94"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100</w:t>
            </w:r>
          </w:p>
        </w:tc>
        <w:tc>
          <w:tcPr>
            <w:tcW w:w="1631" w:type="dxa"/>
            <w:tcBorders>
              <w:top w:val="nil"/>
              <w:left w:val="nil"/>
              <w:bottom w:val="single" w:sz="4" w:space="0" w:color="auto"/>
              <w:right w:val="single" w:sz="4" w:space="0" w:color="auto"/>
            </w:tcBorders>
            <w:shd w:val="clear" w:color="auto" w:fill="auto"/>
            <w:noWrap/>
            <w:vAlign w:val="bottom"/>
            <w:hideMark/>
          </w:tcPr>
          <w:p w14:paraId="4E61694D"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2500</w:t>
            </w:r>
          </w:p>
        </w:tc>
        <w:tc>
          <w:tcPr>
            <w:tcW w:w="1631" w:type="dxa"/>
            <w:tcBorders>
              <w:top w:val="nil"/>
              <w:left w:val="nil"/>
              <w:bottom w:val="single" w:sz="4" w:space="0" w:color="auto"/>
              <w:right w:val="single" w:sz="4" w:space="0" w:color="auto"/>
            </w:tcBorders>
            <w:shd w:val="clear" w:color="000000" w:fill="92D050"/>
            <w:noWrap/>
            <w:vAlign w:val="bottom"/>
            <w:hideMark/>
          </w:tcPr>
          <w:p w14:paraId="0A119554"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1600</w:t>
            </w:r>
          </w:p>
        </w:tc>
        <w:tc>
          <w:tcPr>
            <w:tcW w:w="1982" w:type="dxa"/>
            <w:tcBorders>
              <w:top w:val="nil"/>
              <w:left w:val="nil"/>
              <w:bottom w:val="single" w:sz="4" w:space="0" w:color="auto"/>
              <w:right w:val="single" w:sz="4" w:space="0" w:color="auto"/>
            </w:tcBorders>
            <w:shd w:val="clear" w:color="auto" w:fill="auto"/>
            <w:noWrap/>
            <w:vAlign w:val="bottom"/>
            <w:hideMark/>
          </w:tcPr>
          <w:p w14:paraId="5F9A6FA3"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1100</w:t>
            </w:r>
          </w:p>
        </w:tc>
      </w:tr>
      <w:tr w:rsidR="00254910" w:rsidRPr="00254910" w14:paraId="333C05A2" w14:textId="77777777" w:rsidTr="0073289E">
        <w:trPr>
          <w:trHeight w:val="277"/>
        </w:trPr>
        <w:tc>
          <w:tcPr>
            <w:tcW w:w="2332" w:type="dxa"/>
            <w:tcBorders>
              <w:top w:val="nil"/>
              <w:left w:val="single" w:sz="4" w:space="0" w:color="auto"/>
              <w:bottom w:val="nil"/>
              <w:right w:val="single" w:sz="4" w:space="0" w:color="auto"/>
            </w:tcBorders>
            <w:shd w:val="clear" w:color="auto" w:fill="auto"/>
            <w:noWrap/>
            <w:vAlign w:val="bottom"/>
            <w:hideMark/>
          </w:tcPr>
          <w:p w14:paraId="659FB986" w14:textId="77777777" w:rsidR="00254910" w:rsidRPr="00254910" w:rsidRDefault="00254910" w:rsidP="00254910">
            <w:pPr>
              <w:spacing w:after="0"/>
              <w:rPr>
                <w:rFonts w:ascii="Calibri" w:hAnsi="Calibri"/>
                <w:color w:val="000000"/>
                <w:sz w:val="22"/>
                <w:szCs w:val="22"/>
                <w:lang w:val="en-US"/>
              </w:rPr>
            </w:pPr>
            <w:r w:rsidRPr="00254910">
              <w:rPr>
                <w:rFonts w:ascii="Calibri" w:hAnsi="Calibri"/>
                <w:color w:val="000000"/>
                <w:sz w:val="22"/>
                <w:szCs w:val="22"/>
              </w:rPr>
              <w:t xml:space="preserve">10 GHz </w:t>
            </w:r>
            <w:r w:rsidRPr="00254910">
              <w:rPr>
                <w:rFonts w:ascii="Symbol" w:hAnsi="Symbol"/>
                <w:color w:val="000000"/>
                <w:sz w:val="18"/>
                <w:szCs w:val="18"/>
              </w:rPr>
              <w:t></w:t>
            </w:r>
            <w:r w:rsidRPr="00254910">
              <w:rPr>
                <w:rFonts w:ascii="Arial" w:hAnsi="Arial" w:cs="Arial"/>
                <w:color w:val="000000"/>
                <w:sz w:val="18"/>
                <w:szCs w:val="18"/>
              </w:rPr>
              <w:t xml:space="preserve"> </w:t>
            </w:r>
            <w:r w:rsidRPr="00254910">
              <w:rPr>
                <w:rFonts w:ascii="Arial" w:hAnsi="Arial" w:cs="Arial"/>
                <w:i/>
                <w:iCs/>
                <w:color w:val="000000"/>
                <w:sz w:val="18"/>
                <w:szCs w:val="18"/>
              </w:rPr>
              <w:t>f</w:t>
            </w:r>
            <w:r w:rsidRPr="00254910">
              <w:rPr>
                <w:rFonts w:ascii="Arial" w:hAnsi="Arial" w:cs="Arial"/>
                <w:i/>
                <w:iCs/>
                <w:color w:val="000000"/>
                <w:sz w:val="16"/>
                <w:szCs w:val="16"/>
              </w:rPr>
              <w:t>c</w:t>
            </w:r>
            <w:r w:rsidRPr="00254910">
              <w:rPr>
                <w:rFonts w:ascii="Arial" w:hAnsi="Arial" w:cs="Arial"/>
                <w:color w:val="000000"/>
                <w:sz w:val="18"/>
                <w:szCs w:val="18"/>
              </w:rPr>
              <w:t> </w:t>
            </w:r>
            <w:r w:rsidRPr="00254910">
              <w:rPr>
                <w:rFonts w:ascii="Symbol" w:hAnsi="Symbol"/>
                <w:color w:val="000000"/>
                <w:sz w:val="18"/>
                <w:szCs w:val="18"/>
              </w:rPr>
              <w:t></w:t>
            </w:r>
            <w:r w:rsidRPr="00254910">
              <w:rPr>
                <w:rFonts w:ascii="Arial" w:hAnsi="Arial" w:cs="Arial"/>
                <w:color w:val="000000"/>
                <w:sz w:val="18"/>
                <w:szCs w:val="18"/>
              </w:rPr>
              <w:t xml:space="preserve"> 15 GHz</w:t>
            </w:r>
          </w:p>
        </w:tc>
        <w:tc>
          <w:tcPr>
            <w:tcW w:w="1157" w:type="dxa"/>
            <w:tcBorders>
              <w:top w:val="nil"/>
              <w:left w:val="nil"/>
              <w:bottom w:val="single" w:sz="4" w:space="0" w:color="auto"/>
              <w:right w:val="single" w:sz="4" w:space="0" w:color="auto"/>
            </w:tcBorders>
            <w:shd w:val="clear" w:color="auto" w:fill="auto"/>
            <w:noWrap/>
            <w:vAlign w:val="bottom"/>
            <w:hideMark/>
          </w:tcPr>
          <w:p w14:paraId="3B9D2F22"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40</w:t>
            </w:r>
          </w:p>
        </w:tc>
        <w:tc>
          <w:tcPr>
            <w:tcW w:w="841" w:type="dxa"/>
            <w:tcBorders>
              <w:top w:val="nil"/>
              <w:left w:val="nil"/>
              <w:bottom w:val="single" w:sz="4" w:space="0" w:color="auto"/>
              <w:right w:val="single" w:sz="4" w:space="0" w:color="auto"/>
            </w:tcBorders>
            <w:shd w:val="clear" w:color="auto" w:fill="auto"/>
            <w:noWrap/>
            <w:vAlign w:val="bottom"/>
            <w:hideMark/>
          </w:tcPr>
          <w:p w14:paraId="182602F2"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250</w:t>
            </w:r>
          </w:p>
        </w:tc>
        <w:tc>
          <w:tcPr>
            <w:tcW w:w="1631" w:type="dxa"/>
            <w:tcBorders>
              <w:top w:val="nil"/>
              <w:left w:val="nil"/>
              <w:bottom w:val="single" w:sz="4" w:space="0" w:color="auto"/>
              <w:right w:val="single" w:sz="4" w:space="0" w:color="auto"/>
            </w:tcBorders>
            <w:shd w:val="clear" w:color="000000" w:fill="92D050"/>
            <w:noWrap/>
            <w:vAlign w:val="bottom"/>
            <w:hideMark/>
          </w:tcPr>
          <w:p w14:paraId="054BBE5B"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100</w:t>
            </w:r>
          </w:p>
        </w:tc>
        <w:tc>
          <w:tcPr>
            <w:tcW w:w="1631" w:type="dxa"/>
            <w:tcBorders>
              <w:top w:val="nil"/>
              <w:left w:val="nil"/>
              <w:bottom w:val="single" w:sz="4" w:space="0" w:color="auto"/>
              <w:right w:val="single" w:sz="4" w:space="0" w:color="auto"/>
            </w:tcBorders>
            <w:shd w:val="clear" w:color="auto" w:fill="auto"/>
            <w:noWrap/>
            <w:vAlign w:val="bottom"/>
          </w:tcPr>
          <w:p w14:paraId="45D264A0" w14:textId="34A0FA48" w:rsidR="00254910" w:rsidRPr="00254910" w:rsidRDefault="00254910" w:rsidP="00254910">
            <w:pPr>
              <w:spacing w:after="0"/>
              <w:jc w:val="right"/>
              <w:rPr>
                <w:rFonts w:ascii="Calibri" w:hAnsi="Calibri"/>
                <w:color w:val="000000"/>
                <w:sz w:val="22"/>
                <w:szCs w:val="22"/>
                <w:lang w:val="en-US"/>
              </w:rPr>
            </w:pPr>
          </w:p>
        </w:tc>
        <w:tc>
          <w:tcPr>
            <w:tcW w:w="1982" w:type="dxa"/>
            <w:tcBorders>
              <w:top w:val="nil"/>
              <w:left w:val="nil"/>
              <w:bottom w:val="single" w:sz="4" w:space="0" w:color="auto"/>
              <w:right w:val="single" w:sz="4" w:space="0" w:color="auto"/>
            </w:tcBorders>
            <w:shd w:val="clear" w:color="auto" w:fill="auto"/>
            <w:noWrap/>
            <w:vAlign w:val="bottom"/>
            <w:hideMark/>
          </w:tcPr>
          <w:p w14:paraId="336B377A"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80</w:t>
            </w:r>
          </w:p>
        </w:tc>
      </w:tr>
      <w:tr w:rsidR="00254910" w:rsidRPr="00254910" w14:paraId="11261D45" w14:textId="77777777" w:rsidTr="0073289E">
        <w:trPr>
          <w:trHeight w:val="277"/>
        </w:trPr>
        <w:tc>
          <w:tcPr>
            <w:tcW w:w="2332" w:type="dxa"/>
            <w:tcBorders>
              <w:top w:val="nil"/>
              <w:left w:val="single" w:sz="4" w:space="0" w:color="auto"/>
              <w:bottom w:val="nil"/>
              <w:right w:val="single" w:sz="4" w:space="0" w:color="auto"/>
            </w:tcBorders>
            <w:shd w:val="clear" w:color="auto" w:fill="auto"/>
            <w:noWrap/>
            <w:vAlign w:val="bottom"/>
            <w:hideMark/>
          </w:tcPr>
          <w:p w14:paraId="17C2D6B2" w14:textId="77777777" w:rsidR="00254910" w:rsidRPr="00254910" w:rsidRDefault="00254910" w:rsidP="00254910">
            <w:pPr>
              <w:spacing w:after="0"/>
              <w:rPr>
                <w:rFonts w:ascii="Calibri" w:hAnsi="Calibri"/>
                <w:color w:val="000000"/>
                <w:sz w:val="22"/>
                <w:szCs w:val="22"/>
                <w:lang w:val="en-US"/>
              </w:rPr>
            </w:pPr>
            <w:r w:rsidRPr="00254910">
              <w:rPr>
                <w:rFonts w:ascii="Calibri" w:hAnsi="Calibri"/>
                <w:color w:val="000000"/>
                <w:sz w:val="22"/>
                <w:szCs w:val="22"/>
                <w:lang w:val="en-US"/>
              </w:rPr>
              <w:t> </w:t>
            </w:r>
          </w:p>
        </w:tc>
        <w:tc>
          <w:tcPr>
            <w:tcW w:w="1157" w:type="dxa"/>
            <w:tcBorders>
              <w:top w:val="nil"/>
              <w:left w:val="nil"/>
              <w:bottom w:val="single" w:sz="4" w:space="0" w:color="auto"/>
              <w:right w:val="single" w:sz="4" w:space="0" w:color="auto"/>
            </w:tcBorders>
            <w:shd w:val="clear" w:color="auto" w:fill="auto"/>
            <w:noWrap/>
            <w:vAlign w:val="bottom"/>
            <w:hideMark/>
          </w:tcPr>
          <w:p w14:paraId="28B31C6B"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100</w:t>
            </w:r>
          </w:p>
        </w:tc>
        <w:tc>
          <w:tcPr>
            <w:tcW w:w="841" w:type="dxa"/>
            <w:tcBorders>
              <w:top w:val="nil"/>
              <w:left w:val="nil"/>
              <w:bottom w:val="single" w:sz="4" w:space="0" w:color="auto"/>
              <w:right w:val="single" w:sz="4" w:space="0" w:color="auto"/>
            </w:tcBorders>
            <w:shd w:val="clear" w:color="auto" w:fill="auto"/>
            <w:noWrap/>
            <w:vAlign w:val="bottom"/>
            <w:hideMark/>
          </w:tcPr>
          <w:p w14:paraId="7A55FFB9"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250</w:t>
            </w:r>
          </w:p>
        </w:tc>
        <w:tc>
          <w:tcPr>
            <w:tcW w:w="1631" w:type="dxa"/>
            <w:tcBorders>
              <w:top w:val="nil"/>
              <w:left w:val="nil"/>
              <w:bottom w:val="single" w:sz="4" w:space="0" w:color="auto"/>
              <w:right w:val="single" w:sz="4" w:space="0" w:color="auto"/>
            </w:tcBorders>
            <w:shd w:val="clear" w:color="000000" w:fill="92D050"/>
            <w:noWrap/>
            <w:vAlign w:val="bottom"/>
            <w:hideMark/>
          </w:tcPr>
          <w:p w14:paraId="504047A7"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250</w:t>
            </w:r>
          </w:p>
        </w:tc>
        <w:tc>
          <w:tcPr>
            <w:tcW w:w="1631" w:type="dxa"/>
            <w:tcBorders>
              <w:top w:val="nil"/>
              <w:left w:val="nil"/>
              <w:bottom w:val="single" w:sz="4" w:space="0" w:color="auto"/>
              <w:right w:val="single" w:sz="4" w:space="0" w:color="auto"/>
            </w:tcBorders>
            <w:shd w:val="clear" w:color="auto" w:fill="auto"/>
            <w:noWrap/>
            <w:vAlign w:val="bottom"/>
          </w:tcPr>
          <w:p w14:paraId="4D09BDCA" w14:textId="1EAE6D9B" w:rsidR="00254910" w:rsidRPr="00254910" w:rsidRDefault="00254910" w:rsidP="00254910">
            <w:pPr>
              <w:spacing w:after="0"/>
              <w:jc w:val="right"/>
              <w:rPr>
                <w:rFonts w:ascii="Calibri" w:hAnsi="Calibri"/>
                <w:color w:val="000000"/>
                <w:sz w:val="22"/>
                <w:szCs w:val="22"/>
                <w:lang w:val="en-US"/>
              </w:rPr>
            </w:pPr>
          </w:p>
        </w:tc>
        <w:tc>
          <w:tcPr>
            <w:tcW w:w="1982" w:type="dxa"/>
            <w:tcBorders>
              <w:top w:val="nil"/>
              <w:left w:val="nil"/>
              <w:bottom w:val="single" w:sz="4" w:space="0" w:color="auto"/>
              <w:right w:val="single" w:sz="4" w:space="0" w:color="auto"/>
            </w:tcBorders>
            <w:shd w:val="clear" w:color="auto" w:fill="auto"/>
            <w:noWrap/>
            <w:vAlign w:val="bottom"/>
            <w:hideMark/>
          </w:tcPr>
          <w:p w14:paraId="09C2CC59"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200</w:t>
            </w:r>
          </w:p>
        </w:tc>
      </w:tr>
      <w:tr w:rsidR="008657E1" w:rsidRPr="00254910" w14:paraId="5B7ACD43" w14:textId="77777777" w:rsidTr="008657E1">
        <w:trPr>
          <w:trHeight w:val="277"/>
        </w:trPr>
        <w:tc>
          <w:tcPr>
            <w:tcW w:w="2332" w:type="dxa"/>
            <w:tcBorders>
              <w:top w:val="nil"/>
              <w:left w:val="single" w:sz="4" w:space="0" w:color="auto"/>
              <w:bottom w:val="nil"/>
              <w:right w:val="single" w:sz="4" w:space="0" w:color="auto"/>
            </w:tcBorders>
            <w:shd w:val="clear" w:color="auto" w:fill="auto"/>
            <w:noWrap/>
            <w:vAlign w:val="bottom"/>
          </w:tcPr>
          <w:p w14:paraId="46224A78" w14:textId="77777777" w:rsidR="008657E1" w:rsidRPr="00254910" w:rsidRDefault="008657E1" w:rsidP="00254910">
            <w:pPr>
              <w:spacing w:after="0"/>
              <w:rPr>
                <w:rFonts w:ascii="Calibri" w:hAnsi="Calibri"/>
                <w:color w:val="000000"/>
                <w:sz w:val="22"/>
                <w:szCs w:val="22"/>
                <w:lang w:val="en-US"/>
              </w:rPr>
            </w:pPr>
          </w:p>
        </w:tc>
        <w:tc>
          <w:tcPr>
            <w:tcW w:w="1157" w:type="dxa"/>
            <w:tcBorders>
              <w:top w:val="nil"/>
              <w:left w:val="nil"/>
              <w:bottom w:val="single" w:sz="4" w:space="0" w:color="auto"/>
              <w:right w:val="single" w:sz="4" w:space="0" w:color="auto"/>
            </w:tcBorders>
            <w:shd w:val="clear" w:color="auto" w:fill="auto"/>
            <w:noWrap/>
            <w:vAlign w:val="bottom"/>
          </w:tcPr>
          <w:p w14:paraId="2C8FC30C" w14:textId="11217A08" w:rsidR="008657E1" w:rsidRPr="00254910" w:rsidRDefault="008657E1" w:rsidP="00254910">
            <w:pPr>
              <w:spacing w:after="0"/>
              <w:jc w:val="right"/>
              <w:rPr>
                <w:rFonts w:ascii="Calibri" w:hAnsi="Calibri"/>
                <w:color w:val="000000"/>
                <w:sz w:val="22"/>
                <w:szCs w:val="22"/>
                <w:lang w:val="en-US"/>
              </w:rPr>
            </w:pPr>
            <w:r>
              <w:rPr>
                <w:rFonts w:ascii="Calibri" w:hAnsi="Calibri"/>
                <w:color w:val="000000"/>
                <w:sz w:val="22"/>
                <w:szCs w:val="22"/>
                <w:lang w:val="en-US"/>
              </w:rPr>
              <w:t>200</w:t>
            </w:r>
          </w:p>
        </w:tc>
        <w:tc>
          <w:tcPr>
            <w:tcW w:w="841" w:type="dxa"/>
            <w:tcBorders>
              <w:top w:val="nil"/>
              <w:left w:val="nil"/>
              <w:bottom w:val="single" w:sz="4" w:space="0" w:color="auto"/>
              <w:right w:val="single" w:sz="4" w:space="0" w:color="auto"/>
            </w:tcBorders>
            <w:shd w:val="clear" w:color="auto" w:fill="auto"/>
            <w:noWrap/>
            <w:vAlign w:val="bottom"/>
          </w:tcPr>
          <w:p w14:paraId="223A7AF4" w14:textId="4C532D98" w:rsidR="008657E1" w:rsidRPr="00254910" w:rsidRDefault="008657E1" w:rsidP="00254910">
            <w:pPr>
              <w:spacing w:after="0"/>
              <w:jc w:val="right"/>
              <w:rPr>
                <w:rFonts w:ascii="Calibri" w:hAnsi="Calibri"/>
                <w:color w:val="000000"/>
                <w:sz w:val="22"/>
                <w:szCs w:val="22"/>
                <w:lang w:val="en-US"/>
              </w:rPr>
            </w:pPr>
            <w:r>
              <w:rPr>
                <w:rFonts w:ascii="Calibri" w:hAnsi="Calibri"/>
                <w:color w:val="000000"/>
                <w:sz w:val="22"/>
                <w:szCs w:val="22"/>
                <w:lang w:val="en-US"/>
              </w:rPr>
              <w:t>250</w:t>
            </w:r>
          </w:p>
        </w:tc>
        <w:tc>
          <w:tcPr>
            <w:tcW w:w="1631" w:type="dxa"/>
            <w:tcBorders>
              <w:top w:val="nil"/>
              <w:left w:val="nil"/>
              <w:bottom w:val="single" w:sz="4" w:space="0" w:color="auto"/>
              <w:right w:val="single" w:sz="4" w:space="0" w:color="auto"/>
            </w:tcBorders>
            <w:shd w:val="clear" w:color="000000" w:fill="92D050"/>
            <w:noWrap/>
            <w:vAlign w:val="bottom"/>
          </w:tcPr>
          <w:p w14:paraId="388BA314" w14:textId="2E08EBE6" w:rsidR="008657E1" w:rsidRPr="00254910" w:rsidRDefault="008657E1" w:rsidP="00254910">
            <w:pPr>
              <w:spacing w:after="0"/>
              <w:jc w:val="right"/>
              <w:rPr>
                <w:rFonts w:ascii="Calibri" w:hAnsi="Calibri"/>
                <w:color w:val="000000"/>
                <w:sz w:val="22"/>
                <w:szCs w:val="22"/>
                <w:lang w:val="en-US"/>
              </w:rPr>
            </w:pPr>
            <w:r>
              <w:rPr>
                <w:rFonts w:ascii="Calibri" w:hAnsi="Calibri"/>
                <w:color w:val="000000"/>
                <w:sz w:val="22"/>
                <w:szCs w:val="22"/>
                <w:lang w:val="en-US"/>
              </w:rPr>
              <w:t>500</w:t>
            </w:r>
          </w:p>
        </w:tc>
        <w:tc>
          <w:tcPr>
            <w:tcW w:w="1631" w:type="dxa"/>
            <w:tcBorders>
              <w:top w:val="nil"/>
              <w:left w:val="nil"/>
              <w:bottom w:val="single" w:sz="4" w:space="0" w:color="auto"/>
              <w:right w:val="single" w:sz="4" w:space="0" w:color="auto"/>
            </w:tcBorders>
            <w:shd w:val="clear" w:color="auto" w:fill="auto"/>
            <w:noWrap/>
            <w:vAlign w:val="bottom"/>
          </w:tcPr>
          <w:p w14:paraId="5FFC1832" w14:textId="24AF97CC" w:rsidR="008657E1" w:rsidRPr="00254910" w:rsidRDefault="008657E1" w:rsidP="00254910">
            <w:pPr>
              <w:spacing w:after="0"/>
              <w:jc w:val="right"/>
              <w:rPr>
                <w:rFonts w:ascii="Calibri" w:hAnsi="Calibri"/>
                <w:color w:val="000000"/>
                <w:sz w:val="22"/>
                <w:szCs w:val="22"/>
                <w:lang w:val="en-US"/>
              </w:rPr>
            </w:pPr>
          </w:p>
        </w:tc>
        <w:tc>
          <w:tcPr>
            <w:tcW w:w="1982" w:type="dxa"/>
            <w:tcBorders>
              <w:top w:val="nil"/>
              <w:left w:val="nil"/>
              <w:bottom w:val="single" w:sz="4" w:space="0" w:color="auto"/>
              <w:right w:val="single" w:sz="4" w:space="0" w:color="auto"/>
            </w:tcBorders>
            <w:shd w:val="clear" w:color="auto" w:fill="auto"/>
            <w:noWrap/>
            <w:vAlign w:val="bottom"/>
          </w:tcPr>
          <w:p w14:paraId="65391F83" w14:textId="0DB2C852" w:rsidR="008657E1" w:rsidRPr="00254910" w:rsidRDefault="008657E1" w:rsidP="00254910">
            <w:pPr>
              <w:spacing w:after="0"/>
              <w:jc w:val="right"/>
              <w:rPr>
                <w:rFonts w:ascii="Calibri" w:hAnsi="Calibri"/>
                <w:color w:val="000000"/>
                <w:sz w:val="22"/>
                <w:szCs w:val="22"/>
                <w:lang w:val="en-US"/>
              </w:rPr>
            </w:pPr>
            <w:r>
              <w:rPr>
                <w:rFonts w:ascii="Calibri" w:hAnsi="Calibri"/>
                <w:color w:val="000000"/>
                <w:sz w:val="22"/>
                <w:szCs w:val="22"/>
                <w:lang w:val="en-US"/>
              </w:rPr>
              <w:t>400</w:t>
            </w:r>
          </w:p>
        </w:tc>
      </w:tr>
      <w:tr w:rsidR="00254910" w:rsidRPr="00254910" w14:paraId="2FE1FE86" w14:textId="77777777" w:rsidTr="0073289E">
        <w:trPr>
          <w:trHeight w:val="277"/>
        </w:trPr>
        <w:tc>
          <w:tcPr>
            <w:tcW w:w="2332" w:type="dxa"/>
            <w:tcBorders>
              <w:top w:val="nil"/>
              <w:left w:val="single" w:sz="4" w:space="0" w:color="auto"/>
              <w:bottom w:val="nil"/>
              <w:right w:val="single" w:sz="4" w:space="0" w:color="auto"/>
            </w:tcBorders>
            <w:shd w:val="clear" w:color="auto" w:fill="auto"/>
            <w:noWrap/>
            <w:vAlign w:val="bottom"/>
            <w:hideMark/>
          </w:tcPr>
          <w:p w14:paraId="7E3D969C" w14:textId="77777777" w:rsidR="00254910" w:rsidRPr="00254910" w:rsidRDefault="00254910" w:rsidP="00254910">
            <w:pPr>
              <w:spacing w:after="0"/>
              <w:rPr>
                <w:rFonts w:ascii="Calibri" w:hAnsi="Calibri"/>
                <w:color w:val="000000"/>
                <w:sz w:val="22"/>
                <w:szCs w:val="22"/>
                <w:lang w:val="en-US"/>
              </w:rPr>
            </w:pPr>
            <w:r w:rsidRPr="00254910">
              <w:rPr>
                <w:rFonts w:ascii="Calibri" w:hAnsi="Calibri"/>
                <w:color w:val="000000"/>
                <w:sz w:val="22"/>
                <w:szCs w:val="22"/>
                <w:lang w:val="en-US"/>
              </w:rPr>
              <w:t> </w:t>
            </w:r>
          </w:p>
        </w:tc>
        <w:tc>
          <w:tcPr>
            <w:tcW w:w="1157" w:type="dxa"/>
            <w:tcBorders>
              <w:top w:val="nil"/>
              <w:left w:val="nil"/>
              <w:bottom w:val="single" w:sz="4" w:space="0" w:color="auto"/>
              <w:right w:val="single" w:sz="4" w:space="0" w:color="auto"/>
            </w:tcBorders>
            <w:shd w:val="clear" w:color="000000" w:fill="FFC000"/>
            <w:noWrap/>
            <w:vAlign w:val="bottom"/>
            <w:hideMark/>
          </w:tcPr>
          <w:p w14:paraId="1BC7E7DE"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250</w:t>
            </w:r>
          </w:p>
        </w:tc>
        <w:tc>
          <w:tcPr>
            <w:tcW w:w="841" w:type="dxa"/>
            <w:tcBorders>
              <w:top w:val="nil"/>
              <w:left w:val="nil"/>
              <w:bottom w:val="single" w:sz="4" w:space="0" w:color="auto"/>
              <w:right w:val="single" w:sz="4" w:space="0" w:color="auto"/>
            </w:tcBorders>
            <w:shd w:val="clear" w:color="000000" w:fill="FFC000"/>
            <w:noWrap/>
            <w:vAlign w:val="bottom"/>
            <w:hideMark/>
          </w:tcPr>
          <w:p w14:paraId="5F16F99A"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250</w:t>
            </w:r>
          </w:p>
        </w:tc>
        <w:tc>
          <w:tcPr>
            <w:tcW w:w="1631" w:type="dxa"/>
            <w:tcBorders>
              <w:top w:val="nil"/>
              <w:left w:val="nil"/>
              <w:bottom w:val="single" w:sz="4" w:space="0" w:color="auto"/>
              <w:right w:val="single" w:sz="4" w:space="0" w:color="auto"/>
            </w:tcBorders>
            <w:shd w:val="clear" w:color="000000" w:fill="92D050"/>
            <w:noWrap/>
            <w:vAlign w:val="bottom"/>
            <w:hideMark/>
          </w:tcPr>
          <w:p w14:paraId="0F726D81"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625</w:t>
            </w:r>
          </w:p>
        </w:tc>
        <w:tc>
          <w:tcPr>
            <w:tcW w:w="1631" w:type="dxa"/>
            <w:tcBorders>
              <w:top w:val="nil"/>
              <w:left w:val="nil"/>
              <w:bottom w:val="single" w:sz="4" w:space="0" w:color="auto"/>
              <w:right w:val="single" w:sz="4" w:space="0" w:color="auto"/>
            </w:tcBorders>
            <w:shd w:val="clear" w:color="auto" w:fill="auto"/>
            <w:noWrap/>
            <w:vAlign w:val="bottom"/>
          </w:tcPr>
          <w:p w14:paraId="33DF9833" w14:textId="7F5F2155" w:rsidR="00254910" w:rsidRPr="00254910" w:rsidRDefault="00254910" w:rsidP="00254910">
            <w:pPr>
              <w:spacing w:after="0"/>
              <w:jc w:val="right"/>
              <w:rPr>
                <w:rFonts w:ascii="Calibri" w:hAnsi="Calibri"/>
                <w:color w:val="000000"/>
                <w:sz w:val="22"/>
                <w:szCs w:val="22"/>
                <w:lang w:val="en-US"/>
              </w:rPr>
            </w:pPr>
          </w:p>
        </w:tc>
        <w:tc>
          <w:tcPr>
            <w:tcW w:w="1982" w:type="dxa"/>
            <w:tcBorders>
              <w:top w:val="nil"/>
              <w:left w:val="nil"/>
              <w:bottom w:val="single" w:sz="4" w:space="0" w:color="auto"/>
              <w:right w:val="single" w:sz="4" w:space="0" w:color="auto"/>
            </w:tcBorders>
            <w:shd w:val="clear" w:color="auto" w:fill="auto"/>
            <w:noWrap/>
            <w:vAlign w:val="bottom"/>
            <w:hideMark/>
          </w:tcPr>
          <w:p w14:paraId="23DEA80F"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500</w:t>
            </w:r>
          </w:p>
        </w:tc>
      </w:tr>
      <w:tr w:rsidR="00254910" w:rsidRPr="00254910" w14:paraId="025F11FA" w14:textId="77777777" w:rsidTr="00254910">
        <w:trPr>
          <w:trHeight w:val="277"/>
        </w:trPr>
        <w:tc>
          <w:tcPr>
            <w:tcW w:w="2332" w:type="dxa"/>
            <w:tcBorders>
              <w:top w:val="nil"/>
              <w:left w:val="single" w:sz="4" w:space="0" w:color="auto"/>
              <w:bottom w:val="nil"/>
              <w:right w:val="single" w:sz="4" w:space="0" w:color="auto"/>
            </w:tcBorders>
            <w:shd w:val="clear" w:color="auto" w:fill="auto"/>
            <w:noWrap/>
            <w:vAlign w:val="bottom"/>
            <w:hideMark/>
          </w:tcPr>
          <w:p w14:paraId="0BEE2191" w14:textId="77777777" w:rsidR="00254910" w:rsidRPr="00254910" w:rsidRDefault="00254910" w:rsidP="00254910">
            <w:pPr>
              <w:spacing w:after="0"/>
              <w:rPr>
                <w:rFonts w:ascii="Calibri" w:hAnsi="Calibri"/>
                <w:color w:val="000000"/>
                <w:sz w:val="22"/>
                <w:szCs w:val="22"/>
                <w:lang w:val="en-US"/>
              </w:rPr>
            </w:pPr>
            <w:r w:rsidRPr="00254910">
              <w:rPr>
                <w:rFonts w:ascii="Calibri" w:hAnsi="Calibri"/>
                <w:color w:val="000000"/>
                <w:sz w:val="22"/>
                <w:szCs w:val="22"/>
                <w:lang w:val="en-US"/>
              </w:rPr>
              <w:t> </w:t>
            </w:r>
          </w:p>
        </w:tc>
        <w:tc>
          <w:tcPr>
            <w:tcW w:w="1157" w:type="dxa"/>
            <w:tcBorders>
              <w:top w:val="nil"/>
              <w:left w:val="nil"/>
              <w:bottom w:val="single" w:sz="4" w:space="0" w:color="auto"/>
              <w:right w:val="single" w:sz="4" w:space="0" w:color="auto"/>
            </w:tcBorders>
            <w:shd w:val="clear" w:color="auto" w:fill="auto"/>
            <w:noWrap/>
            <w:vAlign w:val="bottom"/>
            <w:hideMark/>
          </w:tcPr>
          <w:p w14:paraId="498A64B5"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800</w:t>
            </w:r>
          </w:p>
        </w:tc>
        <w:tc>
          <w:tcPr>
            <w:tcW w:w="841" w:type="dxa"/>
            <w:tcBorders>
              <w:top w:val="nil"/>
              <w:left w:val="nil"/>
              <w:bottom w:val="single" w:sz="4" w:space="0" w:color="auto"/>
              <w:right w:val="single" w:sz="4" w:space="0" w:color="auto"/>
            </w:tcBorders>
            <w:shd w:val="clear" w:color="auto" w:fill="auto"/>
            <w:noWrap/>
            <w:vAlign w:val="bottom"/>
            <w:hideMark/>
          </w:tcPr>
          <w:p w14:paraId="5D4653F6"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250</w:t>
            </w:r>
          </w:p>
        </w:tc>
        <w:tc>
          <w:tcPr>
            <w:tcW w:w="1631" w:type="dxa"/>
            <w:tcBorders>
              <w:top w:val="nil"/>
              <w:left w:val="nil"/>
              <w:bottom w:val="single" w:sz="4" w:space="0" w:color="auto"/>
              <w:right w:val="single" w:sz="4" w:space="0" w:color="auto"/>
            </w:tcBorders>
            <w:shd w:val="clear" w:color="auto" w:fill="auto"/>
            <w:noWrap/>
            <w:vAlign w:val="bottom"/>
            <w:hideMark/>
          </w:tcPr>
          <w:p w14:paraId="6E0FE6E5"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2000</w:t>
            </w:r>
          </w:p>
        </w:tc>
        <w:tc>
          <w:tcPr>
            <w:tcW w:w="1631" w:type="dxa"/>
            <w:tcBorders>
              <w:top w:val="nil"/>
              <w:left w:val="nil"/>
              <w:bottom w:val="single" w:sz="4" w:space="0" w:color="auto"/>
              <w:right w:val="single" w:sz="4" w:space="0" w:color="auto"/>
            </w:tcBorders>
            <w:shd w:val="clear" w:color="000000" w:fill="92D050"/>
            <w:noWrap/>
            <w:vAlign w:val="bottom"/>
            <w:hideMark/>
          </w:tcPr>
          <w:p w14:paraId="7319D9EC"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1450</w:t>
            </w:r>
          </w:p>
        </w:tc>
        <w:tc>
          <w:tcPr>
            <w:tcW w:w="1982" w:type="dxa"/>
            <w:tcBorders>
              <w:top w:val="nil"/>
              <w:left w:val="nil"/>
              <w:bottom w:val="single" w:sz="4" w:space="0" w:color="auto"/>
              <w:right w:val="single" w:sz="4" w:space="0" w:color="auto"/>
            </w:tcBorders>
            <w:shd w:val="clear" w:color="auto" w:fill="auto"/>
            <w:noWrap/>
            <w:vAlign w:val="bottom"/>
            <w:hideMark/>
          </w:tcPr>
          <w:p w14:paraId="41CA20F4"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1050</w:t>
            </w:r>
          </w:p>
        </w:tc>
      </w:tr>
      <w:tr w:rsidR="00254910" w:rsidRPr="00254910" w14:paraId="157CB0F6" w14:textId="77777777" w:rsidTr="00254910">
        <w:trPr>
          <w:trHeight w:val="277"/>
        </w:trPr>
        <w:tc>
          <w:tcPr>
            <w:tcW w:w="2332" w:type="dxa"/>
            <w:tcBorders>
              <w:top w:val="nil"/>
              <w:left w:val="single" w:sz="4" w:space="0" w:color="auto"/>
              <w:bottom w:val="single" w:sz="4" w:space="0" w:color="auto"/>
              <w:right w:val="single" w:sz="4" w:space="0" w:color="auto"/>
            </w:tcBorders>
            <w:shd w:val="clear" w:color="auto" w:fill="auto"/>
            <w:noWrap/>
            <w:vAlign w:val="bottom"/>
            <w:hideMark/>
          </w:tcPr>
          <w:p w14:paraId="1441556D" w14:textId="77777777" w:rsidR="00254910" w:rsidRPr="00254910" w:rsidRDefault="00254910" w:rsidP="00254910">
            <w:pPr>
              <w:spacing w:after="0"/>
              <w:rPr>
                <w:rFonts w:ascii="Calibri" w:hAnsi="Calibri"/>
                <w:color w:val="000000"/>
                <w:sz w:val="22"/>
                <w:szCs w:val="22"/>
                <w:lang w:val="en-US"/>
              </w:rPr>
            </w:pPr>
            <w:r w:rsidRPr="00254910">
              <w:rPr>
                <w:rFonts w:ascii="Calibri" w:hAnsi="Calibri"/>
                <w:color w:val="000000"/>
                <w:sz w:val="22"/>
                <w:szCs w:val="22"/>
                <w:lang w:val="en-US"/>
              </w:rPr>
              <w:t> </w:t>
            </w:r>
          </w:p>
        </w:tc>
        <w:tc>
          <w:tcPr>
            <w:tcW w:w="1157" w:type="dxa"/>
            <w:tcBorders>
              <w:top w:val="nil"/>
              <w:left w:val="nil"/>
              <w:bottom w:val="single" w:sz="4" w:space="0" w:color="auto"/>
              <w:right w:val="single" w:sz="4" w:space="0" w:color="auto"/>
            </w:tcBorders>
            <w:shd w:val="clear" w:color="auto" w:fill="auto"/>
            <w:noWrap/>
            <w:vAlign w:val="bottom"/>
            <w:hideMark/>
          </w:tcPr>
          <w:p w14:paraId="2976F385"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1000</w:t>
            </w:r>
          </w:p>
        </w:tc>
        <w:tc>
          <w:tcPr>
            <w:tcW w:w="841" w:type="dxa"/>
            <w:tcBorders>
              <w:top w:val="nil"/>
              <w:left w:val="nil"/>
              <w:bottom w:val="single" w:sz="4" w:space="0" w:color="auto"/>
              <w:right w:val="single" w:sz="4" w:space="0" w:color="auto"/>
            </w:tcBorders>
            <w:shd w:val="clear" w:color="auto" w:fill="auto"/>
            <w:noWrap/>
            <w:vAlign w:val="bottom"/>
            <w:hideMark/>
          </w:tcPr>
          <w:p w14:paraId="5368F348"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250</w:t>
            </w:r>
          </w:p>
        </w:tc>
        <w:tc>
          <w:tcPr>
            <w:tcW w:w="1631" w:type="dxa"/>
            <w:tcBorders>
              <w:top w:val="nil"/>
              <w:left w:val="nil"/>
              <w:bottom w:val="single" w:sz="4" w:space="0" w:color="auto"/>
              <w:right w:val="single" w:sz="4" w:space="0" w:color="auto"/>
            </w:tcBorders>
            <w:shd w:val="clear" w:color="auto" w:fill="auto"/>
            <w:noWrap/>
            <w:vAlign w:val="bottom"/>
            <w:hideMark/>
          </w:tcPr>
          <w:p w14:paraId="7C49F34F"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2500</w:t>
            </w:r>
          </w:p>
        </w:tc>
        <w:tc>
          <w:tcPr>
            <w:tcW w:w="1631" w:type="dxa"/>
            <w:tcBorders>
              <w:top w:val="nil"/>
              <w:left w:val="nil"/>
              <w:bottom w:val="single" w:sz="4" w:space="0" w:color="auto"/>
              <w:right w:val="single" w:sz="4" w:space="0" w:color="auto"/>
            </w:tcBorders>
            <w:shd w:val="clear" w:color="000000" w:fill="92D050"/>
            <w:noWrap/>
            <w:vAlign w:val="bottom"/>
            <w:hideMark/>
          </w:tcPr>
          <w:p w14:paraId="3C081BF4"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1750</w:t>
            </w:r>
          </w:p>
        </w:tc>
        <w:tc>
          <w:tcPr>
            <w:tcW w:w="1982" w:type="dxa"/>
            <w:tcBorders>
              <w:top w:val="nil"/>
              <w:left w:val="nil"/>
              <w:bottom w:val="single" w:sz="4" w:space="0" w:color="auto"/>
              <w:right w:val="single" w:sz="4" w:space="0" w:color="auto"/>
            </w:tcBorders>
            <w:shd w:val="clear" w:color="auto" w:fill="auto"/>
            <w:noWrap/>
            <w:vAlign w:val="bottom"/>
            <w:hideMark/>
          </w:tcPr>
          <w:p w14:paraId="1E253C08"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1250</w:t>
            </w:r>
          </w:p>
        </w:tc>
      </w:tr>
      <w:tr w:rsidR="00254910" w:rsidRPr="00254910" w14:paraId="764EE6A4" w14:textId="77777777" w:rsidTr="0073289E">
        <w:trPr>
          <w:trHeight w:val="277"/>
        </w:trPr>
        <w:tc>
          <w:tcPr>
            <w:tcW w:w="2332" w:type="dxa"/>
            <w:tcBorders>
              <w:top w:val="nil"/>
              <w:left w:val="single" w:sz="4" w:space="0" w:color="auto"/>
              <w:bottom w:val="nil"/>
              <w:right w:val="single" w:sz="4" w:space="0" w:color="auto"/>
            </w:tcBorders>
            <w:shd w:val="clear" w:color="auto" w:fill="auto"/>
            <w:noWrap/>
            <w:vAlign w:val="bottom"/>
            <w:hideMark/>
          </w:tcPr>
          <w:p w14:paraId="6B9D8DBA" w14:textId="6081E4C2" w:rsidR="00254910" w:rsidRPr="00254910" w:rsidRDefault="00254910" w:rsidP="00254910">
            <w:pPr>
              <w:spacing w:after="0"/>
              <w:rPr>
                <w:rFonts w:ascii="Calibri" w:hAnsi="Calibri"/>
                <w:color w:val="000000"/>
                <w:sz w:val="22"/>
                <w:szCs w:val="22"/>
                <w:lang w:val="en-US"/>
              </w:rPr>
            </w:pPr>
            <w:r w:rsidRPr="00254910">
              <w:rPr>
                <w:rFonts w:ascii="Calibri" w:hAnsi="Calibri"/>
                <w:color w:val="000000"/>
                <w:sz w:val="22"/>
                <w:szCs w:val="22"/>
              </w:rPr>
              <w:t>f</w:t>
            </w:r>
            <w:r w:rsidRPr="00254910">
              <w:rPr>
                <w:rFonts w:ascii="Arial" w:hAnsi="Arial" w:cs="Arial"/>
                <w:i/>
                <w:iCs/>
                <w:color w:val="000000"/>
                <w:sz w:val="16"/>
                <w:szCs w:val="16"/>
              </w:rPr>
              <w:t>c</w:t>
            </w:r>
            <w:r w:rsidRPr="00254910">
              <w:rPr>
                <w:rFonts w:ascii="Arial" w:hAnsi="Arial" w:cs="Arial"/>
                <w:color w:val="000000"/>
                <w:sz w:val="18"/>
                <w:szCs w:val="18"/>
              </w:rPr>
              <w:t xml:space="preserve"> </w:t>
            </w:r>
            <w:r w:rsidRPr="00254910">
              <w:rPr>
                <w:rFonts w:ascii="Symbol" w:hAnsi="Symbol"/>
                <w:color w:val="000000"/>
                <w:sz w:val="18"/>
                <w:szCs w:val="18"/>
              </w:rPr>
              <w:t></w:t>
            </w:r>
            <w:r>
              <w:rPr>
                <w:rFonts w:ascii="Arial" w:hAnsi="Arial" w:cs="Arial"/>
                <w:color w:val="000000"/>
                <w:sz w:val="18"/>
                <w:szCs w:val="18"/>
              </w:rPr>
              <w:t xml:space="preserve"> 15</w:t>
            </w:r>
            <w:r w:rsidRPr="00254910">
              <w:rPr>
                <w:rFonts w:ascii="Arial" w:hAnsi="Arial" w:cs="Arial"/>
                <w:color w:val="000000"/>
                <w:sz w:val="18"/>
                <w:szCs w:val="18"/>
              </w:rPr>
              <w:t xml:space="preserve"> GHz</w:t>
            </w:r>
          </w:p>
        </w:tc>
        <w:tc>
          <w:tcPr>
            <w:tcW w:w="1157" w:type="dxa"/>
            <w:tcBorders>
              <w:top w:val="nil"/>
              <w:left w:val="nil"/>
              <w:bottom w:val="single" w:sz="4" w:space="0" w:color="auto"/>
              <w:right w:val="single" w:sz="4" w:space="0" w:color="auto"/>
            </w:tcBorders>
            <w:shd w:val="clear" w:color="auto" w:fill="auto"/>
            <w:noWrap/>
            <w:vAlign w:val="bottom"/>
            <w:hideMark/>
          </w:tcPr>
          <w:p w14:paraId="165319E6"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40</w:t>
            </w:r>
          </w:p>
        </w:tc>
        <w:tc>
          <w:tcPr>
            <w:tcW w:w="841" w:type="dxa"/>
            <w:tcBorders>
              <w:top w:val="nil"/>
              <w:left w:val="nil"/>
              <w:bottom w:val="single" w:sz="4" w:space="0" w:color="auto"/>
              <w:right w:val="single" w:sz="4" w:space="0" w:color="auto"/>
            </w:tcBorders>
            <w:shd w:val="clear" w:color="auto" w:fill="auto"/>
            <w:noWrap/>
            <w:vAlign w:val="bottom"/>
            <w:hideMark/>
          </w:tcPr>
          <w:p w14:paraId="0D1553D1"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500</w:t>
            </w:r>
          </w:p>
        </w:tc>
        <w:tc>
          <w:tcPr>
            <w:tcW w:w="1631" w:type="dxa"/>
            <w:tcBorders>
              <w:top w:val="nil"/>
              <w:left w:val="nil"/>
              <w:bottom w:val="single" w:sz="4" w:space="0" w:color="auto"/>
              <w:right w:val="single" w:sz="4" w:space="0" w:color="auto"/>
            </w:tcBorders>
            <w:shd w:val="clear" w:color="000000" w:fill="92D050"/>
            <w:noWrap/>
            <w:vAlign w:val="bottom"/>
            <w:hideMark/>
          </w:tcPr>
          <w:p w14:paraId="063D2271"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100</w:t>
            </w:r>
          </w:p>
        </w:tc>
        <w:tc>
          <w:tcPr>
            <w:tcW w:w="1631" w:type="dxa"/>
            <w:tcBorders>
              <w:top w:val="nil"/>
              <w:left w:val="nil"/>
              <w:bottom w:val="single" w:sz="4" w:space="0" w:color="auto"/>
              <w:right w:val="single" w:sz="4" w:space="0" w:color="auto"/>
            </w:tcBorders>
            <w:shd w:val="clear" w:color="auto" w:fill="auto"/>
            <w:noWrap/>
            <w:vAlign w:val="bottom"/>
          </w:tcPr>
          <w:p w14:paraId="725EEE4A" w14:textId="7F8EAADE" w:rsidR="00254910" w:rsidRPr="00254910" w:rsidRDefault="00254910" w:rsidP="00254910">
            <w:pPr>
              <w:spacing w:after="0"/>
              <w:jc w:val="right"/>
              <w:rPr>
                <w:rFonts w:ascii="Calibri" w:hAnsi="Calibri"/>
                <w:color w:val="000000"/>
                <w:sz w:val="22"/>
                <w:szCs w:val="22"/>
                <w:lang w:val="en-US"/>
              </w:rPr>
            </w:pPr>
          </w:p>
        </w:tc>
        <w:tc>
          <w:tcPr>
            <w:tcW w:w="1982" w:type="dxa"/>
            <w:tcBorders>
              <w:top w:val="nil"/>
              <w:left w:val="nil"/>
              <w:bottom w:val="single" w:sz="4" w:space="0" w:color="auto"/>
              <w:right w:val="single" w:sz="4" w:space="0" w:color="auto"/>
            </w:tcBorders>
            <w:shd w:val="clear" w:color="auto" w:fill="auto"/>
            <w:noWrap/>
            <w:vAlign w:val="bottom"/>
            <w:hideMark/>
          </w:tcPr>
          <w:p w14:paraId="3EE8714A"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80</w:t>
            </w:r>
          </w:p>
        </w:tc>
      </w:tr>
      <w:tr w:rsidR="00254910" w:rsidRPr="00254910" w14:paraId="2E278E15" w14:textId="77777777" w:rsidTr="0073289E">
        <w:trPr>
          <w:trHeight w:val="277"/>
        </w:trPr>
        <w:tc>
          <w:tcPr>
            <w:tcW w:w="2332" w:type="dxa"/>
            <w:tcBorders>
              <w:top w:val="nil"/>
              <w:left w:val="single" w:sz="4" w:space="0" w:color="auto"/>
              <w:bottom w:val="nil"/>
              <w:right w:val="single" w:sz="4" w:space="0" w:color="auto"/>
            </w:tcBorders>
            <w:shd w:val="clear" w:color="auto" w:fill="auto"/>
            <w:noWrap/>
            <w:vAlign w:val="bottom"/>
            <w:hideMark/>
          </w:tcPr>
          <w:p w14:paraId="4BF31BB6" w14:textId="77777777" w:rsidR="00254910" w:rsidRPr="00254910" w:rsidRDefault="00254910" w:rsidP="00254910">
            <w:pPr>
              <w:spacing w:after="0"/>
              <w:rPr>
                <w:rFonts w:ascii="Calibri" w:hAnsi="Calibri"/>
                <w:color w:val="000000"/>
                <w:sz w:val="22"/>
                <w:szCs w:val="22"/>
                <w:lang w:val="en-US"/>
              </w:rPr>
            </w:pPr>
            <w:r w:rsidRPr="00254910">
              <w:rPr>
                <w:rFonts w:ascii="Calibri" w:hAnsi="Calibri"/>
                <w:color w:val="000000"/>
                <w:sz w:val="22"/>
                <w:szCs w:val="22"/>
                <w:lang w:val="en-US"/>
              </w:rPr>
              <w:t> </w:t>
            </w:r>
          </w:p>
        </w:tc>
        <w:tc>
          <w:tcPr>
            <w:tcW w:w="1157" w:type="dxa"/>
            <w:tcBorders>
              <w:top w:val="nil"/>
              <w:left w:val="nil"/>
              <w:bottom w:val="single" w:sz="4" w:space="0" w:color="auto"/>
              <w:right w:val="single" w:sz="4" w:space="0" w:color="auto"/>
            </w:tcBorders>
            <w:shd w:val="clear" w:color="auto" w:fill="auto"/>
            <w:noWrap/>
            <w:vAlign w:val="bottom"/>
            <w:hideMark/>
          </w:tcPr>
          <w:p w14:paraId="487AF1F4"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100</w:t>
            </w:r>
          </w:p>
        </w:tc>
        <w:tc>
          <w:tcPr>
            <w:tcW w:w="841" w:type="dxa"/>
            <w:tcBorders>
              <w:top w:val="nil"/>
              <w:left w:val="nil"/>
              <w:bottom w:val="single" w:sz="4" w:space="0" w:color="auto"/>
              <w:right w:val="single" w:sz="4" w:space="0" w:color="auto"/>
            </w:tcBorders>
            <w:shd w:val="clear" w:color="auto" w:fill="auto"/>
            <w:noWrap/>
            <w:vAlign w:val="bottom"/>
            <w:hideMark/>
          </w:tcPr>
          <w:p w14:paraId="2FA0F981"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500</w:t>
            </w:r>
          </w:p>
        </w:tc>
        <w:tc>
          <w:tcPr>
            <w:tcW w:w="1631" w:type="dxa"/>
            <w:tcBorders>
              <w:top w:val="nil"/>
              <w:left w:val="nil"/>
              <w:bottom w:val="single" w:sz="4" w:space="0" w:color="auto"/>
              <w:right w:val="single" w:sz="4" w:space="0" w:color="auto"/>
            </w:tcBorders>
            <w:shd w:val="clear" w:color="000000" w:fill="92D050"/>
            <w:noWrap/>
            <w:vAlign w:val="bottom"/>
            <w:hideMark/>
          </w:tcPr>
          <w:p w14:paraId="4D9097DD"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250</w:t>
            </w:r>
          </w:p>
        </w:tc>
        <w:tc>
          <w:tcPr>
            <w:tcW w:w="1631" w:type="dxa"/>
            <w:tcBorders>
              <w:top w:val="nil"/>
              <w:left w:val="nil"/>
              <w:bottom w:val="single" w:sz="4" w:space="0" w:color="auto"/>
              <w:right w:val="single" w:sz="4" w:space="0" w:color="auto"/>
            </w:tcBorders>
            <w:shd w:val="clear" w:color="auto" w:fill="auto"/>
            <w:noWrap/>
            <w:vAlign w:val="bottom"/>
          </w:tcPr>
          <w:p w14:paraId="3F1ED67F" w14:textId="1F3E038E" w:rsidR="00254910" w:rsidRPr="00254910" w:rsidRDefault="00254910" w:rsidP="00254910">
            <w:pPr>
              <w:spacing w:after="0"/>
              <w:jc w:val="right"/>
              <w:rPr>
                <w:rFonts w:ascii="Calibri" w:hAnsi="Calibri"/>
                <w:color w:val="000000"/>
                <w:sz w:val="22"/>
                <w:szCs w:val="22"/>
                <w:lang w:val="en-US"/>
              </w:rPr>
            </w:pPr>
          </w:p>
        </w:tc>
        <w:tc>
          <w:tcPr>
            <w:tcW w:w="1982" w:type="dxa"/>
            <w:tcBorders>
              <w:top w:val="nil"/>
              <w:left w:val="nil"/>
              <w:bottom w:val="single" w:sz="4" w:space="0" w:color="auto"/>
              <w:right w:val="single" w:sz="4" w:space="0" w:color="auto"/>
            </w:tcBorders>
            <w:shd w:val="clear" w:color="auto" w:fill="auto"/>
            <w:noWrap/>
            <w:vAlign w:val="bottom"/>
            <w:hideMark/>
          </w:tcPr>
          <w:p w14:paraId="1D179E7B"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200</w:t>
            </w:r>
          </w:p>
        </w:tc>
      </w:tr>
      <w:tr w:rsidR="00254910" w:rsidRPr="00254910" w14:paraId="25895CB2" w14:textId="77777777" w:rsidTr="0073289E">
        <w:trPr>
          <w:trHeight w:val="277"/>
        </w:trPr>
        <w:tc>
          <w:tcPr>
            <w:tcW w:w="2332" w:type="dxa"/>
            <w:tcBorders>
              <w:top w:val="nil"/>
              <w:left w:val="single" w:sz="4" w:space="0" w:color="auto"/>
              <w:bottom w:val="nil"/>
              <w:right w:val="single" w:sz="4" w:space="0" w:color="auto"/>
            </w:tcBorders>
            <w:shd w:val="clear" w:color="auto" w:fill="auto"/>
            <w:noWrap/>
            <w:vAlign w:val="bottom"/>
            <w:hideMark/>
          </w:tcPr>
          <w:p w14:paraId="3E82745A" w14:textId="77777777" w:rsidR="00254910" w:rsidRPr="00254910" w:rsidRDefault="00254910" w:rsidP="00254910">
            <w:pPr>
              <w:spacing w:after="0"/>
              <w:rPr>
                <w:rFonts w:ascii="Calibri" w:hAnsi="Calibri"/>
                <w:color w:val="000000"/>
                <w:sz w:val="22"/>
                <w:szCs w:val="22"/>
                <w:lang w:val="en-US"/>
              </w:rPr>
            </w:pPr>
            <w:r w:rsidRPr="00254910">
              <w:rPr>
                <w:rFonts w:ascii="Calibri" w:hAnsi="Calibri"/>
                <w:color w:val="000000"/>
                <w:sz w:val="22"/>
                <w:szCs w:val="22"/>
                <w:lang w:val="en-US"/>
              </w:rPr>
              <w:t> </w:t>
            </w:r>
          </w:p>
        </w:tc>
        <w:tc>
          <w:tcPr>
            <w:tcW w:w="1157" w:type="dxa"/>
            <w:tcBorders>
              <w:top w:val="nil"/>
              <w:left w:val="nil"/>
              <w:bottom w:val="single" w:sz="4" w:space="0" w:color="auto"/>
              <w:right w:val="single" w:sz="4" w:space="0" w:color="auto"/>
            </w:tcBorders>
            <w:shd w:val="clear" w:color="auto" w:fill="auto"/>
            <w:noWrap/>
            <w:vAlign w:val="bottom"/>
            <w:hideMark/>
          </w:tcPr>
          <w:p w14:paraId="2DB6676E"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200</w:t>
            </w:r>
          </w:p>
        </w:tc>
        <w:tc>
          <w:tcPr>
            <w:tcW w:w="841" w:type="dxa"/>
            <w:tcBorders>
              <w:top w:val="nil"/>
              <w:left w:val="nil"/>
              <w:bottom w:val="single" w:sz="4" w:space="0" w:color="auto"/>
              <w:right w:val="single" w:sz="4" w:space="0" w:color="auto"/>
            </w:tcBorders>
            <w:shd w:val="clear" w:color="auto" w:fill="auto"/>
            <w:noWrap/>
            <w:vAlign w:val="bottom"/>
            <w:hideMark/>
          </w:tcPr>
          <w:p w14:paraId="49AAAC6B"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500</w:t>
            </w:r>
          </w:p>
        </w:tc>
        <w:tc>
          <w:tcPr>
            <w:tcW w:w="1631" w:type="dxa"/>
            <w:tcBorders>
              <w:top w:val="nil"/>
              <w:left w:val="nil"/>
              <w:bottom w:val="single" w:sz="4" w:space="0" w:color="auto"/>
              <w:right w:val="single" w:sz="4" w:space="0" w:color="auto"/>
            </w:tcBorders>
            <w:shd w:val="clear" w:color="000000" w:fill="92D050"/>
            <w:noWrap/>
            <w:vAlign w:val="bottom"/>
            <w:hideMark/>
          </w:tcPr>
          <w:p w14:paraId="33A56D52"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500</w:t>
            </w:r>
          </w:p>
        </w:tc>
        <w:tc>
          <w:tcPr>
            <w:tcW w:w="1631" w:type="dxa"/>
            <w:tcBorders>
              <w:top w:val="nil"/>
              <w:left w:val="nil"/>
              <w:bottom w:val="single" w:sz="4" w:space="0" w:color="auto"/>
              <w:right w:val="single" w:sz="4" w:space="0" w:color="auto"/>
            </w:tcBorders>
            <w:shd w:val="clear" w:color="auto" w:fill="auto"/>
            <w:noWrap/>
            <w:vAlign w:val="bottom"/>
          </w:tcPr>
          <w:p w14:paraId="6C5FC491" w14:textId="291B30A2" w:rsidR="00254910" w:rsidRPr="00254910" w:rsidRDefault="00254910" w:rsidP="00254910">
            <w:pPr>
              <w:spacing w:after="0"/>
              <w:jc w:val="right"/>
              <w:rPr>
                <w:rFonts w:ascii="Calibri" w:hAnsi="Calibri"/>
                <w:color w:val="000000"/>
                <w:sz w:val="22"/>
                <w:szCs w:val="22"/>
                <w:lang w:val="en-US"/>
              </w:rPr>
            </w:pPr>
          </w:p>
        </w:tc>
        <w:tc>
          <w:tcPr>
            <w:tcW w:w="1982" w:type="dxa"/>
            <w:tcBorders>
              <w:top w:val="nil"/>
              <w:left w:val="nil"/>
              <w:bottom w:val="single" w:sz="4" w:space="0" w:color="auto"/>
              <w:right w:val="single" w:sz="4" w:space="0" w:color="auto"/>
            </w:tcBorders>
            <w:shd w:val="clear" w:color="auto" w:fill="auto"/>
            <w:noWrap/>
            <w:vAlign w:val="bottom"/>
            <w:hideMark/>
          </w:tcPr>
          <w:p w14:paraId="3104F074"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400</w:t>
            </w:r>
          </w:p>
        </w:tc>
      </w:tr>
      <w:tr w:rsidR="00254910" w:rsidRPr="00254910" w14:paraId="368AB1C2" w14:textId="77777777" w:rsidTr="0073289E">
        <w:trPr>
          <w:trHeight w:val="277"/>
        </w:trPr>
        <w:tc>
          <w:tcPr>
            <w:tcW w:w="2332" w:type="dxa"/>
            <w:tcBorders>
              <w:top w:val="nil"/>
              <w:left w:val="single" w:sz="4" w:space="0" w:color="auto"/>
              <w:bottom w:val="nil"/>
              <w:right w:val="single" w:sz="4" w:space="0" w:color="auto"/>
            </w:tcBorders>
            <w:shd w:val="clear" w:color="auto" w:fill="auto"/>
            <w:noWrap/>
            <w:vAlign w:val="bottom"/>
            <w:hideMark/>
          </w:tcPr>
          <w:p w14:paraId="21B5E83D" w14:textId="77777777" w:rsidR="00254910" w:rsidRPr="00254910" w:rsidRDefault="00254910" w:rsidP="00254910">
            <w:pPr>
              <w:spacing w:after="0"/>
              <w:rPr>
                <w:rFonts w:ascii="Calibri" w:hAnsi="Calibri"/>
                <w:color w:val="000000"/>
                <w:sz w:val="22"/>
                <w:szCs w:val="22"/>
                <w:lang w:val="en-US"/>
              </w:rPr>
            </w:pPr>
            <w:r w:rsidRPr="00254910">
              <w:rPr>
                <w:rFonts w:ascii="Calibri" w:hAnsi="Calibri"/>
                <w:color w:val="000000"/>
                <w:sz w:val="22"/>
                <w:szCs w:val="22"/>
                <w:lang w:val="en-US"/>
              </w:rPr>
              <w:t> </w:t>
            </w:r>
          </w:p>
        </w:tc>
        <w:tc>
          <w:tcPr>
            <w:tcW w:w="1157" w:type="dxa"/>
            <w:tcBorders>
              <w:top w:val="nil"/>
              <w:left w:val="nil"/>
              <w:bottom w:val="single" w:sz="4" w:space="0" w:color="auto"/>
              <w:right w:val="single" w:sz="4" w:space="0" w:color="auto"/>
            </w:tcBorders>
            <w:shd w:val="clear" w:color="000000" w:fill="FFC000"/>
            <w:noWrap/>
            <w:vAlign w:val="bottom"/>
            <w:hideMark/>
          </w:tcPr>
          <w:p w14:paraId="5A9B4240"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500</w:t>
            </w:r>
          </w:p>
        </w:tc>
        <w:tc>
          <w:tcPr>
            <w:tcW w:w="841" w:type="dxa"/>
            <w:tcBorders>
              <w:top w:val="nil"/>
              <w:left w:val="nil"/>
              <w:bottom w:val="single" w:sz="4" w:space="0" w:color="auto"/>
              <w:right w:val="single" w:sz="4" w:space="0" w:color="auto"/>
            </w:tcBorders>
            <w:shd w:val="clear" w:color="000000" w:fill="FFC000"/>
            <w:noWrap/>
            <w:vAlign w:val="bottom"/>
            <w:hideMark/>
          </w:tcPr>
          <w:p w14:paraId="11498624"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500</w:t>
            </w:r>
          </w:p>
        </w:tc>
        <w:tc>
          <w:tcPr>
            <w:tcW w:w="1631" w:type="dxa"/>
            <w:tcBorders>
              <w:top w:val="nil"/>
              <w:left w:val="nil"/>
              <w:bottom w:val="single" w:sz="4" w:space="0" w:color="auto"/>
              <w:right w:val="single" w:sz="4" w:space="0" w:color="auto"/>
            </w:tcBorders>
            <w:shd w:val="clear" w:color="000000" w:fill="92D050"/>
            <w:noWrap/>
            <w:vAlign w:val="bottom"/>
            <w:hideMark/>
          </w:tcPr>
          <w:p w14:paraId="4CABD457"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1250</w:t>
            </w:r>
          </w:p>
        </w:tc>
        <w:tc>
          <w:tcPr>
            <w:tcW w:w="1631" w:type="dxa"/>
            <w:tcBorders>
              <w:top w:val="nil"/>
              <w:left w:val="nil"/>
              <w:bottom w:val="single" w:sz="4" w:space="0" w:color="auto"/>
              <w:right w:val="single" w:sz="4" w:space="0" w:color="auto"/>
            </w:tcBorders>
            <w:shd w:val="clear" w:color="auto" w:fill="auto"/>
            <w:noWrap/>
            <w:vAlign w:val="bottom"/>
          </w:tcPr>
          <w:p w14:paraId="76FDEF75" w14:textId="13258CB9" w:rsidR="00254910" w:rsidRPr="00254910" w:rsidRDefault="00254910" w:rsidP="00254910">
            <w:pPr>
              <w:spacing w:after="0"/>
              <w:jc w:val="right"/>
              <w:rPr>
                <w:rFonts w:ascii="Calibri" w:hAnsi="Calibri"/>
                <w:color w:val="000000"/>
                <w:sz w:val="22"/>
                <w:szCs w:val="22"/>
                <w:lang w:val="en-US"/>
              </w:rPr>
            </w:pPr>
          </w:p>
        </w:tc>
        <w:tc>
          <w:tcPr>
            <w:tcW w:w="1982" w:type="dxa"/>
            <w:tcBorders>
              <w:top w:val="nil"/>
              <w:left w:val="nil"/>
              <w:bottom w:val="single" w:sz="4" w:space="0" w:color="auto"/>
              <w:right w:val="single" w:sz="4" w:space="0" w:color="auto"/>
            </w:tcBorders>
            <w:shd w:val="clear" w:color="auto" w:fill="auto"/>
            <w:noWrap/>
            <w:vAlign w:val="bottom"/>
            <w:hideMark/>
          </w:tcPr>
          <w:p w14:paraId="06D86440"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1000</w:t>
            </w:r>
          </w:p>
        </w:tc>
      </w:tr>
      <w:tr w:rsidR="00254910" w:rsidRPr="00254910" w14:paraId="32A8A996" w14:textId="77777777" w:rsidTr="00254910">
        <w:trPr>
          <w:trHeight w:val="277"/>
        </w:trPr>
        <w:tc>
          <w:tcPr>
            <w:tcW w:w="2332" w:type="dxa"/>
            <w:tcBorders>
              <w:top w:val="nil"/>
              <w:left w:val="single" w:sz="4" w:space="0" w:color="auto"/>
              <w:bottom w:val="nil"/>
              <w:right w:val="single" w:sz="4" w:space="0" w:color="auto"/>
            </w:tcBorders>
            <w:shd w:val="clear" w:color="auto" w:fill="auto"/>
            <w:noWrap/>
            <w:vAlign w:val="bottom"/>
            <w:hideMark/>
          </w:tcPr>
          <w:p w14:paraId="01D23666" w14:textId="77777777" w:rsidR="00254910" w:rsidRPr="00254910" w:rsidRDefault="00254910" w:rsidP="00254910">
            <w:pPr>
              <w:spacing w:after="0"/>
              <w:rPr>
                <w:rFonts w:ascii="Calibri" w:hAnsi="Calibri"/>
                <w:color w:val="000000"/>
                <w:sz w:val="22"/>
                <w:szCs w:val="22"/>
                <w:lang w:val="en-US"/>
              </w:rPr>
            </w:pPr>
            <w:r w:rsidRPr="00254910">
              <w:rPr>
                <w:rFonts w:ascii="Calibri" w:hAnsi="Calibri"/>
                <w:color w:val="000000"/>
                <w:sz w:val="22"/>
                <w:szCs w:val="22"/>
                <w:lang w:val="en-US"/>
              </w:rPr>
              <w:t> </w:t>
            </w:r>
          </w:p>
        </w:tc>
        <w:tc>
          <w:tcPr>
            <w:tcW w:w="1157" w:type="dxa"/>
            <w:tcBorders>
              <w:top w:val="nil"/>
              <w:left w:val="nil"/>
              <w:bottom w:val="single" w:sz="4" w:space="0" w:color="auto"/>
              <w:right w:val="single" w:sz="4" w:space="0" w:color="auto"/>
            </w:tcBorders>
            <w:shd w:val="clear" w:color="auto" w:fill="auto"/>
            <w:noWrap/>
            <w:vAlign w:val="bottom"/>
            <w:hideMark/>
          </w:tcPr>
          <w:p w14:paraId="787D8F23"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800</w:t>
            </w:r>
          </w:p>
        </w:tc>
        <w:tc>
          <w:tcPr>
            <w:tcW w:w="841" w:type="dxa"/>
            <w:tcBorders>
              <w:top w:val="nil"/>
              <w:left w:val="nil"/>
              <w:bottom w:val="single" w:sz="4" w:space="0" w:color="auto"/>
              <w:right w:val="single" w:sz="4" w:space="0" w:color="auto"/>
            </w:tcBorders>
            <w:shd w:val="clear" w:color="auto" w:fill="auto"/>
            <w:noWrap/>
            <w:vAlign w:val="bottom"/>
            <w:hideMark/>
          </w:tcPr>
          <w:p w14:paraId="03E938BE"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500</w:t>
            </w:r>
          </w:p>
        </w:tc>
        <w:tc>
          <w:tcPr>
            <w:tcW w:w="1631" w:type="dxa"/>
            <w:tcBorders>
              <w:top w:val="nil"/>
              <w:left w:val="nil"/>
              <w:bottom w:val="single" w:sz="4" w:space="0" w:color="auto"/>
              <w:right w:val="single" w:sz="4" w:space="0" w:color="auto"/>
            </w:tcBorders>
            <w:shd w:val="clear" w:color="auto" w:fill="auto"/>
            <w:noWrap/>
            <w:vAlign w:val="bottom"/>
            <w:hideMark/>
          </w:tcPr>
          <w:p w14:paraId="2532815B"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2000</w:t>
            </w:r>
          </w:p>
        </w:tc>
        <w:tc>
          <w:tcPr>
            <w:tcW w:w="1631" w:type="dxa"/>
            <w:tcBorders>
              <w:top w:val="nil"/>
              <w:left w:val="nil"/>
              <w:bottom w:val="single" w:sz="4" w:space="0" w:color="auto"/>
              <w:right w:val="single" w:sz="4" w:space="0" w:color="auto"/>
            </w:tcBorders>
            <w:shd w:val="clear" w:color="000000" w:fill="92D050"/>
            <w:noWrap/>
            <w:vAlign w:val="bottom"/>
            <w:hideMark/>
          </w:tcPr>
          <w:p w14:paraId="1D99399B"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1700</w:t>
            </w:r>
          </w:p>
        </w:tc>
        <w:tc>
          <w:tcPr>
            <w:tcW w:w="1982" w:type="dxa"/>
            <w:tcBorders>
              <w:top w:val="nil"/>
              <w:left w:val="nil"/>
              <w:bottom w:val="single" w:sz="4" w:space="0" w:color="auto"/>
              <w:right w:val="single" w:sz="4" w:space="0" w:color="auto"/>
            </w:tcBorders>
            <w:shd w:val="clear" w:color="auto" w:fill="auto"/>
            <w:noWrap/>
            <w:vAlign w:val="bottom"/>
            <w:hideMark/>
          </w:tcPr>
          <w:p w14:paraId="1A43B5F8"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1300</w:t>
            </w:r>
          </w:p>
        </w:tc>
      </w:tr>
      <w:tr w:rsidR="00254910" w:rsidRPr="00254910" w14:paraId="2C443CBB" w14:textId="77777777" w:rsidTr="00254910">
        <w:trPr>
          <w:trHeight w:val="277"/>
        </w:trPr>
        <w:tc>
          <w:tcPr>
            <w:tcW w:w="2332" w:type="dxa"/>
            <w:tcBorders>
              <w:top w:val="nil"/>
              <w:left w:val="single" w:sz="4" w:space="0" w:color="auto"/>
              <w:bottom w:val="single" w:sz="4" w:space="0" w:color="auto"/>
              <w:right w:val="single" w:sz="4" w:space="0" w:color="auto"/>
            </w:tcBorders>
            <w:shd w:val="clear" w:color="auto" w:fill="auto"/>
            <w:noWrap/>
            <w:vAlign w:val="bottom"/>
            <w:hideMark/>
          </w:tcPr>
          <w:p w14:paraId="0B7EA5B4" w14:textId="77777777" w:rsidR="00254910" w:rsidRPr="00254910" w:rsidRDefault="00254910" w:rsidP="00254910">
            <w:pPr>
              <w:spacing w:after="0"/>
              <w:rPr>
                <w:rFonts w:ascii="Calibri" w:hAnsi="Calibri"/>
                <w:color w:val="000000"/>
                <w:sz w:val="22"/>
                <w:szCs w:val="22"/>
                <w:lang w:val="en-US"/>
              </w:rPr>
            </w:pPr>
            <w:r w:rsidRPr="00254910">
              <w:rPr>
                <w:rFonts w:ascii="Calibri" w:hAnsi="Calibri"/>
                <w:color w:val="000000"/>
                <w:sz w:val="22"/>
                <w:szCs w:val="22"/>
                <w:lang w:val="en-US"/>
              </w:rPr>
              <w:t> </w:t>
            </w:r>
          </w:p>
        </w:tc>
        <w:tc>
          <w:tcPr>
            <w:tcW w:w="1157" w:type="dxa"/>
            <w:tcBorders>
              <w:top w:val="nil"/>
              <w:left w:val="nil"/>
              <w:bottom w:val="single" w:sz="4" w:space="0" w:color="auto"/>
              <w:right w:val="single" w:sz="4" w:space="0" w:color="auto"/>
            </w:tcBorders>
            <w:shd w:val="clear" w:color="auto" w:fill="auto"/>
            <w:noWrap/>
            <w:vAlign w:val="bottom"/>
            <w:hideMark/>
          </w:tcPr>
          <w:p w14:paraId="14A7A570"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1000</w:t>
            </w:r>
          </w:p>
        </w:tc>
        <w:tc>
          <w:tcPr>
            <w:tcW w:w="841" w:type="dxa"/>
            <w:tcBorders>
              <w:top w:val="nil"/>
              <w:left w:val="nil"/>
              <w:bottom w:val="single" w:sz="4" w:space="0" w:color="auto"/>
              <w:right w:val="single" w:sz="4" w:space="0" w:color="auto"/>
            </w:tcBorders>
            <w:shd w:val="clear" w:color="auto" w:fill="auto"/>
            <w:noWrap/>
            <w:vAlign w:val="bottom"/>
            <w:hideMark/>
          </w:tcPr>
          <w:p w14:paraId="7E827241"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500</w:t>
            </w:r>
          </w:p>
        </w:tc>
        <w:tc>
          <w:tcPr>
            <w:tcW w:w="1631" w:type="dxa"/>
            <w:tcBorders>
              <w:top w:val="nil"/>
              <w:left w:val="nil"/>
              <w:bottom w:val="single" w:sz="4" w:space="0" w:color="auto"/>
              <w:right w:val="single" w:sz="4" w:space="0" w:color="auto"/>
            </w:tcBorders>
            <w:shd w:val="clear" w:color="auto" w:fill="auto"/>
            <w:noWrap/>
            <w:vAlign w:val="bottom"/>
            <w:hideMark/>
          </w:tcPr>
          <w:p w14:paraId="6D662D22"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2500</w:t>
            </w:r>
          </w:p>
        </w:tc>
        <w:tc>
          <w:tcPr>
            <w:tcW w:w="1631" w:type="dxa"/>
            <w:tcBorders>
              <w:top w:val="nil"/>
              <w:left w:val="nil"/>
              <w:bottom w:val="single" w:sz="4" w:space="0" w:color="auto"/>
              <w:right w:val="single" w:sz="4" w:space="0" w:color="auto"/>
            </w:tcBorders>
            <w:shd w:val="clear" w:color="000000" w:fill="92D050"/>
            <w:noWrap/>
            <w:vAlign w:val="bottom"/>
            <w:hideMark/>
          </w:tcPr>
          <w:p w14:paraId="03DE6592"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2000</w:t>
            </w:r>
          </w:p>
        </w:tc>
        <w:tc>
          <w:tcPr>
            <w:tcW w:w="1982" w:type="dxa"/>
            <w:tcBorders>
              <w:top w:val="nil"/>
              <w:left w:val="nil"/>
              <w:bottom w:val="single" w:sz="4" w:space="0" w:color="auto"/>
              <w:right w:val="single" w:sz="4" w:space="0" w:color="auto"/>
            </w:tcBorders>
            <w:shd w:val="clear" w:color="auto" w:fill="auto"/>
            <w:noWrap/>
            <w:vAlign w:val="bottom"/>
            <w:hideMark/>
          </w:tcPr>
          <w:p w14:paraId="05EB3B07" w14:textId="77777777" w:rsidR="00254910" w:rsidRPr="00254910" w:rsidRDefault="00254910" w:rsidP="00254910">
            <w:pPr>
              <w:spacing w:after="0"/>
              <w:jc w:val="right"/>
              <w:rPr>
                <w:rFonts w:ascii="Calibri" w:hAnsi="Calibri"/>
                <w:color w:val="000000"/>
                <w:sz w:val="22"/>
                <w:szCs w:val="22"/>
                <w:lang w:val="en-US"/>
              </w:rPr>
            </w:pPr>
            <w:r w:rsidRPr="00254910">
              <w:rPr>
                <w:rFonts w:ascii="Calibri" w:hAnsi="Calibri"/>
                <w:color w:val="000000"/>
                <w:sz w:val="22"/>
                <w:szCs w:val="22"/>
                <w:lang w:val="en-US"/>
              </w:rPr>
              <w:t>1500</w:t>
            </w:r>
          </w:p>
        </w:tc>
      </w:tr>
    </w:tbl>
    <w:p w14:paraId="272436FC" w14:textId="77777777" w:rsidR="00254910" w:rsidRDefault="00254910" w:rsidP="00427EBA">
      <w:pPr>
        <w:pStyle w:val="TH"/>
      </w:pPr>
    </w:p>
    <w:p w14:paraId="4195E15B" w14:textId="77777777" w:rsidR="00820206" w:rsidRDefault="00820206" w:rsidP="008657E1"/>
    <w:p w14:paraId="3E4DBD9E" w14:textId="111F48A3" w:rsidR="008267A4" w:rsidRDefault="008657E1" w:rsidP="008657E1">
      <w:r>
        <w:t>Offset from band edge in the righ</w:t>
      </w:r>
      <w:r w:rsidR="00911B19">
        <w:t>t</w:t>
      </w:r>
      <w:r>
        <w:t xml:space="preserve"> most column is calculated according to applicable separation</w:t>
      </w:r>
      <w:r w:rsidR="00911B19">
        <w:t xml:space="preserve"> indicated by </w:t>
      </w:r>
      <w:r>
        <w:t xml:space="preserve">green highlight. It can be seen that </w:t>
      </w:r>
      <w:r w:rsidR="00BE53EA">
        <w:t>for instance:</w:t>
      </w:r>
    </w:p>
    <w:p w14:paraId="1CFCADD1" w14:textId="22944ED4" w:rsidR="008267A4" w:rsidRDefault="008657E1" w:rsidP="008267A4">
      <w:pPr>
        <w:pStyle w:val="ListParagraph"/>
        <w:numPr>
          <w:ilvl w:val="0"/>
          <w:numId w:val="32"/>
        </w:numPr>
        <w:rPr>
          <w:sz w:val="20"/>
          <w:szCs w:val="20"/>
          <w:lang w:val="en-US"/>
        </w:rPr>
      </w:pPr>
      <w:r w:rsidRPr="008267A4">
        <w:rPr>
          <w:sz w:val="20"/>
          <w:szCs w:val="20"/>
          <w:lang w:val="en-US"/>
        </w:rPr>
        <w:t>channel BW 100 MHz lead to 200 MHz offset from band edge</w:t>
      </w:r>
      <w:r w:rsidR="008267A4">
        <w:rPr>
          <w:sz w:val="20"/>
          <w:szCs w:val="20"/>
          <w:lang w:val="en-US"/>
        </w:rPr>
        <w:t xml:space="preserve"> in all frequencies above </w:t>
      </w:r>
      <w:r w:rsidR="004E0940">
        <w:rPr>
          <w:sz w:val="20"/>
          <w:szCs w:val="20"/>
          <w:lang w:val="en-US"/>
        </w:rPr>
        <w:t>6</w:t>
      </w:r>
      <w:r w:rsidR="008267A4">
        <w:rPr>
          <w:sz w:val="20"/>
          <w:szCs w:val="20"/>
          <w:lang w:val="en-US"/>
        </w:rPr>
        <w:t xml:space="preserve"> GHz</w:t>
      </w:r>
    </w:p>
    <w:p w14:paraId="0BA4E2D1" w14:textId="6EC5C62E" w:rsidR="008267A4" w:rsidRDefault="008267A4" w:rsidP="008267A4">
      <w:pPr>
        <w:pStyle w:val="ListParagraph"/>
        <w:numPr>
          <w:ilvl w:val="0"/>
          <w:numId w:val="32"/>
        </w:numPr>
        <w:rPr>
          <w:sz w:val="20"/>
          <w:szCs w:val="20"/>
          <w:lang w:val="en-US"/>
        </w:rPr>
      </w:pPr>
      <w:r>
        <w:rPr>
          <w:sz w:val="20"/>
          <w:szCs w:val="20"/>
          <w:lang w:val="en-US"/>
        </w:rPr>
        <w:t>channel BW 2</w:t>
      </w:r>
      <w:r w:rsidRPr="008267A4">
        <w:rPr>
          <w:sz w:val="20"/>
          <w:szCs w:val="20"/>
          <w:lang w:val="en-US"/>
        </w:rPr>
        <w:t xml:space="preserve">00 MHz lead to </w:t>
      </w:r>
      <w:r>
        <w:rPr>
          <w:sz w:val="20"/>
          <w:szCs w:val="20"/>
          <w:lang w:val="en-US"/>
        </w:rPr>
        <w:t>4</w:t>
      </w:r>
      <w:r w:rsidRPr="008267A4">
        <w:rPr>
          <w:sz w:val="20"/>
          <w:szCs w:val="20"/>
          <w:lang w:val="en-US"/>
        </w:rPr>
        <w:t>00 MHz offset from band edge</w:t>
      </w:r>
      <w:r>
        <w:rPr>
          <w:sz w:val="20"/>
          <w:szCs w:val="20"/>
          <w:lang w:val="en-US"/>
        </w:rPr>
        <w:t xml:space="preserve"> in all frequencies above 10 GHz</w:t>
      </w:r>
    </w:p>
    <w:p w14:paraId="1EA4D89A" w14:textId="109F3FC5" w:rsidR="008657E1" w:rsidRDefault="00B0132D" w:rsidP="008267A4">
      <w:pPr>
        <w:pStyle w:val="ListParagraph"/>
        <w:numPr>
          <w:ilvl w:val="0"/>
          <w:numId w:val="32"/>
        </w:numPr>
        <w:rPr>
          <w:sz w:val="20"/>
          <w:szCs w:val="20"/>
          <w:lang w:val="en-US"/>
        </w:rPr>
      </w:pPr>
      <w:r>
        <w:rPr>
          <w:sz w:val="20"/>
          <w:szCs w:val="20"/>
          <w:lang w:val="en-US"/>
        </w:rPr>
        <w:t>channel BW 8</w:t>
      </w:r>
      <w:r w:rsidRPr="008267A4">
        <w:rPr>
          <w:sz w:val="20"/>
          <w:szCs w:val="20"/>
          <w:lang w:val="en-US"/>
        </w:rPr>
        <w:t xml:space="preserve">00 MHz lead to </w:t>
      </w:r>
      <w:r>
        <w:rPr>
          <w:sz w:val="20"/>
          <w:szCs w:val="20"/>
          <w:lang w:val="en-US"/>
        </w:rPr>
        <w:t>13</w:t>
      </w:r>
      <w:r w:rsidRPr="008267A4">
        <w:rPr>
          <w:sz w:val="20"/>
          <w:szCs w:val="20"/>
          <w:lang w:val="en-US"/>
        </w:rPr>
        <w:t>00 MHz offset from band edge</w:t>
      </w:r>
      <w:r>
        <w:rPr>
          <w:sz w:val="20"/>
          <w:szCs w:val="20"/>
          <w:lang w:val="en-US"/>
        </w:rPr>
        <w:t xml:space="preserve"> in all frequencies above 15 GHz</w:t>
      </w:r>
    </w:p>
    <w:p w14:paraId="345D2E94" w14:textId="77777777" w:rsidR="005141F9" w:rsidRDefault="005141F9" w:rsidP="005141F9">
      <w:pPr>
        <w:rPr>
          <w:lang w:val="en-US"/>
        </w:rPr>
      </w:pPr>
    </w:p>
    <w:p w14:paraId="72148424" w14:textId="37EE3736" w:rsidR="00BE53EA" w:rsidRDefault="00BE53EA" w:rsidP="005141F9">
      <w:pPr>
        <w:rPr>
          <w:lang w:val="en-US"/>
        </w:rPr>
      </w:pPr>
      <w:bookmarkStart w:id="8" w:name="_GoBack"/>
      <w:bookmarkEnd w:id="8"/>
      <w:r>
        <w:rPr>
          <w:lang w:val="en-US"/>
        </w:rPr>
        <w:t xml:space="preserve">RAN4 </w:t>
      </w:r>
      <w:r w:rsidR="00C16658">
        <w:rPr>
          <w:lang w:val="en-US"/>
        </w:rPr>
        <w:t>has different options</w:t>
      </w:r>
      <w:r>
        <w:rPr>
          <w:lang w:val="en-US"/>
        </w:rPr>
        <w:t xml:space="preserve"> for setting the requirement:</w:t>
      </w:r>
    </w:p>
    <w:p w14:paraId="0AEC40A6" w14:textId="5BF97AA5" w:rsidR="005141F9" w:rsidRDefault="00BE53EA" w:rsidP="00BE53EA">
      <w:pPr>
        <w:pStyle w:val="ListParagraph"/>
        <w:numPr>
          <w:ilvl w:val="0"/>
          <w:numId w:val="35"/>
        </w:numPr>
        <w:rPr>
          <w:sz w:val="20"/>
          <w:szCs w:val="20"/>
          <w:lang w:val="en-US"/>
        </w:rPr>
      </w:pPr>
      <w:r>
        <w:rPr>
          <w:sz w:val="20"/>
          <w:szCs w:val="20"/>
          <w:lang w:val="en-US"/>
        </w:rPr>
        <w:lastRenderedPageBreak/>
        <w:t>S</w:t>
      </w:r>
      <w:r w:rsidRPr="00BE53EA">
        <w:rPr>
          <w:sz w:val="20"/>
          <w:szCs w:val="20"/>
          <w:lang w:val="en-US"/>
        </w:rPr>
        <w:t xml:space="preserve">ingle </w:t>
      </w:r>
      <w:r w:rsidR="005141F9" w:rsidRPr="00BE53EA">
        <w:rPr>
          <w:sz w:val="20"/>
          <w:szCs w:val="20"/>
          <w:lang w:val="en-US"/>
        </w:rPr>
        <w:t xml:space="preserve">fixed boundary </w:t>
      </w:r>
      <w:r w:rsidRPr="00BE53EA">
        <w:rPr>
          <w:sz w:val="20"/>
          <w:szCs w:val="20"/>
          <w:lang w:val="en-US"/>
        </w:rPr>
        <w:t>for all bands</w:t>
      </w:r>
      <w:r>
        <w:rPr>
          <w:sz w:val="20"/>
          <w:szCs w:val="20"/>
          <w:lang w:val="en-US"/>
        </w:rPr>
        <w:t>.</w:t>
      </w:r>
      <w:r w:rsidRPr="00BE53EA">
        <w:rPr>
          <w:sz w:val="20"/>
          <w:szCs w:val="20"/>
          <w:lang w:val="en-US"/>
        </w:rPr>
        <w:t xml:space="preserve"> </w:t>
      </w:r>
      <w:r>
        <w:rPr>
          <w:sz w:val="20"/>
          <w:szCs w:val="20"/>
          <w:lang w:val="en-US"/>
        </w:rPr>
        <w:t>T</w:t>
      </w:r>
      <w:r w:rsidRPr="00BE53EA">
        <w:rPr>
          <w:sz w:val="20"/>
          <w:szCs w:val="20"/>
          <w:lang w:val="en-US"/>
        </w:rPr>
        <w:t xml:space="preserve">he value could be </w:t>
      </w:r>
      <w:r w:rsidR="005141F9" w:rsidRPr="00BE53EA">
        <w:rPr>
          <w:sz w:val="20"/>
          <w:szCs w:val="20"/>
          <w:lang w:val="en-US"/>
        </w:rPr>
        <w:t xml:space="preserve">based on 100 MHz channel BW. Based on </w:t>
      </w:r>
      <w:r w:rsidR="00C16658">
        <w:rPr>
          <w:sz w:val="20"/>
          <w:szCs w:val="20"/>
          <w:lang w:val="en-US"/>
        </w:rPr>
        <w:t>ITU-R r</w:t>
      </w:r>
      <w:r w:rsidR="005141F9" w:rsidRPr="00BE53EA">
        <w:rPr>
          <w:sz w:val="20"/>
          <w:szCs w:val="20"/>
          <w:lang w:val="en-US"/>
        </w:rPr>
        <w:t>ecommendation this would lead to offset value 200 MHz from the band edge in all frequencies above 6 GHz.</w:t>
      </w:r>
      <w:r w:rsidRPr="00BE53EA">
        <w:rPr>
          <w:sz w:val="20"/>
          <w:szCs w:val="20"/>
          <w:lang w:val="en-US"/>
        </w:rPr>
        <w:t xml:space="preserve"> Drawback is that for channel BWs wider than 100 MHz the emission mask will overlap with spurious domain.</w:t>
      </w:r>
    </w:p>
    <w:p w14:paraId="2D382979" w14:textId="02528FCC" w:rsidR="00BE53EA" w:rsidRDefault="00BE53EA" w:rsidP="00BE53EA">
      <w:pPr>
        <w:pStyle w:val="ListParagraph"/>
        <w:numPr>
          <w:ilvl w:val="0"/>
          <w:numId w:val="35"/>
        </w:numPr>
        <w:rPr>
          <w:sz w:val="20"/>
          <w:szCs w:val="20"/>
          <w:lang w:val="en-US"/>
        </w:rPr>
      </w:pPr>
      <w:r>
        <w:rPr>
          <w:sz w:val="20"/>
          <w:szCs w:val="20"/>
          <w:lang w:val="en-US"/>
        </w:rPr>
        <w:t>Multiple fixed boundaries based on frequency</w:t>
      </w:r>
      <w:r w:rsidR="00805588">
        <w:rPr>
          <w:sz w:val="20"/>
          <w:szCs w:val="20"/>
          <w:lang w:val="en-US"/>
        </w:rPr>
        <w:t xml:space="preserve"> range</w:t>
      </w:r>
      <w:r>
        <w:rPr>
          <w:sz w:val="20"/>
          <w:szCs w:val="20"/>
          <w:lang w:val="en-US"/>
        </w:rPr>
        <w:t>. These could be set so that mask do not overlap with spurious domain. For example channel BWs in table 2 this would mean:</w:t>
      </w:r>
    </w:p>
    <w:p w14:paraId="648596CB" w14:textId="67DEC3B8" w:rsidR="00BE53EA" w:rsidRDefault="00805588" w:rsidP="00BE53EA">
      <w:pPr>
        <w:pStyle w:val="ListParagraph"/>
        <w:numPr>
          <w:ilvl w:val="1"/>
          <w:numId w:val="35"/>
        </w:numPr>
        <w:rPr>
          <w:sz w:val="20"/>
          <w:szCs w:val="20"/>
          <w:lang w:val="en-US"/>
        </w:rPr>
      </w:pPr>
      <w:r w:rsidRPr="00BE53EA">
        <w:rPr>
          <w:sz w:val="20"/>
          <w:szCs w:val="20"/>
          <w:lang w:val="en-US"/>
        </w:rPr>
        <w:t xml:space="preserve">offset value 200 MHz from the band edge in </w:t>
      </w:r>
      <w:r>
        <w:rPr>
          <w:sz w:val="20"/>
          <w:szCs w:val="20"/>
          <w:lang w:val="en-US"/>
        </w:rPr>
        <w:t>6</w:t>
      </w:r>
      <w:r w:rsidRPr="00254910">
        <w:rPr>
          <w:sz w:val="20"/>
          <w:szCs w:val="20"/>
          <w:lang w:val="en-US"/>
        </w:rPr>
        <w:t xml:space="preserve"> GHz &lt; fc &lt; 10 GHz</w:t>
      </w:r>
    </w:p>
    <w:p w14:paraId="6DF9DA6C" w14:textId="1F38E92B" w:rsidR="00805588" w:rsidRDefault="00805588" w:rsidP="00805588">
      <w:pPr>
        <w:pStyle w:val="ListParagraph"/>
        <w:numPr>
          <w:ilvl w:val="1"/>
          <w:numId w:val="35"/>
        </w:numPr>
        <w:rPr>
          <w:sz w:val="20"/>
          <w:szCs w:val="20"/>
          <w:lang w:val="en-US"/>
        </w:rPr>
      </w:pPr>
      <w:r w:rsidRPr="00BE53EA">
        <w:rPr>
          <w:sz w:val="20"/>
          <w:szCs w:val="20"/>
          <w:lang w:val="en-US"/>
        </w:rPr>
        <w:t xml:space="preserve">offset value </w:t>
      </w:r>
      <w:r w:rsidR="00AB56BB">
        <w:rPr>
          <w:sz w:val="20"/>
          <w:szCs w:val="20"/>
          <w:lang w:val="en-US"/>
        </w:rPr>
        <w:t>5</w:t>
      </w:r>
      <w:r w:rsidRPr="00BE53EA">
        <w:rPr>
          <w:sz w:val="20"/>
          <w:szCs w:val="20"/>
          <w:lang w:val="en-US"/>
        </w:rPr>
        <w:t xml:space="preserve">00 MHz from the band edge in </w:t>
      </w:r>
      <w:r>
        <w:rPr>
          <w:sz w:val="20"/>
          <w:szCs w:val="20"/>
          <w:lang w:val="en-US"/>
        </w:rPr>
        <w:t>10</w:t>
      </w:r>
      <w:r w:rsidRPr="00254910">
        <w:rPr>
          <w:sz w:val="20"/>
          <w:szCs w:val="20"/>
          <w:lang w:val="en-US"/>
        </w:rPr>
        <w:t xml:space="preserve"> GHz &lt; fc &lt;</w:t>
      </w:r>
      <w:r>
        <w:rPr>
          <w:sz w:val="20"/>
          <w:szCs w:val="20"/>
          <w:lang w:val="en-US"/>
        </w:rPr>
        <w:t xml:space="preserve"> 15</w:t>
      </w:r>
      <w:r w:rsidRPr="00254910">
        <w:rPr>
          <w:sz w:val="20"/>
          <w:szCs w:val="20"/>
          <w:lang w:val="en-US"/>
        </w:rPr>
        <w:t xml:space="preserve"> GHz</w:t>
      </w:r>
    </w:p>
    <w:p w14:paraId="3C8B318F" w14:textId="41D33233" w:rsidR="00805588" w:rsidRDefault="00805588" w:rsidP="00805588">
      <w:pPr>
        <w:pStyle w:val="ListParagraph"/>
        <w:numPr>
          <w:ilvl w:val="1"/>
          <w:numId w:val="35"/>
        </w:numPr>
        <w:rPr>
          <w:sz w:val="20"/>
          <w:szCs w:val="20"/>
          <w:lang w:val="en-US"/>
        </w:rPr>
      </w:pPr>
      <w:r w:rsidRPr="00BE53EA">
        <w:rPr>
          <w:sz w:val="20"/>
          <w:szCs w:val="20"/>
          <w:lang w:val="en-US"/>
        </w:rPr>
        <w:t xml:space="preserve">offset value </w:t>
      </w:r>
      <w:r>
        <w:rPr>
          <w:sz w:val="20"/>
          <w:szCs w:val="20"/>
          <w:lang w:val="en-US"/>
        </w:rPr>
        <w:t>10</w:t>
      </w:r>
      <w:r w:rsidRPr="00BE53EA">
        <w:rPr>
          <w:sz w:val="20"/>
          <w:szCs w:val="20"/>
          <w:lang w:val="en-US"/>
        </w:rPr>
        <w:t xml:space="preserve">00 MHz from the band edge in </w:t>
      </w:r>
      <w:r w:rsidRPr="00254910">
        <w:rPr>
          <w:sz w:val="20"/>
          <w:szCs w:val="20"/>
          <w:lang w:val="en-US"/>
        </w:rPr>
        <w:t>fc &gt;</w:t>
      </w:r>
      <w:r w:rsidRPr="00805588">
        <w:rPr>
          <w:sz w:val="20"/>
          <w:szCs w:val="20"/>
          <w:lang w:val="en-US"/>
        </w:rPr>
        <w:t xml:space="preserve"> 15</w:t>
      </w:r>
      <w:r w:rsidRPr="00254910">
        <w:rPr>
          <w:sz w:val="20"/>
          <w:szCs w:val="20"/>
          <w:lang w:val="en-US"/>
        </w:rPr>
        <w:t xml:space="preserve"> GHz</w:t>
      </w:r>
    </w:p>
    <w:p w14:paraId="253D524E" w14:textId="7E6CC274" w:rsidR="00805588" w:rsidRDefault="00805588" w:rsidP="00805588">
      <w:pPr>
        <w:pStyle w:val="ListParagraph"/>
        <w:numPr>
          <w:ilvl w:val="0"/>
          <w:numId w:val="35"/>
        </w:numPr>
        <w:rPr>
          <w:sz w:val="20"/>
          <w:szCs w:val="20"/>
          <w:lang w:val="en-US"/>
        </w:rPr>
      </w:pPr>
      <w:r>
        <w:rPr>
          <w:sz w:val="20"/>
          <w:szCs w:val="20"/>
          <w:lang w:val="en-US"/>
        </w:rPr>
        <w:t>Variable boundary based on frequency range and channel BW as in the last column in table 2.</w:t>
      </w:r>
    </w:p>
    <w:p w14:paraId="696890A3" w14:textId="77777777" w:rsidR="003701A8" w:rsidRDefault="003701A8" w:rsidP="003701A8">
      <w:pPr>
        <w:rPr>
          <w:lang w:val="en-US"/>
        </w:rPr>
      </w:pPr>
    </w:p>
    <w:p w14:paraId="31196AC1" w14:textId="699B2AD6" w:rsidR="00001AF3" w:rsidRPr="003701A8" w:rsidRDefault="00F46C65" w:rsidP="003701A8">
      <w:pPr>
        <w:rPr>
          <w:lang w:val="en-US"/>
        </w:rPr>
      </w:pPr>
      <w:r>
        <w:rPr>
          <w:lang w:val="en-US"/>
        </w:rPr>
        <w:t>O</w:t>
      </w:r>
      <w:r w:rsidR="00001AF3">
        <w:rPr>
          <w:lang w:val="en-US"/>
        </w:rPr>
        <w:t>ption 1 is overlapping region with spurious domain</w:t>
      </w:r>
      <w:r>
        <w:rPr>
          <w:lang w:val="en-US"/>
        </w:rPr>
        <w:t xml:space="preserve"> and it is too tight for higher frequencies</w:t>
      </w:r>
      <w:r w:rsidR="00001AF3">
        <w:rPr>
          <w:lang w:val="en-US"/>
        </w:rPr>
        <w:t>. It is also difficult to select single value for the wide frequency range assumed for NR. Option 3 takes into account the frequency and channel BW impact</w:t>
      </w:r>
      <w:r w:rsidR="00A748BE">
        <w:rPr>
          <w:lang w:val="en-US"/>
        </w:rPr>
        <w:t xml:space="preserve"> but variability would lead to complex specification. Therefore our preference is to specify multiple fixed boundaries based on frequency range so that mask do not overlap with spurious domain. </w:t>
      </w:r>
    </w:p>
    <w:p w14:paraId="7780C418" w14:textId="77777777" w:rsidR="004F1261" w:rsidRPr="00DC1A9F" w:rsidRDefault="004F1261" w:rsidP="00143605">
      <w:pPr>
        <w:rPr>
          <w:rFonts w:eastAsia="SimSun"/>
          <w:b/>
          <w:i/>
          <w:lang w:val="en-US" w:eastAsia="zh-CN"/>
        </w:rPr>
      </w:pPr>
    </w:p>
    <w:p w14:paraId="4FBFC9C0" w14:textId="221D93AA" w:rsidR="00CD4C7B" w:rsidRPr="006E13D1" w:rsidRDefault="00C608C8" w:rsidP="00CD4C7B">
      <w:pPr>
        <w:pStyle w:val="Heading1"/>
      </w:pPr>
      <w:r>
        <w:t>3</w:t>
      </w:r>
      <w:r>
        <w:tab/>
        <w:t>Conclusion</w:t>
      </w:r>
      <w:r w:rsidR="00F909AE">
        <w:t>s</w:t>
      </w:r>
    </w:p>
    <w:p w14:paraId="1A03A8E2" w14:textId="1A636557" w:rsidR="00C2422B" w:rsidRPr="00D81FD9" w:rsidRDefault="00F91FBF" w:rsidP="009C7434">
      <w:pPr>
        <w:spacing w:after="0"/>
      </w:pPr>
      <w:r w:rsidRPr="00D81FD9">
        <w:t>Based on findings in</w:t>
      </w:r>
      <w:r w:rsidR="0087443D" w:rsidRPr="00D81FD9">
        <w:t xml:space="preserve"> this contribution we have </w:t>
      </w:r>
      <w:r w:rsidR="00001AF3">
        <w:t xml:space="preserve">the </w:t>
      </w:r>
      <w:r w:rsidRPr="00D81FD9">
        <w:t>following proposal.</w:t>
      </w:r>
    </w:p>
    <w:p w14:paraId="371102CA" w14:textId="77777777" w:rsidR="00C0639A" w:rsidRDefault="00C0639A" w:rsidP="009C7434">
      <w:pPr>
        <w:spacing w:after="0"/>
        <w:rPr>
          <w:sz w:val="18"/>
        </w:rPr>
      </w:pPr>
    </w:p>
    <w:p w14:paraId="7EA25185" w14:textId="05911402" w:rsidR="00A748BE" w:rsidRDefault="00A748BE" w:rsidP="00A748BE">
      <w:pPr>
        <w:rPr>
          <w:rFonts w:eastAsia="SimSun"/>
          <w:b/>
          <w:i/>
          <w:lang w:eastAsia="zh-CN"/>
        </w:rPr>
      </w:pPr>
      <w:r w:rsidRPr="00A748BE">
        <w:rPr>
          <w:rFonts w:eastAsia="SimSun"/>
          <w:b/>
          <w:i/>
          <w:lang w:eastAsia="zh-CN"/>
        </w:rPr>
        <w:t>Proposal 1</w:t>
      </w:r>
      <w:r w:rsidRPr="00A748BE">
        <w:rPr>
          <w:rFonts w:eastAsia="SimSun" w:hint="eastAsia"/>
          <w:b/>
          <w:i/>
          <w:lang w:eastAsia="zh-CN"/>
        </w:rPr>
        <w:t xml:space="preserve">: </w:t>
      </w:r>
      <w:r w:rsidRPr="00A748BE">
        <w:rPr>
          <w:rFonts w:eastAsia="SimSun"/>
          <w:b/>
          <w:i/>
          <w:lang w:eastAsia="zh-CN"/>
        </w:rPr>
        <w:t xml:space="preserve"> </w:t>
      </w:r>
      <w:r w:rsidR="00DC1A9F">
        <w:rPr>
          <w:rFonts w:eastAsia="SimSun"/>
          <w:b/>
          <w:i/>
          <w:lang w:eastAsia="zh-CN"/>
        </w:rPr>
        <w:t>For unwanted emissions s</w:t>
      </w:r>
      <w:r>
        <w:rPr>
          <w:rFonts w:eastAsia="SimSun"/>
          <w:b/>
          <w:i/>
          <w:lang w:eastAsia="zh-CN"/>
        </w:rPr>
        <w:t>pecify m</w:t>
      </w:r>
      <w:r w:rsidRPr="00A748BE">
        <w:rPr>
          <w:rFonts w:eastAsia="SimSun"/>
          <w:b/>
          <w:i/>
          <w:lang w:eastAsia="zh-CN"/>
        </w:rPr>
        <w:t>ultiple fixed boundaries based on frequency range so that mask do not overlap with spurious domain.</w:t>
      </w:r>
    </w:p>
    <w:p w14:paraId="341E59F2" w14:textId="77777777" w:rsidR="00A748BE" w:rsidRPr="00BE05E1" w:rsidRDefault="00A748BE" w:rsidP="00A748BE">
      <w:pPr>
        <w:pStyle w:val="ListParagraph"/>
        <w:numPr>
          <w:ilvl w:val="0"/>
          <w:numId w:val="32"/>
        </w:numPr>
        <w:rPr>
          <w:b/>
          <w:i/>
          <w:sz w:val="20"/>
          <w:szCs w:val="20"/>
          <w:lang w:val="en-GB"/>
        </w:rPr>
      </w:pPr>
      <w:r>
        <w:rPr>
          <w:b/>
          <w:i/>
          <w:sz w:val="20"/>
          <w:szCs w:val="20"/>
          <w:lang w:val="en-GB"/>
        </w:rPr>
        <w:t>O</w:t>
      </w:r>
      <w:r w:rsidRPr="00BE05E1">
        <w:rPr>
          <w:b/>
          <w:i/>
          <w:sz w:val="20"/>
          <w:szCs w:val="20"/>
          <w:lang w:val="en-GB"/>
        </w:rPr>
        <w:t>ffset value 200 MHz from the band edge in 6 GHz &lt; fc &lt; 10 GHz</w:t>
      </w:r>
    </w:p>
    <w:p w14:paraId="299F1913" w14:textId="77777777" w:rsidR="00DC1A9F" w:rsidRPr="00DC1A9F" w:rsidRDefault="00A748BE" w:rsidP="00DC1A9F">
      <w:pPr>
        <w:pStyle w:val="ListParagraph"/>
        <w:numPr>
          <w:ilvl w:val="0"/>
          <w:numId w:val="32"/>
        </w:numPr>
        <w:rPr>
          <w:b/>
          <w:i/>
          <w:lang w:val="en-US"/>
        </w:rPr>
      </w:pPr>
      <w:r>
        <w:rPr>
          <w:b/>
          <w:i/>
          <w:sz w:val="20"/>
          <w:szCs w:val="20"/>
          <w:lang w:val="en-GB"/>
        </w:rPr>
        <w:t>O</w:t>
      </w:r>
      <w:r w:rsidRPr="00BE05E1">
        <w:rPr>
          <w:b/>
          <w:i/>
          <w:sz w:val="20"/>
          <w:szCs w:val="20"/>
          <w:lang w:val="en-GB"/>
        </w:rPr>
        <w:t>ffset value 500 MHz from the band edge in 10 GHz &lt; fc &lt; 15 GHz</w:t>
      </w:r>
    </w:p>
    <w:p w14:paraId="6FDC2FD1" w14:textId="5791C4BE" w:rsidR="00A748BE" w:rsidRDefault="00A748BE" w:rsidP="00DC1A9F">
      <w:pPr>
        <w:pStyle w:val="ListParagraph"/>
        <w:numPr>
          <w:ilvl w:val="0"/>
          <w:numId w:val="32"/>
        </w:numPr>
        <w:rPr>
          <w:b/>
          <w:i/>
          <w:lang w:val="en-US"/>
        </w:rPr>
      </w:pPr>
      <w:r w:rsidRPr="00DC1A9F">
        <w:rPr>
          <w:b/>
          <w:i/>
          <w:sz w:val="20"/>
          <w:szCs w:val="20"/>
          <w:lang w:val="en-US"/>
        </w:rPr>
        <w:t>O</w:t>
      </w:r>
      <w:r w:rsidRPr="00DC1A9F">
        <w:rPr>
          <w:b/>
          <w:i/>
          <w:sz w:val="20"/>
          <w:szCs w:val="20"/>
          <w:lang w:val="en-GB"/>
        </w:rPr>
        <w:t>ffset value 1000 MHz from the band edge in fc &gt; 15 GHz</w:t>
      </w:r>
      <w:r w:rsidRPr="0073289E">
        <w:rPr>
          <w:b/>
          <w:i/>
          <w:lang w:val="en-US"/>
        </w:rPr>
        <w:t xml:space="preserve"> </w:t>
      </w:r>
    </w:p>
    <w:p w14:paraId="3D93C4F4" w14:textId="465075BC" w:rsidR="0073289E" w:rsidRPr="0073289E" w:rsidRDefault="0073289E" w:rsidP="00DC1A9F">
      <w:pPr>
        <w:pStyle w:val="ListParagraph"/>
        <w:numPr>
          <w:ilvl w:val="0"/>
          <w:numId w:val="32"/>
        </w:numPr>
        <w:rPr>
          <w:b/>
          <w:i/>
          <w:sz w:val="20"/>
          <w:szCs w:val="20"/>
          <w:lang w:val="en-GB"/>
        </w:rPr>
      </w:pPr>
      <w:r w:rsidRPr="0073289E">
        <w:rPr>
          <w:b/>
          <w:i/>
          <w:sz w:val="20"/>
          <w:szCs w:val="20"/>
          <w:lang w:val="en-GB"/>
        </w:rPr>
        <w:t>FFS if</w:t>
      </w:r>
      <w:r>
        <w:rPr>
          <w:b/>
          <w:i/>
          <w:sz w:val="20"/>
          <w:szCs w:val="20"/>
          <w:lang w:val="en-GB"/>
        </w:rPr>
        <w:t xml:space="preserve"> additional offsets are needed in higher frequencies</w:t>
      </w:r>
    </w:p>
    <w:p w14:paraId="4CF86233" w14:textId="77777777" w:rsidR="00A748BE" w:rsidRPr="00D81FD9" w:rsidRDefault="00A748BE" w:rsidP="00A748BE">
      <w:pPr>
        <w:rPr>
          <w:lang w:val="en-US"/>
        </w:rPr>
      </w:pPr>
    </w:p>
    <w:p w14:paraId="61C16FC4" w14:textId="77777777" w:rsidR="00CD4C7B" w:rsidRPr="006E13D1" w:rsidRDefault="00CD4C7B" w:rsidP="00CD4C7B">
      <w:pPr>
        <w:pStyle w:val="Heading1"/>
      </w:pPr>
      <w:r w:rsidRPr="006E13D1">
        <w:t>References</w:t>
      </w:r>
    </w:p>
    <w:p w14:paraId="72D3CDC1" w14:textId="06C19A98" w:rsidR="00DC6CF9" w:rsidRDefault="00740915" w:rsidP="005A49DB">
      <w:pPr>
        <w:numPr>
          <w:ilvl w:val="0"/>
          <w:numId w:val="4"/>
        </w:numPr>
        <w:overflowPunct w:val="0"/>
        <w:autoSpaceDE w:val="0"/>
        <w:autoSpaceDN w:val="0"/>
        <w:adjustRightInd w:val="0"/>
        <w:textAlignment w:val="baseline"/>
        <w:rPr>
          <w:sz w:val="18"/>
          <w:lang w:eastAsia="zh-CN"/>
        </w:rPr>
      </w:pPr>
      <w:r>
        <w:rPr>
          <w:sz w:val="18"/>
          <w:lang w:eastAsia="zh-CN"/>
        </w:rPr>
        <w:t>R4-168796</w:t>
      </w:r>
      <w:r w:rsidR="00DC6CF9">
        <w:rPr>
          <w:sz w:val="18"/>
          <w:lang w:eastAsia="zh-CN"/>
        </w:rPr>
        <w:t>, “</w:t>
      </w:r>
      <w:r w:rsidR="00210336" w:rsidRPr="008D3F5F">
        <w:rPr>
          <w:sz w:val="18"/>
          <w:lang w:eastAsia="zh-CN"/>
        </w:rPr>
        <w:t>WF on NR BS RF requirements</w:t>
      </w:r>
      <w:r>
        <w:rPr>
          <w:sz w:val="18"/>
          <w:lang w:eastAsia="zh-CN"/>
        </w:rPr>
        <w:t xml:space="preserve"> for NR</w:t>
      </w:r>
      <w:r w:rsidR="00210336" w:rsidRPr="008D3F5F">
        <w:rPr>
          <w:sz w:val="18"/>
          <w:lang w:eastAsia="zh-CN"/>
        </w:rPr>
        <w:t>”,</w:t>
      </w:r>
      <w:r w:rsidR="00210336" w:rsidRPr="00210336">
        <w:rPr>
          <w:sz w:val="18"/>
          <w:lang w:eastAsia="zh-CN"/>
        </w:rPr>
        <w:t xml:space="preserve"> </w:t>
      </w:r>
      <w:r>
        <w:rPr>
          <w:sz w:val="18"/>
          <w:lang w:eastAsia="zh-CN"/>
        </w:rPr>
        <w:t>Nokia, Ericsson, Huawei</w:t>
      </w:r>
    </w:p>
    <w:p w14:paraId="7DDB3856" w14:textId="269708DD" w:rsidR="009E6820" w:rsidRPr="009E6820" w:rsidRDefault="009E6820" w:rsidP="009E6820">
      <w:pPr>
        <w:numPr>
          <w:ilvl w:val="0"/>
          <w:numId w:val="4"/>
        </w:numPr>
        <w:overflowPunct w:val="0"/>
        <w:autoSpaceDE w:val="0"/>
        <w:autoSpaceDN w:val="0"/>
        <w:adjustRightInd w:val="0"/>
        <w:textAlignment w:val="baseline"/>
        <w:rPr>
          <w:sz w:val="18"/>
          <w:lang w:eastAsia="zh-CN"/>
        </w:rPr>
      </w:pPr>
      <w:r>
        <w:rPr>
          <w:sz w:val="18"/>
          <w:lang w:eastAsia="zh-CN"/>
        </w:rPr>
        <w:t>R4-167080, “</w:t>
      </w:r>
      <w:r w:rsidRPr="00740915">
        <w:rPr>
          <w:sz w:val="18"/>
          <w:lang w:eastAsia="zh-CN"/>
        </w:rPr>
        <w:t>TP for 38.803: Boundary between spurious and OOB domain”, Ericsson</w:t>
      </w:r>
    </w:p>
    <w:p w14:paraId="45EB3DFF" w14:textId="0FD67DF3" w:rsidR="00D4109C" w:rsidRDefault="009B4251" w:rsidP="00740915">
      <w:pPr>
        <w:numPr>
          <w:ilvl w:val="0"/>
          <w:numId w:val="4"/>
        </w:numPr>
        <w:overflowPunct w:val="0"/>
        <w:autoSpaceDE w:val="0"/>
        <w:autoSpaceDN w:val="0"/>
        <w:adjustRightInd w:val="0"/>
        <w:textAlignment w:val="baseline"/>
        <w:rPr>
          <w:sz w:val="18"/>
          <w:lang w:eastAsia="zh-CN"/>
        </w:rPr>
      </w:pPr>
      <w:r>
        <w:rPr>
          <w:sz w:val="18"/>
          <w:lang w:eastAsia="zh-CN"/>
        </w:rPr>
        <w:t>R4-</w:t>
      </w:r>
      <w:r w:rsidR="00740915">
        <w:rPr>
          <w:sz w:val="18"/>
          <w:lang w:eastAsia="zh-CN"/>
        </w:rPr>
        <w:t>167420</w:t>
      </w:r>
      <w:r w:rsidRPr="007576CF">
        <w:rPr>
          <w:sz w:val="18"/>
          <w:lang w:eastAsia="zh-CN"/>
        </w:rPr>
        <w:t>, “</w:t>
      </w:r>
      <w:r w:rsidR="00740915" w:rsidRPr="00740915">
        <w:rPr>
          <w:sz w:val="18"/>
          <w:lang w:eastAsia="zh-CN"/>
        </w:rPr>
        <w:t>Unwanted emissions requirement for NR</w:t>
      </w:r>
      <w:r w:rsidR="00740915">
        <w:rPr>
          <w:sz w:val="18"/>
          <w:lang w:eastAsia="zh-CN"/>
        </w:rPr>
        <w:t>”, Ericsson</w:t>
      </w:r>
    </w:p>
    <w:p w14:paraId="717AD1FB" w14:textId="72338575" w:rsidR="00740915" w:rsidRDefault="00740915" w:rsidP="00740915">
      <w:pPr>
        <w:numPr>
          <w:ilvl w:val="0"/>
          <w:numId w:val="4"/>
        </w:numPr>
        <w:overflowPunct w:val="0"/>
        <w:autoSpaceDE w:val="0"/>
        <w:autoSpaceDN w:val="0"/>
        <w:adjustRightInd w:val="0"/>
        <w:textAlignment w:val="baseline"/>
        <w:rPr>
          <w:sz w:val="18"/>
          <w:lang w:eastAsia="zh-CN"/>
        </w:rPr>
      </w:pPr>
      <w:r>
        <w:rPr>
          <w:sz w:val="18"/>
          <w:lang w:eastAsia="zh-CN"/>
        </w:rPr>
        <w:t>R4-167734, “</w:t>
      </w:r>
      <w:r w:rsidRPr="00740915">
        <w:rPr>
          <w:sz w:val="18"/>
          <w:lang w:eastAsia="zh-CN"/>
        </w:rPr>
        <w:t>On spectrum emission mask”, Huawei</w:t>
      </w:r>
      <w:r>
        <w:rPr>
          <w:sz w:val="18"/>
          <w:lang w:eastAsia="zh-CN"/>
        </w:rPr>
        <w:t>, Hi</w:t>
      </w:r>
      <w:r w:rsidR="001834B0">
        <w:rPr>
          <w:sz w:val="18"/>
          <w:lang w:eastAsia="zh-CN"/>
        </w:rPr>
        <w:t>S</w:t>
      </w:r>
      <w:r>
        <w:rPr>
          <w:sz w:val="18"/>
          <w:lang w:eastAsia="zh-CN"/>
        </w:rPr>
        <w:t>il</w:t>
      </w:r>
      <w:r w:rsidR="001834B0">
        <w:rPr>
          <w:sz w:val="18"/>
          <w:lang w:eastAsia="zh-CN"/>
        </w:rPr>
        <w:t>i</w:t>
      </w:r>
      <w:r>
        <w:rPr>
          <w:sz w:val="18"/>
          <w:lang w:eastAsia="zh-CN"/>
        </w:rPr>
        <w:t>con</w:t>
      </w:r>
    </w:p>
    <w:p w14:paraId="348FB8C7" w14:textId="3F4F3200" w:rsidR="00D67946" w:rsidRPr="00740915" w:rsidRDefault="00D67946" w:rsidP="00740915">
      <w:pPr>
        <w:numPr>
          <w:ilvl w:val="0"/>
          <w:numId w:val="4"/>
        </w:numPr>
        <w:overflowPunct w:val="0"/>
        <w:autoSpaceDE w:val="0"/>
        <w:autoSpaceDN w:val="0"/>
        <w:adjustRightInd w:val="0"/>
        <w:textAlignment w:val="baseline"/>
        <w:rPr>
          <w:sz w:val="18"/>
          <w:lang w:eastAsia="zh-CN"/>
        </w:rPr>
      </w:pPr>
      <w:r w:rsidRPr="00D67946">
        <w:rPr>
          <w:sz w:val="18"/>
          <w:lang w:eastAsia="zh-CN"/>
        </w:rPr>
        <w:t>R4-168872</w:t>
      </w:r>
      <w:r w:rsidR="00D016DB">
        <w:rPr>
          <w:sz w:val="18"/>
          <w:lang w:eastAsia="zh-CN"/>
        </w:rPr>
        <w:t>, “</w:t>
      </w:r>
      <w:r w:rsidR="00D016DB" w:rsidRPr="00D016DB">
        <w:rPr>
          <w:sz w:val="18"/>
          <w:lang w:eastAsia="zh-CN"/>
        </w:rPr>
        <w:t>Way forward on OTA ACLR definition</w:t>
      </w:r>
      <w:r w:rsidR="00D016DB">
        <w:rPr>
          <w:sz w:val="18"/>
          <w:lang w:eastAsia="zh-CN"/>
        </w:rPr>
        <w:t>”, Ericsson</w:t>
      </w:r>
    </w:p>
    <w:sectPr w:rsidR="00D67946" w:rsidRPr="007409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5976C" w14:textId="77777777" w:rsidR="0010019F" w:rsidRDefault="0010019F">
      <w:r>
        <w:separator/>
      </w:r>
    </w:p>
  </w:endnote>
  <w:endnote w:type="continuationSeparator" w:id="0">
    <w:p w14:paraId="54B52659" w14:textId="77777777" w:rsidR="0010019F" w:rsidRDefault="00100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1EF06" w14:textId="77777777" w:rsidR="0010019F" w:rsidRDefault="0010019F">
      <w:r>
        <w:separator/>
      </w:r>
    </w:p>
  </w:footnote>
  <w:footnote w:type="continuationSeparator" w:id="0">
    <w:p w14:paraId="6D88127E" w14:textId="77777777" w:rsidR="0010019F" w:rsidRDefault="001001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B02D6"/>
    <w:multiLevelType w:val="hybridMultilevel"/>
    <w:tmpl w:val="0CA8DEC4"/>
    <w:lvl w:ilvl="0" w:tplc="A7260BE4">
      <w:start w:val="1"/>
      <w:numFmt w:val="bullet"/>
      <w:lvlText w:val="•"/>
      <w:lvlJc w:val="left"/>
      <w:pPr>
        <w:tabs>
          <w:tab w:val="num" w:pos="720"/>
        </w:tabs>
        <w:ind w:left="720" w:hanging="360"/>
      </w:pPr>
      <w:rPr>
        <w:rFonts w:ascii="Arial" w:hAnsi="Arial" w:hint="default"/>
      </w:rPr>
    </w:lvl>
    <w:lvl w:ilvl="1" w:tplc="9CA4ADF4" w:tentative="1">
      <w:start w:val="1"/>
      <w:numFmt w:val="bullet"/>
      <w:lvlText w:val="•"/>
      <w:lvlJc w:val="left"/>
      <w:pPr>
        <w:tabs>
          <w:tab w:val="num" w:pos="1440"/>
        </w:tabs>
        <w:ind w:left="1440" w:hanging="360"/>
      </w:pPr>
      <w:rPr>
        <w:rFonts w:ascii="Arial" w:hAnsi="Arial" w:hint="default"/>
      </w:rPr>
    </w:lvl>
    <w:lvl w:ilvl="2" w:tplc="13C2621C" w:tentative="1">
      <w:start w:val="1"/>
      <w:numFmt w:val="bullet"/>
      <w:lvlText w:val="•"/>
      <w:lvlJc w:val="left"/>
      <w:pPr>
        <w:tabs>
          <w:tab w:val="num" w:pos="2160"/>
        </w:tabs>
        <w:ind w:left="2160" w:hanging="360"/>
      </w:pPr>
      <w:rPr>
        <w:rFonts w:ascii="Arial" w:hAnsi="Arial" w:hint="default"/>
      </w:rPr>
    </w:lvl>
    <w:lvl w:ilvl="3" w:tplc="54688B86" w:tentative="1">
      <w:start w:val="1"/>
      <w:numFmt w:val="bullet"/>
      <w:lvlText w:val="•"/>
      <w:lvlJc w:val="left"/>
      <w:pPr>
        <w:tabs>
          <w:tab w:val="num" w:pos="2880"/>
        </w:tabs>
        <w:ind w:left="2880" w:hanging="360"/>
      </w:pPr>
      <w:rPr>
        <w:rFonts w:ascii="Arial" w:hAnsi="Arial" w:hint="default"/>
      </w:rPr>
    </w:lvl>
    <w:lvl w:ilvl="4" w:tplc="2A3EF7E8" w:tentative="1">
      <w:start w:val="1"/>
      <w:numFmt w:val="bullet"/>
      <w:lvlText w:val="•"/>
      <w:lvlJc w:val="left"/>
      <w:pPr>
        <w:tabs>
          <w:tab w:val="num" w:pos="3600"/>
        </w:tabs>
        <w:ind w:left="3600" w:hanging="360"/>
      </w:pPr>
      <w:rPr>
        <w:rFonts w:ascii="Arial" w:hAnsi="Arial" w:hint="default"/>
      </w:rPr>
    </w:lvl>
    <w:lvl w:ilvl="5" w:tplc="35E289AE" w:tentative="1">
      <w:start w:val="1"/>
      <w:numFmt w:val="bullet"/>
      <w:lvlText w:val="•"/>
      <w:lvlJc w:val="left"/>
      <w:pPr>
        <w:tabs>
          <w:tab w:val="num" w:pos="4320"/>
        </w:tabs>
        <w:ind w:left="4320" w:hanging="360"/>
      </w:pPr>
      <w:rPr>
        <w:rFonts w:ascii="Arial" w:hAnsi="Arial" w:hint="default"/>
      </w:rPr>
    </w:lvl>
    <w:lvl w:ilvl="6" w:tplc="657CD3B2" w:tentative="1">
      <w:start w:val="1"/>
      <w:numFmt w:val="bullet"/>
      <w:lvlText w:val="•"/>
      <w:lvlJc w:val="left"/>
      <w:pPr>
        <w:tabs>
          <w:tab w:val="num" w:pos="5040"/>
        </w:tabs>
        <w:ind w:left="5040" w:hanging="360"/>
      </w:pPr>
      <w:rPr>
        <w:rFonts w:ascii="Arial" w:hAnsi="Arial" w:hint="default"/>
      </w:rPr>
    </w:lvl>
    <w:lvl w:ilvl="7" w:tplc="057CA1FE" w:tentative="1">
      <w:start w:val="1"/>
      <w:numFmt w:val="bullet"/>
      <w:lvlText w:val="•"/>
      <w:lvlJc w:val="left"/>
      <w:pPr>
        <w:tabs>
          <w:tab w:val="num" w:pos="5760"/>
        </w:tabs>
        <w:ind w:left="5760" w:hanging="360"/>
      </w:pPr>
      <w:rPr>
        <w:rFonts w:ascii="Arial" w:hAnsi="Arial" w:hint="default"/>
      </w:rPr>
    </w:lvl>
    <w:lvl w:ilvl="8" w:tplc="0FAC8A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D7326"/>
    <w:multiLevelType w:val="hybridMultilevel"/>
    <w:tmpl w:val="F9643BF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15:restartNumberingAfterBreak="0">
    <w:nsid w:val="17431097"/>
    <w:multiLevelType w:val="hybridMultilevel"/>
    <w:tmpl w:val="A114F00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2A57A2"/>
    <w:multiLevelType w:val="hybridMultilevel"/>
    <w:tmpl w:val="54887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DF6DEF"/>
    <w:multiLevelType w:val="hybridMultilevel"/>
    <w:tmpl w:val="97F87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E36CA8"/>
    <w:multiLevelType w:val="hybridMultilevel"/>
    <w:tmpl w:val="59E06A4C"/>
    <w:lvl w:ilvl="0" w:tplc="62DC1E2C">
      <w:start w:val="1"/>
      <w:numFmt w:val="bullet"/>
      <w:lvlText w:val="•"/>
      <w:lvlJc w:val="left"/>
      <w:pPr>
        <w:tabs>
          <w:tab w:val="num" w:pos="720"/>
        </w:tabs>
        <w:ind w:left="720" w:hanging="360"/>
      </w:pPr>
      <w:rPr>
        <w:rFonts w:ascii="Arial" w:hAnsi="Arial" w:hint="default"/>
      </w:rPr>
    </w:lvl>
    <w:lvl w:ilvl="1" w:tplc="D3944C62">
      <w:start w:val="26"/>
      <w:numFmt w:val="bullet"/>
      <w:lvlText w:val="–"/>
      <w:lvlJc w:val="left"/>
      <w:pPr>
        <w:tabs>
          <w:tab w:val="num" w:pos="1440"/>
        </w:tabs>
        <w:ind w:left="1440" w:hanging="360"/>
      </w:pPr>
      <w:rPr>
        <w:rFonts w:ascii="Arial" w:hAnsi="Arial" w:hint="default"/>
      </w:rPr>
    </w:lvl>
    <w:lvl w:ilvl="2" w:tplc="BD4CA864" w:tentative="1">
      <w:start w:val="1"/>
      <w:numFmt w:val="bullet"/>
      <w:lvlText w:val="•"/>
      <w:lvlJc w:val="left"/>
      <w:pPr>
        <w:tabs>
          <w:tab w:val="num" w:pos="2160"/>
        </w:tabs>
        <w:ind w:left="2160" w:hanging="360"/>
      </w:pPr>
      <w:rPr>
        <w:rFonts w:ascii="Arial" w:hAnsi="Arial" w:hint="default"/>
      </w:rPr>
    </w:lvl>
    <w:lvl w:ilvl="3" w:tplc="9EC809DA" w:tentative="1">
      <w:start w:val="1"/>
      <w:numFmt w:val="bullet"/>
      <w:lvlText w:val="•"/>
      <w:lvlJc w:val="left"/>
      <w:pPr>
        <w:tabs>
          <w:tab w:val="num" w:pos="2880"/>
        </w:tabs>
        <w:ind w:left="2880" w:hanging="360"/>
      </w:pPr>
      <w:rPr>
        <w:rFonts w:ascii="Arial" w:hAnsi="Arial" w:hint="default"/>
      </w:rPr>
    </w:lvl>
    <w:lvl w:ilvl="4" w:tplc="352C4D40" w:tentative="1">
      <w:start w:val="1"/>
      <w:numFmt w:val="bullet"/>
      <w:lvlText w:val="•"/>
      <w:lvlJc w:val="left"/>
      <w:pPr>
        <w:tabs>
          <w:tab w:val="num" w:pos="3600"/>
        </w:tabs>
        <w:ind w:left="3600" w:hanging="360"/>
      </w:pPr>
      <w:rPr>
        <w:rFonts w:ascii="Arial" w:hAnsi="Arial" w:hint="default"/>
      </w:rPr>
    </w:lvl>
    <w:lvl w:ilvl="5" w:tplc="29A405B8" w:tentative="1">
      <w:start w:val="1"/>
      <w:numFmt w:val="bullet"/>
      <w:lvlText w:val="•"/>
      <w:lvlJc w:val="left"/>
      <w:pPr>
        <w:tabs>
          <w:tab w:val="num" w:pos="4320"/>
        </w:tabs>
        <w:ind w:left="4320" w:hanging="360"/>
      </w:pPr>
      <w:rPr>
        <w:rFonts w:ascii="Arial" w:hAnsi="Arial" w:hint="default"/>
      </w:rPr>
    </w:lvl>
    <w:lvl w:ilvl="6" w:tplc="A2065F2C" w:tentative="1">
      <w:start w:val="1"/>
      <w:numFmt w:val="bullet"/>
      <w:lvlText w:val="•"/>
      <w:lvlJc w:val="left"/>
      <w:pPr>
        <w:tabs>
          <w:tab w:val="num" w:pos="5040"/>
        </w:tabs>
        <w:ind w:left="5040" w:hanging="360"/>
      </w:pPr>
      <w:rPr>
        <w:rFonts w:ascii="Arial" w:hAnsi="Arial" w:hint="default"/>
      </w:rPr>
    </w:lvl>
    <w:lvl w:ilvl="7" w:tplc="738AE20C" w:tentative="1">
      <w:start w:val="1"/>
      <w:numFmt w:val="bullet"/>
      <w:lvlText w:val="•"/>
      <w:lvlJc w:val="left"/>
      <w:pPr>
        <w:tabs>
          <w:tab w:val="num" w:pos="5760"/>
        </w:tabs>
        <w:ind w:left="5760" w:hanging="360"/>
      </w:pPr>
      <w:rPr>
        <w:rFonts w:ascii="Arial" w:hAnsi="Arial" w:hint="default"/>
      </w:rPr>
    </w:lvl>
    <w:lvl w:ilvl="8" w:tplc="687022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1B5DE6"/>
    <w:multiLevelType w:val="hybridMultilevel"/>
    <w:tmpl w:val="F9643BF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C416F1"/>
    <w:multiLevelType w:val="hybridMultilevel"/>
    <w:tmpl w:val="8C58B84A"/>
    <w:lvl w:ilvl="0" w:tplc="85BAADAA">
      <w:start w:val="1"/>
      <w:numFmt w:val="bullet"/>
      <w:lvlText w:val="•"/>
      <w:lvlJc w:val="left"/>
      <w:pPr>
        <w:tabs>
          <w:tab w:val="num" w:pos="720"/>
        </w:tabs>
        <w:ind w:left="720" w:hanging="360"/>
      </w:pPr>
      <w:rPr>
        <w:rFonts w:ascii="Arial" w:hAnsi="Arial" w:hint="default"/>
      </w:rPr>
    </w:lvl>
    <w:lvl w:ilvl="1" w:tplc="CD32769C">
      <w:start w:val="2696"/>
      <w:numFmt w:val="bullet"/>
      <w:lvlText w:val="–"/>
      <w:lvlJc w:val="left"/>
      <w:pPr>
        <w:tabs>
          <w:tab w:val="num" w:pos="1440"/>
        </w:tabs>
        <w:ind w:left="1440" w:hanging="360"/>
      </w:pPr>
      <w:rPr>
        <w:rFonts w:ascii="Arial" w:hAnsi="Arial" w:hint="default"/>
      </w:rPr>
    </w:lvl>
    <w:lvl w:ilvl="2" w:tplc="D9066190" w:tentative="1">
      <w:start w:val="1"/>
      <w:numFmt w:val="bullet"/>
      <w:lvlText w:val="•"/>
      <w:lvlJc w:val="left"/>
      <w:pPr>
        <w:tabs>
          <w:tab w:val="num" w:pos="2160"/>
        </w:tabs>
        <w:ind w:left="2160" w:hanging="360"/>
      </w:pPr>
      <w:rPr>
        <w:rFonts w:ascii="Arial" w:hAnsi="Arial" w:hint="default"/>
      </w:rPr>
    </w:lvl>
    <w:lvl w:ilvl="3" w:tplc="2D043CB2" w:tentative="1">
      <w:start w:val="1"/>
      <w:numFmt w:val="bullet"/>
      <w:lvlText w:val="•"/>
      <w:lvlJc w:val="left"/>
      <w:pPr>
        <w:tabs>
          <w:tab w:val="num" w:pos="2880"/>
        </w:tabs>
        <w:ind w:left="2880" w:hanging="360"/>
      </w:pPr>
      <w:rPr>
        <w:rFonts w:ascii="Arial" w:hAnsi="Arial" w:hint="default"/>
      </w:rPr>
    </w:lvl>
    <w:lvl w:ilvl="4" w:tplc="F7340820" w:tentative="1">
      <w:start w:val="1"/>
      <w:numFmt w:val="bullet"/>
      <w:lvlText w:val="•"/>
      <w:lvlJc w:val="left"/>
      <w:pPr>
        <w:tabs>
          <w:tab w:val="num" w:pos="3600"/>
        </w:tabs>
        <w:ind w:left="3600" w:hanging="360"/>
      </w:pPr>
      <w:rPr>
        <w:rFonts w:ascii="Arial" w:hAnsi="Arial" w:hint="default"/>
      </w:rPr>
    </w:lvl>
    <w:lvl w:ilvl="5" w:tplc="FAB82396" w:tentative="1">
      <w:start w:val="1"/>
      <w:numFmt w:val="bullet"/>
      <w:lvlText w:val="•"/>
      <w:lvlJc w:val="left"/>
      <w:pPr>
        <w:tabs>
          <w:tab w:val="num" w:pos="4320"/>
        </w:tabs>
        <w:ind w:left="4320" w:hanging="360"/>
      </w:pPr>
      <w:rPr>
        <w:rFonts w:ascii="Arial" w:hAnsi="Arial" w:hint="default"/>
      </w:rPr>
    </w:lvl>
    <w:lvl w:ilvl="6" w:tplc="B43E4C9C" w:tentative="1">
      <w:start w:val="1"/>
      <w:numFmt w:val="bullet"/>
      <w:lvlText w:val="•"/>
      <w:lvlJc w:val="left"/>
      <w:pPr>
        <w:tabs>
          <w:tab w:val="num" w:pos="5040"/>
        </w:tabs>
        <w:ind w:left="5040" w:hanging="360"/>
      </w:pPr>
      <w:rPr>
        <w:rFonts w:ascii="Arial" w:hAnsi="Arial" w:hint="default"/>
      </w:rPr>
    </w:lvl>
    <w:lvl w:ilvl="7" w:tplc="6EE26180" w:tentative="1">
      <w:start w:val="1"/>
      <w:numFmt w:val="bullet"/>
      <w:lvlText w:val="•"/>
      <w:lvlJc w:val="left"/>
      <w:pPr>
        <w:tabs>
          <w:tab w:val="num" w:pos="5760"/>
        </w:tabs>
        <w:ind w:left="5760" w:hanging="360"/>
      </w:pPr>
      <w:rPr>
        <w:rFonts w:ascii="Arial" w:hAnsi="Arial" w:hint="default"/>
      </w:rPr>
    </w:lvl>
    <w:lvl w:ilvl="8" w:tplc="E21E433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916C52"/>
    <w:multiLevelType w:val="hybridMultilevel"/>
    <w:tmpl w:val="C39CBBC4"/>
    <w:lvl w:ilvl="0" w:tplc="CDA010F6">
      <w:start w:val="1"/>
      <w:numFmt w:val="bullet"/>
      <w:lvlText w:val="•"/>
      <w:lvlJc w:val="left"/>
      <w:pPr>
        <w:tabs>
          <w:tab w:val="num" w:pos="720"/>
        </w:tabs>
        <w:ind w:left="720" w:hanging="360"/>
      </w:pPr>
      <w:rPr>
        <w:rFonts w:ascii="Arial" w:hAnsi="Arial" w:hint="default"/>
      </w:rPr>
    </w:lvl>
    <w:lvl w:ilvl="1" w:tplc="05169398">
      <w:start w:val="67"/>
      <w:numFmt w:val="bullet"/>
      <w:lvlText w:val="•"/>
      <w:lvlJc w:val="left"/>
      <w:pPr>
        <w:tabs>
          <w:tab w:val="num" w:pos="1440"/>
        </w:tabs>
        <w:ind w:left="1440" w:hanging="360"/>
      </w:pPr>
      <w:rPr>
        <w:rFonts w:ascii="Arial" w:hAnsi="Arial" w:hint="default"/>
      </w:rPr>
    </w:lvl>
    <w:lvl w:ilvl="2" w:tplc="90BC15DA" w:tentative="1">
      <w:start w:val="1"/>
      <w:numFmt w:val="bullet"/>
      <w:lvlText w:val="•"/>
      <w:lvlJc w:val="left"/>
      <w:pPr>
        <w:tabs>
          <w:tab w:val="num" w:pos="2160"/>
        </w:tabs>
        <w:ind w:left="2160" w:hanging="360"/>
      </w:pPr>
      <w:rPr>
        <w:rFonts w:ascii="Arial" w:hAnsi="Arial" w:hint="default"/>
      </w:rPr>
    </w:lvl>
    <w:lvl w:ilvl="3" w:tplc="99DAC5E4" w:tentative="1">
      <w:start w:val="1"/>
      <w:numFmt w:val="bullet"/>
      <w:lvlText w:val="•"/>
      <w:lvlJc w:val="left"/>
      <w:pPr>
        <w:tabs>
          <w:tab w:val="num" w:pos="2880"/>
        </w:tabs>
        <w:ind w:left="2880" w:hanging="360"/>
      </w:pPr>
      <w:rPr>
        <w:rFonts w:ascii="Arial" w:hAnsi="Arial" w:hint="default"/>
      </w:rPr>
    </w:lvl>
    <w:lvl w:ilvl="4" w:tplc="3A8802D4" w:tentative="1">
      <w:start w:val="1"/>
      <w:numFmt w:val="bullet"/>
      <w:lvlText w:val="•"/>
      <w:lvlJc w:val="left"/>
      <w:pPr>
        <w:tabs>
          <w:tab w:val="num" w:pos="3600"/>
        </w:tabs>
        <w:ind w:left="3600" w:hanging="360"/>
      </w:pPr>
      <w:rPr>
        <w:rFonts w:ascii="Arial" w:hAnsi="Arial" w:hint="default"/>
      </w:rPr>
    </w:lvl>
    <w:lvl w:ilvl="5" w:tplc="E93419F6" w:tentative="1">
      <w:start w:val="1"/>
      <w:numFmt w:val="bullet"/>
      <w:lvlText w:val="•"/>
      <w:lvlJc w:val="left"/>
      <w:pPr>
        <w:tabs>
          <w:tab w:val="num" w:pos="4320"/>
        </w:tabs>
        <w:ind w:left="4320" w:hanging="360"/>
      </w:pPr>
      <w:rPr>
        <w:rFonts w:ascii="Arial" w:hAnsi="Arial" w:hint="default"/>
      </w:rPr>
    </w:lvl>
    <w:lvl w:ilvl="6" w:tplc="3EF81466" w:tentative="1">
      <w:start w:val="1"/>
      <w:numFmt w:val="bullet"/>
      <w:lvlText w:val="•"/>
      <w:lvlJc w:val="left"/>
      <w:pPr>
        <w:tabs>
          <w:tab w:val="num" w:pos="5040"/>
        </w:tabs>
        <w:ind w:left="5040" w:hanging="360"/>
      </w:pPr>
      <w:rPr>
        <w:rFonts w:ascii="Arial" w:hAnsi="Arial" w:hint="default"/>
      </w:rPr>
    </w:lvl>
    <w:lvl w:ilvl="7" w:tplc="F962CC5C" w:tentative="1">
      <w:start w:val="1"/>
      <w:numFmt w:val="bullet"/>
      <w:lvlText w:val="•"/>
      <w:lvlJc w:val="left"/>
      <w:pPr>
        <w:tabs>
          <w:tab w:val="num" w:pos="5760"/>
        </w:tabs>
        <w:ind w:left="5760" w:hanging="360"/>
      </w:pPr>
      <w:rPr>
        <w:rFonts w:ascii="Arial" w:hAnsi="Arial" w:hint="default"/>
      </w:rPr>
    </w:lvl>
    <w:lvl w:ilvl="8" w:tplc="9BD4AF8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E81185F"/>
    <w:multiLevelType w:val="hybridMultilevel"/>
    <w:tmpl w:val="79BC831C"/>
    <w:lvl w:ilvl="0" w:tplc="5854E480">
      <w:start w:val="1"/>
      <w:numFmt w:val="bullet"/>
      <w:lvlText w:val="•"/>
      <w:lvlJc w:val="left"/>
      <w:pPr>
        <w:tabs>
          <w:tab w:val="num" w:pos="720"/>
        </w:tabs>
        <w:ind w:left="720" w:hanging="360"/>
      </w:pPr>
      <w:rPr>
        <w:rFonts w:ascii="Arial" w:hAnsi="Arial" w:hint="default"/>
      </w:rPr>
    </w:lvl>
    <w:lvl w:ilvl="1" w:tplc="B72CBA84" w:tentative="1">
      <w:start w:val="1"/>
      <w:numFmt w:val="bullet"/>
      <w:lvlText w:val="•"/>
      <w:lvlJc w:val="left"/>
      <w:pPr>
        <w:tabs>
          <w:tab w:val="num" w:pos="1440"/>
        </w:tabs>
        <w:ind w:left="1440" w:hanging="360"/>
      </w:pPr>
      <w:rPr>
        <w:rFonts w:ascii="Arial" w:hAnsi="Arial" w:hint="default"/>
      </w:rPr>
    </w:lvl>
    <w:lvl w:ilvl="2" w:tplc="F69687D4" w:tentative="1">
      <w:start w:val="1"/>
      <w:numFmt w:val="bullet"/>
      <w:lvlText w:val="•"/>
      <w:lvlJc w:val="left"/>
      <w:pPr>
        <w:tabs>
          <w:tab w:val="num" w:pos="2160"/>
        </w:tabs>
        <w:ind w:left="2160" w:hanging="360"/>
      </w:pPr>
      <w:rPr>
        <w:rFonts w:ascii="Arial" w:hAnsi="Arial" w:hint="default"/>
      </w:rPr>
    </w:lvl>
    <w:lvl w:ilvl="3" w:tplc="302A11BA" w:tentative="1">
      <w:start w:val="1"/>
      <w:numFmt w:val="bullet"/>
      <w:lvlText w:val="•"/>
      <w:lvlJc w:val="left"/>
      <w:pPr>
        <w:tabs>
          <w:tab w:val="num" w:pos="2880"/>
        </w:tabs>
        <w:ind w:left="2880" w:hanging="360"/>
      </w:pPr>
      <w:rPr>
        <w:rFonts w:ascii="Arial" w:hAnsi="Arial" w:hint="default"/>
      </w:rPr>
    </w:lvl>
    <w:lvl w:ilvl="4" w:tplc="822EB584" w:tentative="1">
      <w:start w:val="1"/>
      <w:numFmt w:val="bullet"/>
      <w:lvlText w:val="•"/>
      <w:lvlJc w:val="left"/>
      <w:pPr>
        <w:tabs>
          <w:tab w:val="num" w:pos="3600"/>
        </w:tabs>
        <w:ind w:left="3600" w:hanging="360"/>
      </w:pPr>
      <w:rPr>
        <w:rFonts w:ascii="Arial" w:hAnsi="Arial" w:hint="default"/>
      </w:rPr>
    </w:lvl>
    <w:lvl w:ilvl="5" w:tplc="FE129DE4" w:tentative="1">
      <w:start w:val="1"/>
      <w:numFmt w:val="bullet"/>
      <w:lvlText w:val="•"/>
      <w:lvlJc w:val="left"/>
      <w:pPr>
        <w:tabs>
          <w:tab w:val="num" w:pos="4320"/>
        </w:tabs>
        <w:ind w:left="4320" w:hanging="360"/>
      </w:pPr>
      <w:rPr>
        <w:rFonts w:ascii="Arial" w:hAnsi="Arial" w:hint="default"/>
      </w:rPr>
    </w:lvl>
    <w:lvl w:ilvl="6" w:tplc="B54230FE" w:tentative="1">
      <w:start w:val="1"/>
      <w:numFmt w:val="bullet"/>
      <w:lvlText w:val="•"/>
      <w:lvlJc w:val="left"/>
      <w:pPr>
        <w:tabs>
          <w:tab w:val="num" w:pos="5040"/>
        </w:tabs>
        <w:ind w:left="5040" w:hanging="360"/>
      </w:pPr>
      <w:rPr>
        <w:rFonts w:ascii="Arial" w:hAnsi="Arial" w:hint="default"/>
      </w:rPr>
    </w:lvl>
    <w:lvl w:ilvl="7" w:tplc="0D5039C6" w:tentative="1">
      <w:start w:val="1"/>
      <w:numFmt w:val="bullet"/>
      <w:lvlText w:val="•"/>
      <w:lvlJc w:val="left"/>
      <w:pPr>
        <w:tabs>
          <w:tab w:val="num" w:pos="5760"/>
        </w:tabs>
        <w:ind w:left="5760" w:hanging="360"/>
      </w:pPr>
      <w:rPr>
        <w:rFonts w:ascii="Arial" w:hAnsi="Arial" w:hint="default"/>
      </w:rPr>
    </w:lvl>
    <w:lvl w:ilvl="8" w:tplc="A986FF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E20E26"/>
    <w:multiLevelType w:val="hybridMultilevel"/>
    <w:tmpl w:val="BA026A28"/>
    <w:lvl w:ilvl="0" w:tplc="1E26FA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C0766"/>
    <w:multiLevelType w:val="hybridMultilevel"/>
    <w:tmpl w:val="A114F00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836081"/>
    <w:multiLevelType w:val="hybridMultilevel"/>
    <w:tmpl w:val="ED522028"/>
    <w:lvl w:ilvl="0" w:tplc="E0D6241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C91E76"/>
    <w:multiLevelType w:val="hybridMultilevel"/>
    <w:tmpl w:val="AC187E6A"/>
    <w:lvl w:ilvl="0" w:tplc="FCD66C1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0857B1"/>
    <w:multiLevelType w:val="hybridMultilevel"/>
    <w:tmpl w:val="B446518A"/>
    <w:lvl w:ilvl="0" w:tplc="158852C4">
      <w:start w:val="6"/>
      <w:numFmt w:val="bullet"/>
      <w:lvlText w:val="-"/>
      <w:lvlJc w:val="left"/>
      <w:pPr>
        <w:ind w:left="1539" w:hanging="360"/>
      </w:pPr>
      <w:rPr>
        <w:rFonts w:ascii="Times New Roman" w:eastAsia="Times New Roman" w:hAnsi="Times New Roman" w:cs="Times New Roman" w:hint="default"/>
      </w:rPr>
    </w:lvl>
    <w:lvl w:ilvl="1" w:tplc="04090003" w:tentative="1">
      <w:start w:val="1"/>
      <w:numFmt w:val="bullet"/>
      <w:lvlText w:val="o"/>
      <w:lvlJc w:val="left"/>
      <w:pPr>
        <w:ind w:left="2259" w:hanging="360"/>
      </w:pPr>
      <w:rPr>
        <w:rFonts w:ascii="Courier New" w:hAnsi="Courier New" w:cs="Courier New" w:hint="default"/>
      </w:rPr>
    </w:lvl>
    <w:lvl w:ilvl="2" w:tplc="04090005" w:tentative="1">
      <w:start w:val="1"/>
      <w:numFmt w:val="bullet"/>
      <w:lvlText w:val=""/>
      <w:lvlJc w:val="left"/>
      <w:pPr>
        <w:ind w:left="2979" w:hanging="360"/>
      </w:pPr>
      <w:rPr>
        <w:rFonts w:ascii="Wingdings" w:hAnsi="Wingdings" w:hint="default"/>
      </w:rPr>
    </w:lvl>
    <w:lvl w:ilvl="3" w:tplc="04090001" w:tentative="1">
      <w:start w:val="1"/>
      <w:numFmt w:val="bullet"/>
      <w:lvlText w:val=""/>
      <w:lvlJc w:val="left"/>
      <w:pPr>
        <w:ind w:left="3699" w:hanging="360"/>
      </w:pPr>
      <w:rPr>
        <w:rFonts w:ascii="Symbol" w:hAnsi="Symbol" w:hint="default"/>
      </w:rPr>
    </w:lvl>
    <w:lvl w:ilvl="4" w:tplc="04090003" w:tentative="1">
      <w:start w:val="1"/>
      <w:numFmt w:val="bullet"/>
      <w:lvlText w:val="o"/>
      <w:lvlJc w:val="left"/>
      <w:pPr>
        <w:ind w:left="4419" w:hanging="360"/>
      </w:pPr>
      <w:rPr>
        <w:rFonts w:ascii="Courier New" w:hAnsi="Courier New" w:cs="Courier New" w:hint="default"/>
      </w:rPr>
    </w:lvl>
    <w:lvl w:ilvl="5" w:tplc="04090005" w:tentative="1">
      <w:start w:val="1"/>
      <w:numFmt w:val="bullet"/>
      <w:lvlText w:val=""/>
      <w:lvlJc w:val="left"/>
      <w:pPr>
        <w:ind w:left="5139" w:hanging="360"/>
      </w:pPr>
      <w:rPr>
        <w:rFonts w:ascii="Wingdings" w:hAnsi="Wingdings" w:hint="default"/>
      </w:rPr>
    </w:lvl>
    <w:lvl w:ilvl="6" w:tplc="04090001" w:tentative="1">
      <w:start w:val="1"/>
      <w:numFmt w:val="bullet"/>
      <w:lvlText w:val=""/>
      <w:lvlJc w:val="left"/>
      <w:pPr>
        <w:ind w:left="5859" w:hanging="360"/>
      </w:pPr>
      <w:rPr>
        <w:rFonts w:ascii="Symbol" w:hAnsi="Symbol" w:hint="default"/>
      </w:rPr>
    </w:lvl>
    <w:lvl w:ilvl="7" w:tplc="04090003" w:tentative="1">
      <w:start w:val="1"/>
      <w:numFmt w:val="bullet"/>
      <w:lvlText w:val="o"/>
      <w:lvlJc w:val="left"/>
      <w:pPr>
        <w:ind w:left="6579" w:hanging="360"/>
      </w:pPr>
      <w:rPr>
        <w:rFonts w:ascii="Courier New" w:hAnsi="Courier New" w:cs="Courier New" w:hint="default"/>
      </w:rPr>
    </w:lvl>
    <w:lvl w:ilvl="8" w:tplc="04090005" w:tentative="1">
      <w:start w:val="1"/>
      <w:numFmt w:val="bullet"/>
      <w:lvlText w:val=""/>
      <w:lvlJc w:val="left"/>
      <w:pPr>
        <w:ind w:left="7299" w:hanging="360"/>
      </w:pPr>
      <w:rPr>
        <w:rFonts w:ascii="Wingdings" w:hAnsi="Wingdings" w:hint="default"/>
      </w:rPr>
    </w:lvl>
  </w:abstractNum>
  <w:abstractNum w:abstractNumId="27" w15:restartNumberingAfterBreak="0">
    <w:nsid w:val="5EA947D1"/>
    <w:multiLevelType w:val="hybridMultilevel"/>
    <w:tmpl w:val="AB460D9A"/>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9D73E33"/>
    <w:multiLevelType w:val="hybridMultilevel"/>
    <w:tmpl w:val="93861E10"/>
    <w:lvl w:ilvl="0" w:tplc="5D5C20AA">
      <w:start w:val="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29" w15:restartNumberingAfterBreak="0">
    <w:nsid w:val="762F4167"/>
    <w:multiLevelType w:val="hybridMultilevel"/>
    <w:tmpl w:val="A114F00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95262C"/>
    <w:multiLevelType w:val="hybridMultilevel"/>
    <w:tmpl w:val="3210E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322E52"/>
    <w:multiLevelType w:val="hybridMultilevel"/>
    <w:tmpl w:val="6414D030"/>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2D574C"/>
    <w:multiLevelType w:val="hybridMultilevel"/>
    <w:tmpl w:val="9122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22"/>
    <w:lvlOverride w:ilvl="0">
      <w:startOverride w:val="1"/>
    </w:lvlOverride>
    <w:lvlOverride w:ilvl="1"/>
    <w:lvlOverride w:ilvl="2"/>
    <w:lvlOverride w:ilvl="3"/>
    <w:lvlOverride w:ilvl="4"/>
    <w:lvlOverride w:ilvl="5"/>
    <w:lvlOverride w:ilvl="6"/>
    <w:lvlOverride w:ilvl="7"/>
    <w:lvlOverride w:ilvl="8"/>
  </w:num>
  <w:num w:numId="6">
    <w:abstractNumId w:val="10"/>
  </w:num>
  <w:num w:numId="7">
    <w:abstractNumId w:val="4"/>
  </w:num>
  <w:num w:numId="8">
    <w:abstractNumId w:val="25"/>
  </w:num>
  <w:num w:numId="9">
    <w:abstractNumId w:val="7"/>
  </w:num>
  <w:num w:numId="10">
    <w:abstractNumId w:val="21"/>
  </w:num>
  <w:num w:numId="11">
    <w:abstractNumId w:val="6"/>
  </w:num>
  <w:num w:numId="12">
    <w:abstractNumId w:val="30"/>
  </w:num>
  <w:num w:numId="13">
    <w:abstractNumId w:val="25"/>
  </w:num>
  <w:num w:numId="14">
    <w:abstractNumId w:val="31"/>
  </w:num>
  <w:num w:numId="15">
    <w:abstractNumId w:val="23"/>
  </w:num>
  <w:num w:numId="16">
    <w:abstractNumId w:val="9"/>
  </w:num>
  <w:num w:numId="17">
    <w:abstractNumId w:val="18"/>
  </w:num>
  <w:num w:numId="18">
    <w:abstractNumId w:val="24"/>
  </w:num>
  <w:num w:numId="19">
    <w:abstractNumId w:val="27"/>
  </w:num>
  <w:num w:numId="20">
    <w:abstractNumId w:val="15"/>
  </w:num>
  <w:num w:numId="21">
    <w:abstractNumId w:val="33"/>
  </w:num>
  <w:num w:numId="22">
    <w:abstractNumId w:val="13"/>
  </w:num>
  <w:num w:numId="23">
    <w:abstractNumId w:val="32"/>
  </w:num>
  <w:num w:numId="24">
    <w:abstractNumId w:val="34"/>
  </w:num>
  <w:num w:numId="25">
    <w:abstractNumId w:val="8"/>
  </w:num>
  <w:num w:numId="26">
    <w:abstractNumId w:val="26"/>
  </w:num>
  <w:num w:numId="27">
    <w:abstractNumId w:val="28"/>
  </w:num>
  <w:num w:numId="28">
    <w:abstractNumId w:val="5"/>
  </w:num>
  <w:num w:numId="29">
    <w:abstractNumId w:val="14"/>
  </w:num>
  <w:num w:numId="30">
    <w:abstractNumId w:val="29"/>
  </w:num>
  <w:num w:numId="31">
    <w:abstractNumId w:val="19"/>
  </w:num>
  <w:num w:numId="32">
    <w:abstractNumId w:val="20"/>
  </w:num>
  <w:num w:numId="33">
    <w:abstractNumId w:val="11"/>
  </w:num>
  <w:num w:numId="34">
    <w:abstractNumId w:val="17"/>
  </w:num>
  <w:num w:numId="35">
    <w:abstractNumId w:val="3"/>
  </w:num>
  <w:num w:numId="36">
    <w:abstractNumId w:val="2"/>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768"/>
    <w:rsid w:val="00001AF3"/>
    <w:rsid w:val="00003938"/>
    <w:rsid w:val="000158A9"/>
    <w:rsid w:val="00016B80"/>
    <w:rsid w:val="00017313"/>
    <w:rsid w:val="000267CB"/>
    <w:rsid w:val="00030689"/>
    <w:rsid w:val="00033397"/>
    <w:rsid w:val="000365B5"/>
    <w:rsid w:val="00040095"/>
    <w:rsid w:val="00043AFC"/>
    <w:rsid w:val="00044AC0"/>
    <w:rsid w:val="0004528A"/>
    <w:rsid w:val="00046C5F"/>
    <w:rsid w:val="00051408"/>
    <w:rsid w:val="00054C92"/>
    <w:rsid w:val="0005576C"/>
    <w:rsid w:val="00073190"/>
    <w:rsid w:val="0007527A"/>
    <w:rsid w:val="00075888"/>
    <w:rsid w:val="00080512"/>
    <w:rsid w:val="000809EF"/>
    <w:rsid w:val="000830B8"/>
    <w:rsid w:val="00086320"/>
    <w:rsid w:val="00090468"/>
    <w:rsid w:val="00092463"/>
    <w:rsid w:val="000A1A7C"/>
    <w:rsid w:val="000A4929"/>
    <w:rsid w:val="000B120E"/>
    <w:rsid w:val="000B6309"/>
    <w:rsid w:val="000B7BCF"/>
    <w:rsid w:val="000C02E7"/>
    <w:rsid w:val="000C0834"/>
    <w:rsid w:val="000C250C"/>
    <w:rsid w:val="000C522B"/>
    <w:rsid w:val="000C6725"/>
    <w:rsid w:val="000D58AB"/>
    <w:rsid w:val="000D64D4"/>
    <w:rsid w:val="000D771B"/>
    <w:rsid w:val="000F23A4"/>
    <w:rsid w:val="000F583D"/>
    <w:rsid w:val="000F6E85"/>
    <w:rsid w:val="000F7070"/>
    <w:rsid w:val="0010019F"/>
    <w:rsid w:val="00103E62"/>
    <w:rsid w:val="00123F58"/>
    <w:rsid w:val="00124B34"/>
    <w:rsid w:val="0013458E"/>
    <w:rsid w:val="00134B00"/>
    <w:rsid w:val="00142048"/>
    <w:rsid w:val="00143605"/>
    <w:rsid w:val="00147B64"/>
    <w:rsid w:val="001509A1"/>
    <w:rsid w:val="00156982"/>
    <w:rsid w:val="00157570"/>
    <w:rsid w:val="00160C24"/>
    <w:rsid w:val="00171463"/>
    <w:rsid w:val="00172D1A"/>
    <w:rsid w:val="001741A0"/>
    <w:rsid w:val="00176E94"/>
    <w:rsid w:val="00183421"/>
    <w:rsid w:val="001834B0"/>
    <w:rsid w:val="001842C2"/>
    <w:rsid w:val="0018583D"/>
    <w:rsid w:val="001863F5"/>
    <w:rsid w:val="00194CD0"/>
    <w:rsid w:val="00194E93"/>
    <w:rsid w:val="00197D5B"/>
    <w:rsid w:val="001A2A06"/>
    <w:rsid w:val="001B1574"/>
    <w:rsid w:val="001B49C9"/>
    <w:rsid w:val="001D3BFF"/>
    <w:rsid w:val="001D5449"/>
    <w:rsid w:val="001D662B"/>
    <w:rsid w:val="001D68E2"/>
    <w:rsid w:val="001E1DEB"/>
    <w:rsid w:val="001E5E16"/>
    <w:rsid w:val="001F168B"/>
    <w:rsid w:val="001F36CE"/>
    <w:rsid w:val="001F7831"/>
    <w:rsid w:val="001F7F31"/>
    <w:rsid w:val="00201C2F"/>
    <w:rsid w:val="00202BB2"/>
    <w:rsid w:val="00204045"/>
    <w:rsid w:val="00210336"/>
    <w:rsid w:val="0021682D"/>
    <w:rsid w:val="00217539"/>
    <w:rsid w:val="002220DD"/>
    <w:rsid w:val="0022606D"/>
    <w:rsid w:val="00233796"/>
    <w:rsid w:val="00241B8E"/>
    <w:rsid w:val="00244951"/>
    <w:rsid w:val="002519DA"/>
    <w:rsid w:val="00254910"/>
    <w:rsid w:val="00254962"/>
    <w:rsid w:val="00256F2C"/>
    <w:rsid w:val="002710CA"/>
    <w:rsid w:val="002747EC"/>
    <w:rsid w:val="00281E1F"/>
    <w:rsid w:val="00283F97"/>
    <w:rsid w:val="00284494"/>
    <w:rsid w:val="002855BF"/>
    <w:rsid w:val="00285F58"/>
    <w:rsid w:val="00290BB8"/>
    <w:rsid w:val="002A7F44"/>
    <w:rsid w:val="002C0C05"/>
    <w:rsid w:val="002C52AF"/>
    <w:rsid w:val="002C7FDB"/>
    <w:rsid w:val="002D3588"/>
    <w:rsid w:val="002F0D22"/>
    <w:rsid w:val="002F2942"/>
    <w:rsid w:val="002F7351"/>
    <w:rsid w:val="0030003D"/>
    <w:rsid w:val="00303F80"/>
    <w:rsid w:val="00304A8D"/>
    <w:rsid w:val="00316195"/>
    <w:rsid w:val="003172DC"/>
    <w:rsid w:val="00325B90"/>
    <w:rsid w:val="00326069"/>
    <w:rsid w:val="00352D97"/>
    <w:rsid w:val="0035462D"/>
    <w:rsid w:val="0035791B"/>
    <w:rsid w:val="00361679"/>
    <w:rsid w:val="003701A8"/>
    <w:rsid w:val="00370277"/>
    <w:rsid w:val="0038046A"/>
    <w:rsid w:val="00381A6C"/>
    <w:rsid w:val="00384421"/>
    <w:rsid w:val="00390EF3"/>
    <w:rsid w:val="003A4E98"/>
    <w:rsid w:val="003A5A3E"/>
    <w:rsid w:val="003B38A8"/>
    <w:rsid w:val="003B3FA8"/>
    <w:rsid w:val="003B438D"/>
    <w:rsid w:val="003C4E37"/>
    <w:rsid w:val="003D6E96"/>
    <w:rsid w:val="003E16BE"/>
    <w:rsid w:val="003E4439"/>
    <w:rsid w:val="003F5DA7"/>
    <w:rsid w:val="003F6AAF"/>
    <w:rsid w:val="00401855"/>
    <w:rsid w:val="004038E6"/>
    <w:rsid w:val="0040604D"/>
    <w:rsid w:val="00407F50"/>
    <w:rsid w:val="004129F8"/>
    <w:rsid w:val="00416866"/>
    <w:rsid w:val="00422BFB"/>
    <w:rsid w:val="00424D13"/>
    <w:rsid w:val="00427EBA"/>
    <w:rsid w:val="0043021C"/>
    <w:rsid w:val="00430DD6"/>
    <w:rsid w:val="00432EA4"/>
    <w:rsid w:val="00443E7E"/>
    <w:rsid w:val="00445AB5"/>
    <w:rsid w:val="00451F80"/>
    <w:rsid w:val="0045227D"/>
    <w:rsid w:val="00466118"/>
    <w:rsid w:val="00472724"/>
    <w:rsid w:val="004748CD"/>
    <w:rsid w:val="00476542"/>
    <w:rsid w:val="00477455"/>
    <w:rsid w:val="004813D0"/>
    <w:rsid w:val="00482066"/>
    <w:rsid w:val="004A0324"/>
    <w:rsid w:val="004A4285"/>
    <w:rsid w:val="004A51E7"/>
    <w:rsid w:val="004B21A2"/>
    <w:rsid w:val="004B4FB4"/>
    <w:rsid w:val="004D2FAA"/>
    <w:rsid w:val="004D3578"/>
    <w:rsid w:val="004D380D"/>
    <w:rsid w:val="004E0940"/>
    <w:rsid w:val="004E213A"/>
    <w:rsid w:val="004F1261"/>
    <w:rsid w:val="004F745E"/>
    <w:rsid w:val="00503171"/>
    <w:rsid w:val="005050F0"/>
    <w:rsid w:val="00506060"/>
    <w:rsid w:val="005141F9"/>
    <w:rsid w:val="005227A3"/>
    <w:rsid w:val="00523613"/>
    <w:rsid w:val="00534DA0"/>
    <w:rsid w:val="00540EF4"/>
    <w:rsid w:val="00543E6C"/>
    <w:rsid w:val="005453C8"/>
    <w:rsid w:val="0055179C"/>
    <w:rsid w:val="00562F5D"/>
    <w:rsid w:val="00564AFD"/>
    <w:rsid w:val="00565087"/>
    <w:rsid w:val="0056573F"/>
    <w:rsid w:val="0056742E"/>
    <w:rsid w:val="005719E8"/>
    <w:rsid w:val="00572A4B"/>
    <w:rsid w:val="00574400"/>
    <w:rsid w:val="0059000D"/>
    <w:rsid w:val="00592A31"/>
    <w:rsid w:val="005935C6"/>
    <w:rsid w:val="00597739"/>
    <w:rsid w:val="005A49DB"/>
    <w:rsid w:val="005B0554"/>
    <w:rsid w:val="005B3245"/>
    <w:rsid w:val="005C0FDB"/>
    <w:rsid w:val="005C1A83"/>
    <w:rsid w:val="005C2293"/>
    <w:rsid w:val="005D343C"/>
    <w:rsid w:val="005E414F"/>
    <w:rsid w:val="005F02BB"/>
    <w:rsid w:val="005F36CC"/>
    <w:rsid w:val="005F4720"/>
    <w:rsid w:val="005F5C79"/>
    <w:rsid w:val="005F73F8"/>
    <w:rsid w:val="00600984"/>
    <w:rsid w:val="00607ACD"/>
    <w:rsid w:val="00611566"/>
    <w:rsid w:val="00625433"/>
    <w:rsid w:val="00630070"/>
    <w:rsid w:val="006419B0"/>
    <w:rsid w:val="0064349F"/>
    <w:rsid w:val="00646D99"/>
    <w:rsid w:val="006516F9"/>
    <w:rsid w:val="0065482B"/>
    <w:rsid w:val="00656910"/>
    <w:rsid w:val="00664B16"/>
    <w:rsid w:val="00665F61"/>
    <w:rsid w:val="0067102A"/>
    <w:rsid w:val="006776D1"/>
    <w:rsid w:val="0068143A"/>
    <w:rsid w:val="00685F26"/>
    <w:rsid w:val="006A01DD"/>
    <w:rsid w:val="006A0B35"/>
    <w:rsid w:val="006A18A5"/>
    <w:rsid w:val="006A28E7"/>
    <w:rsid w:val="006A2982"/>
    <w:rsid w:val="006B19D5"/>
    <w:rsid w:val="006B6C1A"/>
    <w:rsid w:val="006C48CB"/>
    <w:rsid w:val="006C66D8"/>
    <w:rsid w:val="006C7481"/>
    <w:rsid w:val="006D1E24"/>
    <w:rsid w:val="006D25DB"/>
    <w:rsid w:val="006D7508"/>
    <w:rsid w:val="006F543E"/>
    <w:rsid w:val="006F6A2C"/>
    <w:rsid w:val="00702306"/>
    <w:rsid w:val="007201A8"/>
    <w:rsid w:val="00726ECF"/>
    <w:rsid w:val="0073289E"/>
    <w:rsid w:val="00734A5B"/>
    <w:rsid w:val="00740915"/>
    <w:rsid w:val="00744E76"/>
    <w:rsid w:val="00745DF4"/>
    <w:rsid w:val="00751E84"/>
    <w:rsid w:val="007576CF"/>
    <w:rsid w:val="00757D40"/>
    <w:rsid w:val="00762914"/>
    <w:rsid w:val="00763A99"/>
    <w:rsid w:val="00764EF7"/>
    <w:rsid w:val="00773A5C"/>
    <w:rsid w:val="00781F0F"/>
    <w:rsid w:val="0078727C"/>
    <w:rsid w:val="00794703"/>
    <w:rsid w:val="007A5D51"/>
    <w:rsid w:val="007B18D8"/>
    <w:rsid w:val="007B239C"/>
    <w:rsid w:val="007B3A9B"/>
    <w:rsid w:val="007B5E68"/>
    <w:rsid w:val="007C095F"/>
    <w:rsid w:val="007D6DC9"/>
    <w:rsid w:val="007E75E9"/>
    <w:rsid w:val="00800C51"/>
    <w:rsid w:val="008028A4"/>
    <w:rsid w:val="00803572"/>
    <w:rsid w:val="00805588"/>
    <w:rsid w:val="00820206"/>
    <w:rsid w:val="008251EC"/>
    <w:rsid w:val="008267A4"/>
    <w:rsid w:val="008268CE"/>
    <w:rsid w:val="008314F0"/>
    <w:rsid w:val="00834AD1"/>
    <w:rsid w:val="008531D2"/>
    <w:rsid w:val="00862B4E"/>
    <w:rsid w:val="008651F5"/>
    <w:rsid w:val="0086539A"/>
    <w:rsid w:val="008657E1"/>
    <w:rsid w:val="008663F0"/>
    <w:rsid w:val="0086716D"/>
    <w:rsid w:val="0087443D"/>
    <w:rsid w:val="008762C1"/>
    <w:rsid w:val="008768CA"/>
    <w:rsid w:val="008770B3"/>
    <w:rsid w:val="00880559"/>
    <w:rsid w:val="00883564"/>
    <w:rsid w:val="008840FF"/>
    <w:rsid w:val="00884944"/>
    <w:rsid w:val="00886976"/>
    <w:rsid w:val="00886E81"/>
    <w:rsid w:val="008909EA"/>
    <w:rsid w:val="008918EF"/>
    <w:rsid w:val="008A1F7A"/>
    <w:rsid w:val="008A5F0E"/>
    <w:rsid w:val="008B0648"/>
    <w:rsid w:val="008B2259"/>
    <w:rsid w:val="008C31EC"/>
    <w:rsid w:val="008C3221"/>
    <w:rsid w:val="008D26C0"/>
    <w:rsid w:val="008D3951"/>
    <w:rsid w:val="008D3F5F"/>
    <w:rsid w:val="008D7B95"/>
    <w:rsid w:val="008E29B9"/>
    <w:rsid w:val="008E7422"/>
    <w:rsid w:val="0090271F"/>
    <w:rsid w:val="00902C20"/>
    <w:rsid w:val="00911B19"/>
    <w:rsid w:val="0091687F"/>
    <w:rsid w:val="00916B4F"/>
    <w:rsid w:val="009175D3"/>
    <w:rsid w:val="00921992"/>
    <w:rsid w:val="00925C75"/>
    <w:rsid w:val="00933E02"/>
    <w:rsid w:val="00934D1F"/>
    <w:rsid w:val="009368F7"/>
    <w:rsid w:val="00937E12"/>
    <w:rsid w:val="00942EC2"/>
    <w:rsid w:val="00961B32"/>
    <w:rsid w:val="00964437"/>
    <w:rsid w:val="00965AC8"/>
    <w:rsid w:val="00965F54"/>
    <w:rsid w:val="009664FF"/>
    <w:rsid w:val="0096732A"/>
    <w:rsid w:val="00974BB0"/>
    <w:rsid w:val="00975266"/>
    <w:rsid w:val="00977040"/>
    <w:rsid w:val="009802BA"/>
    <w:rsid w:val="00980D60"/>
    <w:rsid w:val="00983994"/>
    <w:rsid w:val="0099504F"/>
    <w:rsid w:val="009957D3"/>
    <w:rsid w:val="009A0CB6"/>
    <w:rsid w:val="009A2A0D"/>
    <w:rsid w:val="009A449C"/>
    <w:rsid w:val="009B07CD"/>
    <w:rsid w:val="009B4251"/>
    <w:rsid w:val="009C0FC4"/>
    <w:rsid w:val="009C6446"/>
    <w:rsid w:val="009C7434"/>
    <w:rsid w:val="009D547F"/>
    <w:rsid w:val="009E6120"/>
    <w:rsid w:val="009E6820"/>
    <w:rsid w:val="009E7A4D"/>
    <w:rsid w:val="009F6E12"/>
    <w:rsid w:val="00A000FF"/>
    <w:rsid w:val="00A10F02"/>
    <w:rsid w:val="00A14B2B"/>
    <w:rsid w:val="00A15497"/>
    <w:rsid w:val="00A17378"/>
    <w:rsid w:val="00A20363"/>
    <w:rsid w:val="00A24EC1"/>
    <w:rsid w:val="00A35C13"/>
    <w:rsid w:val="00A36BCE"/>
    <w:rsid w:val="00A40F9B"/>
    <w:rsid w:val="00A41AF6"/>
    <w:rsid w:val="00A426EE"/>
    <w:rsid w:val="00A44C94"/>
    <w:rsid w:val="00A45FE2"/>
    <w:rsid w:val="00A53724"/>
    <w:rsid w:val="00A575A8"/>
    <w:rsid w:val="00A63893"/>
    <w:rsid w:val="00A70614"/>
    <w:rsid w:val="00A7177C"/>
    <w:rsid w:val="00A71892"/>
    <w:rsid w:val="00A748BE"/>
    <w:rsid w:val="00A82346"/>
    <w:rsid w:val="00A90968"/>
    <w:rsid w:val="00A9671C"/>
    <w:rsid w:val="00AA549B"/>
    <w:rsid w:val="00AA5E39"/>
    <w:rsid w:val="00AB56BB"/>
    <w:rsid w:val="00AC4BFF"/>
    <w:rsid w:val="00AC5410"/>
    <w:rsid w:val="00AD0ACD"/>
    <w:rsid w:val="00AE67C8"/>
    <w:rsid w:val="00AF0814"/>
    <w:rsid w:val="00AF097E"/>
    <w:rsid w:val="00AF3271"/>
    <w:rsid w:val="00B00706"/>
    <w:rsid w:val="00B00D9F"/>
    <w:rsid w:val="00B00FC1"/>
    <w:rsid w:val="00B0132D"/>
    <w:rsid w:val="00B015AE"/>
    <w:rsid w:val="00B075FF"/>
    <w:rsid w:val="00B151BE"/>
    <w:rsid w:val="00B15449"/>
    <w:rsid w:val="00B1576F"/>
    <w:rsid w:val="00B167C6"/>
    <w:rsid w:val="00B17799"/>
    <w:rsid w:val="00B20065"/>
    <w:rsid w:val="00B21FDB"/>
    <w:rsid w:val="00B22A1E"/>
    <w:rsid w:val="00B23F66"/>
    <w:rsid w:val="00B32DD1"/>
    <w:rsid w:val="00B3671D"/>
    <w:rsid w:val="00B36A57"/>
    <w:rsid w:val="00B37D83"/>
    <w:rsid w:val="00B403B3"/>
    <w:rsid w:val="00B419A4"/>
    <w:rsid w:val="00B421F2"/>
    <w:rsid w:val="00B43D4D"/>
    <w:rsid w:val="00B47FD1"/>
    <w:rsid w:val="00B52126"/>
    <w:rsid w:val="00B60B61"/>
    <w:rsid w:val="00B61475"/>
    <w:rsid w:val="00B643EA"/>
    <w:rsid w:val="00B729FF"/>
    <w:rsid w:val="00B74C3A"/>
    <w:rsid w:val="00B75553"/>
    <w:rsid w:val="00B84530"/>
    <w:rsid w:val="00B858DB"/>
    <w:rsid w:val="00B8713A"/>
    <w:rsid w:val="00B958F1"/>
    <w:rsid w:val="00B962AF"/>
    <w:rsid w:val="00B96C86"/>
    <w:rsid w:val="00BA0577"/>
    <w:rsid w:val="00BA247D"/>
    <w:rsid w:val="00BB2E05"/>
    <w:rsid w:val="00BC7107"/>
    <w:rsid w:val="00BC7429"/>
    <w:rsid w:val="00BC7BB9"/>
    <w:rsid w:val="00BE53EA"/>
    <w:rsid w:val="00BE5542"/>
    <w:rsid w:val="00BF021E"/>
    <w:rsid w:val="00BF21D6"/>
    <w:rsid w:val="00BF7487"/>
    <w:rsid w:val="00C013D6"/>
    <w:rsid w:val="00C0639A"/>
    <w:rsid w:val="00C10CB9"/>
    <w:rsid w:val="00C12875"/>
    <w:rsid w:val="00C12B51"/>
    <w:rsid w:val="00C16658"/>
    <w:rsid w:val="00C16CAB"/>
    <w:rsid w:val="00C2422B"/>
    <w:rsid w:val="00C33079"/>
    <w:rsid w:val="00C45643"/>
    <w:rsid w:val="00C50C08"/>
    <w:rsid w:val="00C50DAF"/>
    <w:rsid w:val="00C57DCA"/>
    <w:rsid w:val="00C608C8"/>
    <w:rsid w:val="00C62886"/>
    <w:rsid w:val="00C659DA"/>
    <w:rsid w:val="00C67C94"/>
    <w:rsid w:val="00C75BED"/>
    <w:rsid w:val="00C762D5"/>
    <w:rsid w:val="00C83A13"/>
    <w:rsid w:val="00C92312"/>
    <w:rsid w:val="00C92D5D"/>
    <w:rsid w:val="00CA0C51"/>
    <w:rsid w:val="00CA3D0C"/>
    <w:rsid w:val="00CA6F6C"/>
    <w:rsid w:val="00CB7E17"/>
    <w:rsid w:val="00CC0B21"/>
    <w:rsid w:val="00CC1E29"/>
    <w:rsid w:val="00CC4174"/>
    <w:rsid w:val="00CD4C7B"/>
    <w:rsid w:val="00CD7510"/>
    <w:rsid w:val="00CE0A31"/>
    <w:rsid w:val="00CE2225"/>
    <w:rsid w:val="00CF0AEC"/>
    <w:rsid w:val="00CF14BD"/>
    <w:rsid w:val="00CF18E5"/>
    <w:rsid w:val="00CF7AE1"/>
    <w:rsid w:val="00D0121A"/>
    <w:rsid w:val="00D016DB"/>
    <w:rsid w:val="00D02275"/>
    <w:rsid w:val="00D043BC"/>
    <w:rsid w:val="00D20564"/>
    <w:rsid w:val="00D30C3E"/>
    <w:rsid w:val="00D338A9"/>
    <w:rsid w:val="00D349DE"/>
    <w:rsid w:val="00D4109C"/>
    <w:rsid w:val="00D55F64"/>
    <w:rsid w:val="00D57367"/>
    <w:rsid w:val="00D67946"/>
    <w:rsid w:val="00D70829"/>
    <w:rsid w:val="00D70CC2"/>
    <w:rsid w:val="00D71BB9"/>
    <w:rsid w:val="00D738D6"/>
    <w:rsid w:val="00D80795"/>
    <w:rsid w:val="00D81FD9"/>
    <w:rsid w:val="00D87E00"/>
    <w:rsid w:val="00D9134D"/>
    <w:rsid w:val="00D94F9F"/>
    <w:rsid w:val="00D96D11"/>
    <w:rsid w:val="00DA332A"/>
    <w:rsid w:val="00DA3EDB"/>
    <w:rsid w:val="00DA53E9"/>
    <w:rsid w:val="00DA65A2"/>
    <w:rsid w:val="00DA7A03"/>
    <w:rsid w:val="00DB1818"/>
    <w:rsid w:val="00DB20EF"/>
    <w:rsid w:val="00DB51F0"/>
    <w:rsid w:val="00DC1A9F"/>
    <w:rsid w:val="00DC309B"/>
    <w:rsid w:val="00DC446F"/>
    <w:rsid w:val="00DC4DA2"/>
    <w:rsid w:val="00DC6BE9"/>
    <w:rsid w:val="00DC6CF9"/>
    <w:rsid w:val="00DF59E1"/>
    <w:rsid w:val="00DF739E"/>
    <w:rsid w:val="00E06F92"/>
    <w:rsid w:val="00E222E8"/>
    <w:rsid w:val="00E223B2"/>
    <w:rsid w:val="00E24C53"/>
    <w:rsid w:val="00E25EF6"/>
    <w:rsid w:val="00E27231"/>
    <w:rsid w:val="00E34662"/>
    <w:rsid w:val="00E420B9"/>
    <w:rsid w:val="00E52D78"/>
    <w:rsid w:val="00E53962"/>
    <w:rsid w:val="00E6140C"/>
    <w:rsid w:val="00E622D3"/>
    <w:rsid w:val="00E62835"/>
    <w:rsid w:val="00E63184"/>
    <w:rsid w:val="00E67834"/>
    <w:rsid w:val="00E743E5"/>
    <w:rsid w:val="00E77645"/>
    <w:rsid w:val="00E80B82"/>
    <w:rsid w:val="00E810E0"/>
    <w:rsid w:val="00E8646F"/>
    <w:rsid w:val="00E92666"/>
    <w:rsid w:val="00E9454B"/>
    <w:rsid w:val="00E946A3"/>
    <w:rsid w:val="00EA05AE"/>
    <w:rsid w:val="00EA399D"/>
    <w:rsid w:val="00EB0A5F"/>
    <w:rsid w:val="00EB2948"/>
    <w:rsid w:val="00EB44F7"/>
    <w:rsid w:val="00EB52DE"/>
    <w:rsid w:val="00EC0969"/>
    <w:rsid w:val="00EC4A25"/>
    <w:rsid w:val="00EE1A00"/>
    <w:rsid w:val="00EE1ABD"/>
    <w:rsid w:val="00EE5924"/>
    <w:rsid w:val="00F025A2"/>
    <w:rsid w:val="00F07388"/>
    <w:rsid w:val="00F078C8"/>
    <w:rsid w:val="00F139BA"/>
    <w:rsid w:val="00F2026E"/>
    <w:rsid w:val="00F21C60"/>
    <w:rsid w:val="00F2210A"/>
    <w:rsid w:val="00F340AE"/>
    <w:rsid w:val="00F352B8"/>
    <w:rsid w:val="00F360F1"/>
    <w:rsid w:val="00F36BFE"/>
    <w:rsid w:val="00F37743"/>
    <w:rsid w:val="00F419F4"/>
    <w:rsid w:val="00F46C65"/>
    <w:rsid w:val="00F53701"/>
    <w:rsid w:val="00F54A3D"/>
    <w:rsid w:val="00F57A8E"/>
    <w:rsid w:val="00F643AE"/>
    <w:rsid w:val="00F653B8"/>
    <w:rsid w:val="00F65653"/>
    <w:rsid w:val="00F6613D"/>
    <w:rsid w:val="00F746ED"/>
    <w:rsid w:val="00F756E3"/>
    <w:rsid w:val="00F76F8F"/>
    <w:rsid w:val="00F82E70"/>
    <w:rsid w:val="00F83E7E"/>
    <w:rsid w:val="00F86180"/>
    <w:rsid w:val="00F909AE"/>
    <w:rsid w:val="00F91FBF"/>
    <w:rsid w:val="00F9789D"/>
    <w:rsid w:val="00FA1266"/>
    <w:rsid w:val="00FB66B2"/>
    <w:rsid w:val="00FB7208"/>
    <w:rsid w:val="00FC1192"/>
    <w:rsid w:val="00FC562B"/>
    <w:rsid w:val="00FC6C6F"/>
    <w:rsid w:val="00FD00C4"/>
    <w:rsid w:val="00FD4976"/>
    <w:rsid w:val="00FD5DB4"/>
    <w:rsid w:val="00FD6E5F"/>
    <w:rsid w:val="00FE11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56E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character" w:customStyle="1" w:styleId="11BodyTextChar">
    <w:name w:val="11 BodyText Char"/>
    <w:basedOn w:val="DefaultParagraphFont"/>
    <w:link w:val="11BodyText"/>
    <w:locked/>
    <w:rsid w:val="00CF7AE1"/>
    <w:rPr>
      <w:rFonts w:ascii="Arial" w:hAnsi="Arial" w:cs="Arial"/>
      <w:lang w:eastAsia="x-none"/>
    </w:rPr>
  </w:style>
  <w:style w:type="paragraph" w:customStyle="1" w:styleId="11BodyText">
    <w:name w:val="11 BodyText"/>
    <w:basedOn w:val="Normal"/>
    <w:link w:val="11BodyTextChar"/>
    <w:rsid w:val="00CF7AE1"/>
    <w:pPr>
      <w:spacing w:after="220"/>
      <w:ind w:left="1298"/>
      <w:jc w:val="both"/>
    </w:pPr>
    <w:rPr>
      <w:rFonts w:ascii="Arial" w:hAnsi="Arial" w:cs="Arial"/>
      <w:lang w:eastAsia="x-none"/>
    </w:rPr>
  </w:style>
  <w:style w:type="table" w:styleId="TableGrid">
    <w:name w:val="Table Grid"/>
    <w:basedOn w:val="TableNormal"/>
    <w:rsid w:val="00451F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390EF3"/>
    <w:pPr>
      <w:spacing w:after="200" w:line="276" w:lineRule="auto"/>
      <w:ind w:left="450"/>
      <w:jc w:val="both"/>
    </w:pPr>
    <w:rPr>
      <w:rFonts w:asciiTheme="minorHAnsi" w:eastAsiaTheme="minorEastAsia"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24033827">
      <w:bodyDiv w:val="1"/>
      <w:marLeft w:val="0"/>
      <w:marRight w:val="0"/>
      <w:marTop w:val="0"/>
      <w:marBottom w:val="0"/>
      <w:divBdr>
        <w:top w:val="none" w:sz="0" w:space="0" w:color="auto"/>
        <w:left w:val="none" w:sz="0" w:space="0" w:color="auto"/>
        <w:bottom w:val="none" w:sz="0" w:space="0" w:color="auto"/>
        <w:right w:val="none" w:sz="0" w:space="0" w:color="auto"/>
      </w:divBdr>
    </w:div>
    <w:div w:id="508721360">
      <w:bodyDiv w:val="1"/>
      <w:marLeft w:val="0"/>
      <w:marRight w:val="0"/>
      <w:marTop w:val="0"/>
      <w:marBottom w:val="0"/>
      <w:divBdr>
        <w:top w:val="none" w:sz="0" w:space="0" w:color="auto"/>
        <w:left w:val="none" w:sz="0" w:space="0" w:color="auto"/>
        <w:bottom w:val="none" w:sz="0" w:space="0" w:color="auto"/>
        <w:right w:val="none" w:sz="0" w:space="0" w:color="auto"/>
      </w:divBdr>
      <w:divsChild>
        <w:div w:id="1590852326">
          <w:marLeft w:val="547"/>
          <w:marRight w:val="0"/>
          <w:marTop w:val="115"/>
          <w:marBottom w:val="0"/>
          <w:divBdr>
            <w:top w:val="none" w:sz="0" w:space="0" w:color="auto"/>
            <w:left w:val="none" w:sz="0" w:space="0" w:color="auto"/>
            <w:bottom w:val="none" w:sz="0" w:space="0" w:color="auto"/>
            <w:right w:val="none" w:sz="0" w:space="0" w:color="auto"/>
          </w:divBdr>
        </w:div>
        <w:div w:id="1391226552">
          <w:marLeft w:val="547"/>
          <w:marRight w:val="0"/>
          <w:marTop w:val="115"/>
          <w:marBottom w:val="0"/>
          <w:divBdr>
            <w:top w:val="none" w:sz="0" w:space="0" w:color="auto"/>
            <w:left w:val="none" w:sz="0" w:space="0" w:color="auto"/>
            <w:bottom w:val="none" w:sz="0" w:space="0" w:color="auto"/>
            <w:right w:val="none" w:sz="0" w:space="0" w:color="auto"/>
          </w:divBdr>
        </w:div>
        <w:div w:id="553853706">
          <w:marLeft w:val="547"/>
          <w:marRight w:val="0"/>
          <w:marTop w:val="115"/>
          <w:marBottom w:val="0"/>
          <w:divBdr>
            <w:top w:val="none" w:sz="0" w:space="0" w:color="auto"/>
            <w:left w:val="none" w:sz="0" w:space="0" w:color="auto"/>
            <w:bottom w:val="none" w:sz="0" w:space="0" w:color="auto"/>
            <w:right w:val="none" w:sz="0" w:space="0" w:color="auto"/>
          </w:divBdr>
        </w:div>
        <w:div w:id="808985257">
          <w:marLeft w:val="547"/>
          <w:marRight w:val="0"/>
          <w:marTop w:val="115"/>
          <w:marBottom w:val="0"/>
          <w:divBdr>
            <w:top w:val="none" w:sz="0" w:space="0" w:color="auto"/>
            <w:left w:val="none" w:sz="0" w:space="0" w:color="auto"/>
            <w:bottom w:val="none" w:sz="0" w:space="0" w:color="auto"/>
            <w:right w:val="none" w:sz="0" w:space="0" w:color="auto"/>
          </w:divBdr>
        </w:div>
        <w:div w:id="1853837830">
          <w:marLeft w:val="1166"/>
          <w:marRight w:val="0"/>
          <w:marTop w:val="96"/>
          <w:marBottom w:val="0"/>
          <w:divBdr>
            <w:top w:val="none" w:sz="0" w:space="0" w:color="auto"/>
            <w:left w:val="none" w:sz="0" w:space="0" w:color="auto"/>
            <w:bottom w:val="none" w:sz="0" w:space="0" w:color="auto"/>
            <w:right w:val="none" w:sz="0" w:space="0" w:color="auto"/>
          </w:divBdr>
        </w:div>
        <w:div w:id="1618946652">
          <w:marLeft w:val="547"/>
          <w:marRight w:val="0"/>
          <w:marTop w:val="115"/>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75983652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070733014">
      <w:bodyDiv w:val="1"/>
      <w:marLeft w:val="0"/>
      <w:marRight w:val="0"/>
      <w:marTop w:val="0"/>
      <w:marBottom w:val="0"/>
      <w:divBdr>
        <w:top w:val="none" w:sz="0" w:space="0" w:color="auto"/>
        <w:left w:val="none" w:sz="0" w:space="0" w:color="auto"/>
        <w:bottom w:val="none" w:sz="0" w:space="0" w:color="auto"/>
        <w:right w:val="none" w:sz="0" w:space="0" w:color="auto"/>
      </w:divBdr>
    </w:div>
    <w:div w:id="1099109139">
      <w:bodyDiv w:val="1"/>
      <w:marLeft w:val="0"/>
      <w:marRight w:val="0"/>
      <w:marTop w:val="0"/>
      <w:marBottom w:val="0"/>
      <w:divBdr>
        <w:top w:val="none" w:sz="0" w:space="0" w:color="auto"/>
        <w:left w:val="none" w:sz="0" w:space="0" w:color="auto"/>
        <w:bottom w:val="none" w:sz="0" w:space="0" w:color="auto"/>
        <w:right w:val="none" w:sz="0" w:space="0" w:color="auto"/>
      </w:divBdr>
    </w:div>
    <w:div w:id="1213465782">
      <w:bodyDiv w:val="1"/>
      <w:marLeft w:val="0"/>
      <w:marRight w:val="0"/>
      <w:marTop w:val="0"/>
      <w:marBottom w:val="0"/>
      <w:divBdr>
        <w:top w:val="none" w:sz="0" w:space="0" w:color="auto"/>
        <w:left w:val="none" w:sz="0" w:space="0" w:color="auto"/>
        <w:bottom w:val="none" w:sz="0" w:space="0" w:color="auto"/>
        <w:right w:val="none" w:sz="0" w:space="0" w:color="auto"/>
      </w:divBdr>
    </w:div>
    <w:div w:id="1376933269">
      <w:bodyDiv w:val="1"/>
      <w:marLeft w:val="0"/>
      <w:marRight w:val="0"/>
      <w:marTop w:val="0"/>
      <w:marBottom w:val="0"/>
      <w:divBdr>
        <w:top w:val="none" w:sz="0" w:space="0" w:color="auto"/>
        <w:left w:val="none" w:sz="0" w:space="0" w:color="auto"/>
        <w:bottom w:val="none" w:sz="0" w:space="0" w:color="auto"/>
        <w:right w:val="none" w:sz="0" w:space="0" w:color="auto"/>
      </w:divBdr>
      <w:divsChild>
        <w:div w:id="1202717058">
          <w:marLeft w:val="360"/>
          <w:marRight w:val="0"/>
          <w:marTop w:val="0"/>
          <w:marBottom w:val="120"/>
          <w:divBdr>
            <w:top w:val="none" w:sz="0" w:space="0" w:color="auto"/>
            <w:left w:val="none" w:sz="0" w:space="0" w:color="auto"/>
            <w:bottom w:val="none" w:sz="0" w:space="0" w:color="auto"/>
            <w:right w:val="none" w:sz="0" w:space="0" w:color="auto"/>
          </w:divBdr>
        </w:div>
      </w:divsChild>
    </w:div>
    <w:div w:id="1637951810">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817801725">
      <w:bodyDiv w:val="1"/>
      <w:marLeft w:val="0"/>
      <w:marRight w:val="0"/>
      <w:marTop w:val="0"/>
      <w:marBottom w:val="0"/>
      <w:divBdr>
        <w:top w:val="none" w:sz="0" w:space="0" w:color="auto"/>
        <w:left w:val="none" w:sz="0" w:space="0" w:color="auto"/>
        <w:bottom w:val="none" w:sz="0" w:space="0" w:color="auto"/>
        <w:right w:val="none" w:sz="0" w:space="0" w:color="auto"/>
      </w:divBdr>
      <w:divsChild>
        <w:div w:id="2015499331">
          <w:marLeft w:val="360"/>
          <w:marRight w:val="0"/>
          <w:marTop w:val="0"/>
          <w:marBottom w:val="120"/>
          <w:divBdr>
            <w:top w:val="none" w:sz="0" w:space="0" w:color="auto"/>
            <w:left w:val="none" w:sz="0" w:space="0" w:color="auto"/>
            <w:bottom w:val="none" w:sz="0" w:space="0" w:color="auto"/>
            <w:right w:val="none" w:sz="0" w:space="0" w:color="auto"/>
          </w:divBdr>
        </w:div>
      </w:divsChild>
    </w:div>
    <w:div w:id="2017147117">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 w:id="212785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BEEA8-E377-4D61-A95E-E8835C43E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1263</Words>
  <Characters>7201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8448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Tuomo S</cp:lastModifiedBy>
  <cp:revision>2</cp:revision>
  <dcterms:created xsi:type="dcterms:W3CDTF">2016-11-04T10:48:00Z</dcterms:created>
  <dcterms:modified xsi:type="dcterms:W3CDTF">2016-11-04T10:48:00Z</dcterms:modified>
</cp:coreProperties>
</file>