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550" w:rsidRPr="00CF40BC" w:rsidRDefault="00DD2550" w:rsidP="00404A62">
      <w:pPr>
        <w:widowControl w:val="0"/>
        <w:tabs>
          <w:tab w:val="right" w:pos="9639"/>
        </w:tabs>
        <w:spacing w:after="0" w:line="276" w:lineRule="auto"/>
        <w:rPr>
          <w:rFonts w:ascii="Arial" w:hAnsi="Arial" w:cs="Arial"/>
          <w:b/>
          <w:color w:val="333333"/>
          <w:sz w:val="24"/>
          <w:szCs w:val="24"/>
          <w:shd w:val="clear" w:color="auto" w:fill="F2F2F2"/>
        </w:rPr>
      </w:pPr>
      <w:r w:rsidRPr="00CF40BC">
        <w:rPr>
          <w:rFonts w:ascii="Arial" w:hAnsi="Arial" w:cs="Arial"/>
          <w:b/>
          <w:sz w:val="24"/>
          <w:szCs w:val="24"/>
          <w:lang w:val="sv-SE"/>
        </w:rPr>
        <w:t xml:space="preserve">3GPP TSG-RAN </w:t>
      </w:r>
      <w:r w:rsidR="00D261C3" w:rsidRPr="00CF40BC">
        <w:rPr>
          <w:rFonts w:ascii="Arial" w:hAnsi="Arial" w:cs="Arial"/>
          <w:b/>
          <w:sz w:val="24"/>
          <w:szCs w:val="24"/>
          <w:lang w:val="sv-SE"/>
        </w:rPr>
        <w:t>WG4 #79</w:t>
      </w:r>
      <w:r w:rsidRPr="00CF40BC">
        <w:rPr>
          <w:rFonts w:ascii="Arial" w:hAnsi="Arial" w:cs="Arial"/>
          <w:b/>
          <w:sz w:val="24"/>
          <w:szCs w:val="24"/>
          <w:lang w:val="sv-SE"/>
        </w:rPr>
        <w:tab/>
      </w:r>
      <w:r w:rsidR="00CE007E">
        <w:rPr>
          <w:rFonts w:ascii="Arial" w:hAnsi="Arial" w:cs="Arial"/>
          <w:b/>
          <w:color w:val="333333"/>
          <w:sz w:val="24"/>
          <w:szCs w:val="24"/>
          <w:shd w:val="clear" w:color="auto" w:fill="F2F2F2"/>
        </w:rPr>
        <w:t>R4-163625</w:t>
      </w:r>
      <w:bookmarkStart w:id="0" w:name="_GoBack"/>
      <w:bookmarkEnd w:id="0"/>
    </w:p>
    <w:p w:rsidR="00CF40BC" w:rsidRPr="00CF40BC" w:rsidRDefault="00CF40BC" w:rsidP="00404A62">
      <w:pPr>
        <w:pStyle w:val="Header"/>
        <w:tabs>
          <w:tab w:val="right" w:pos="9781"/>
          <w:tab w:val="right" w:pos="13323"/>
        </w:tabs>
        <w:spacing w:line="276" w:lineRule="auto"/>
        <w:outlineLvl w:val="0"/>
        <w:rPr>
          <w:rFonts w:eastAsia="SimSun" w:cs="Arial"/>
          <w:sz w:val="24"/>
          <w:szCs w:val="24"/>
          <w:lang w:eastAsia="zh-CN"/>
        </w:rPr>
      </w:pPr>
      <w:r w:rsidRPr="00CF40BC">
        <w:rPr>
          <w:rFonts w:eastAsia="SimSun" w:cs="Arial"/>
          <w:sz w:val="24"/>
          <w:szCs w:val="24"/>
          <w:lang w:eastAsia="zh-CN"/>
        </w:rPr>
        <w:t>Nanjing, China</w:t>
      </w:r>
      <w:r w:rsidRPr="00CF40BC">
        <w:rPr>
          <w:rFonts w:eastAsia="SimSun" w:cs="Arial"/>
          <w:sz w:val="24"/>
          <w:szCs w:val="24"/>
          <w:lang w:val="pt-BR" w:eastAsia="zh-CN"/>
        </w:rPr>
        <w:t>,</w:t>
      </w:r>
      <w:r w:rsidRPr="00CF40BC">
        <w:rPr>
          <w:rFonts w:cs="Arial"/>
          <w:sz w:val="24"/>
          <w:szCs w:val="24"/>
          <w:lang w:val="pt-BR" w:eastAsia="ja-JP"/>
        </w:rPr>
        <w:t xml:space="preserve"> </w:t>
      </w:r>
      <w:r w:rsidR="004E4245">
        <w:rPr>
          <w:rFonts w:cs="Arial"/>
          <w:sz w:val="24"/>
          <w:szCs w:val="24"/>
          <w:lang w:eastAsia="ja-JP"/>
        </w:rPr>
        <w:t>23</w:t>
      </w:r>
      <w:r w:rsidRPr="00CF40BC">
        <w:rPr>
          <w:rFonts w:cs="Arial"/>
          <w:sz w:val="24"/>
          <w:szCs w:val="24"/>
          <w:lang w:eastAsia="ja-JP"/>
        </w:rPr>
        <w:t xml:space="preserve"> </w:t>
      </w:r>
      <w:r w:rsidRPr="00CF40BC">
        <w:rPr>
          <w:rFonts w:eastAsia="SimSun" w:cs="Arial"/>
          <w:sz w:val="24"/>
          <w:szCs w:val="24"/>
          <w:lang w:eastAsia="zh-CN"/>
        </w:rPr>
        <w:t>– 27</w:t>
      </w:r>
      <w:r w:rsidRPr="00CF40BC">
        <w:rPr>
          <w:rFonts w:cs="Arial"/>
          <w:sz w:val="24"/>
          <w:szCs w:val="24"/>
          <w:lang w:eastAsia="ja-JP"/>
        </w:rPr>
        <w:t xml:space="preserve"> May, 201</w:t>
      </w:r>
      <w:r w:rsidRPr="00CF40BC">
        <w:rPr>
          <w:rFonts w:eastAsia="SimSun" w:cs="Arial"/>
          <w:sz w:val="24"/>
          <w:szCs w:val="24"/>
          <w:lang w:eastAsia="zh-CN"/>
        </w:rPr>
        <w:t>6</w:t>
      </w:r>
    </w:p>
    <w:p w:rsidR="005E38FA" w:rsidRPr="00093A85" w:rsidRDefault="005E38FA" w:rsidP="00404A62">
      <w:pPr>
        <w:pStyle w:val="Header"/>
        <w:spacing w:line="276" w:lineRule="auto"/>
        <w:rPr>
          <w:rFonts w:ascii="Times New Roman" w:hAnsi="Times New Roman"/>
          <w:noProof w:val="0"/>
          <w:lang w:val="en-GB"/>
        </w:rPr>
      </w:pPr>
    </w:p>
    <w:p w:rsidR="005E38FA" w:rsidRPr="00093A85" w:rsidRDefault="005E38FA" w:rsidP="00404A62">
      <w:pPr>
        <w:pStyle w:val="Footer"/>
        <w:spacing w:line="276" w:lineRule="auto"/>
        <w:rPr>
          <w:rFonts w:ascii="Times New Roman" w:hAnsi="Times New Roman"/>
          <w:noProof w:val="0"/>
        </w:rPr>
      </w:pPr>
    </w:p>
    <w:p w:rsidR="005E38FA" w:rsidRPr="00093A85" w:rsidRDefault="005E38FA" w:rsidP="00404A62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>Agenda item:</w:t>
      </w:r>
      <w:r w:rsidRPr="00093A85">
        <w:rPr>
          <w:sz w:val="24"/>
          <w:lang w:val="en-US"/>
        </w:rPr>
        <w:tab/>
      </w:r>
      <w:r w:rsidR="005F0012">
        <w:rPr>
          <w:sz w:val="24"/>
          <w:lang w:val="en-US"/>
        </w:rPr>
        <w:t>6</w:t>
      </w:r>
      <w:r w:rsidR="00D261C3">
        <w:rPr>
          <w:sz w:val="24"/>
          <w:lang w:val="en-US"/>
        </w:rPr>
        <w:t>.</w:t>
      </w:r>
      <w:r w:rsidR="005F0012">
        <w:rPr>
          <w:sz w:val="24"/>
          <w:lang w:val="en-US"/>
        </w:rPr>
        <w:t>9.1</w:t>
      </w:r>
    </w:p>
    <w:p w:rsidR="005E38FA" w:rsidRPr="00093A85" w:rsidRDefault="005E38FA" w:rsidP="00404A62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 xml:space="preserve">Source: </w:t>
      </w:r>
      <w:r w:rsidRPr="00093A85">
        <w:rPr>
          <w:b/>
          <w:sz w:val="24"/>
          <w:lang w:val="en-US"/>
        </w:rPr>
        <w:tab/>
      </w:r>
      <w:r w:rsidRPr="00093A85">
        <w:rPr>
          <w:sz w:val="24"/>
          <w:lang w:val="en-US"/>
        </w:rPr>
        <w:t>Qualcomm Incorporated</w:t>
      </w:r>
    </w:p>
    <w:p w:rsidR="005E38FA" w:rsidRPr="00093A85" w:rsidRDefault="005E38FA" w:rsidP="00404A62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Title:</w:t>
      </w:r>
      <w:r w:rsidRPr="00093A85">
        <w:rPr>
          <w:sz w:val="24"/>
          <w:lang w:val="en-US"/>
        </w:rPr>
        <w:t xml:space="preserve"> </w:t>
      </w:r>
      <w:r w:rsidRPr="00093A85">
        <w:rPr>
          <w:sz w:val="24"/>
          <w:lang w:val="en-US"/>
        </w:rPr>
        <w:tab/>
      </w:r>
      <w:r w:rsidR="00273FC1">
        <w:rPr>
          <w:sz w:val="24"/>
          <w:lang w:val="en-US"/>
        </w:rPr>
        <w:t>Test cases for RS-SINR measurement</w:t>
      </w:r>
    </w:p>
    <w:p w:rsidR="005E38FA" w:rsidRPr="00093A85" w:rsidRDefault="005E38FA" w:rsidP="00404A62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Document for:</w:t>
      </w:r>
      <w:r w:rsidRPr="00093A85">
        <w:rPr>
          <w:sz w:val="24"/>
          <w:lang w:val="en-US"/>
        </w:rPr>
        <w:tab/>
        <w:t>Discussion</w:t>
      </w:r>
    </w:p>
    <w:p w:rsidR="005E38FA" w:rsidRPr="00D61FFF" w:rsidRDefault="005E38FA" w:rsidP="00321C6D">
      <w:pPr>
        <w:pStyle w:val="Heading1"/>
        <w:spacing w:line="276" w:lineRule="auto"/>
        <w:rPr>
          <w:rFonts w:cs="Arial"/>
          <w:lang w:val="en-US"/>
        </w:rPr>
      </w:pPr>
      <w:r w:rsidRPr="00D61FFF">
        <w:rPr>
          <w:rFonts w:cs="Arial"/>
          <w:lang w:val="en-US"/>
        </w:rPr>
        <w:t>Introduction</w:t>
      </w:r>
    </w:p>
    <w:p w:rsidR="005E38FA" w:rsidRPr="00093A85" w:rsidRDefault="005D71DF" w:rsidP="00321C6D">
      <w:pPr>
        <w:spacing w:line="276" w:lineRule="auto"/>
        <w:rPr>
          <w:lang w:val="en-US"/>
        </w:rPr>
      </w:pPr>
      <w:r>
        <w:rPr>
          <w:lang w:val="en-US"/>
        </w:rPr>
        <w:t>RS-SINR measurement for multicarrier load distribution has been discussed in RAN4</w:t>
      </w:r>
      <w:r w:rsidR="00273FC1">
        <w:rPr>
          <w:lang w:val="en-US"/>
        </w:rPr>
        <w:t xml:space="preserve"> for a few meetings</w:t>
      </w:r>
      <w:r>
        <w:rPr>
          <w:lang w:val="en-US"/>
        </w:rPr>
        <w:t>.</w:t>
      </w:r>
      <w:r w:rsidR="00D36E79">
        <w:rPr>
          <w:lang w:val="en-US"/>
        </w:rPr>
        <w:t xml:space="preserve"> </w:t>
      </w:r>
      <w:r w:rsidR="00D261C3">
        <w:rPr>
          <w:lang w:val="en-US"/>
        </w:rPr>
        <w:t>In RAN4 #78</w:t>
      </w:r>
      <w:r w:rsidR="00273FC1">
        <w:rPr>
          <w:lang w:val="en-US"/>
        </w:rPr>
        <w:t>bis</w:t>
      </w:r>
      <w:r w:rsidR="000273ED">
        <w:rPr>
          <w:lang w:val="en-US"/>
        </w:rPr>
        <w:t>,</w:t>
      </w:r>
      <w:r w:rsidR="00D261C3">
        <w:rPr>
          <w:lang w:val="en-US"/>
        </w:rPr>
        <w:t xml:space="preserve"> way forward </w:t>
      </w:r>
      <w:r w:rsidR="00C14608">
        <w:rPr>
          <w:lang w:val="en-US"/>
        </w:rPr>
        <w:t xml:space="preserve">on </w:t>
      </w:r>
      <w:r w:rsidR="00F942BF">
        <w:rPr>
          <w:lang w:val="en-US"/>
        </w:rPr>
        <w:t xml:space="preserve">baseline </w:t>
      </w:r>
      <w:r w:rsidR="00C14608">
        <w:rPr>
          <w:lang w:val="en-US"/>
        </w:rPr>
        <w:t xml:space="preserve">test case list </w:t>
      </w:r>
      <w:r w:rsidR="00D261C3">
        <w:rPr>
          <w:lang w:val="en-US"/>
        </w:rPr>
        <w:t>for absolute and relative RS-SINR accuracy requirements was agreed</w:t>
      </w:r>
      <w:r w:rsidR="00C14608">
        <w:rPr>
          <w:lang w:val="en-US"/>
        </w:rPr>
        <w:t xml:space="preserve"> [1]</w:t>
      </w:r>
      <w:r w:rsidR="00D261C3">
        <w:rPr>
          <w:lang w:val="en-US"/>
        </w:rPr>
        <w:t xml:space="preserve">. In this contribution we provide </w:t>
      </w:r>
      <w:r w:rsidR="00F942BF">
        <w:rPr>
          <w:lang w:val="en-US"/>
        </w:rPr>
        <w:t>our recommendation on further refining the test cases.</w:t>
      </w:r>
      <w:r w:rsidR="00D261C3">
        <w:rPr>
          <w:rFonts w:eastAsia="SimSun"/>
          <w:lang w:eastAsia="zh-CN"/>
        </w:rPr>
        <w:t xml:space="preserve"> </w:t>
      </w:r>
    </w:p>
    <w:p w:rsidR="005E38FA" w:rsidRDefault="005E38FA" w:rsidP="00321C6D">
      <w:pPr>
        <w:pStyle w:val="Heading1"/>
        <w:spacing w:line="276" w:lineRule="auto"/>
        <w:rPr>
          <w:rFonts w:cs="Arial"/>
          <w:lang w:val="en-US"/>
        </w:rPr>
      </w:pPr>
      <w:r w:rsidRPr="00D61FFF">
        <w:rPr>
          <w:rFonts w:cs="Arial"/>
          <w:lang w:val="en-US"/>
        </w:rPr>
        <w:t>Discussion</w:t>
      </w:r>
    </w:p>
    <w:p w:rsidR="00C22E70" w:rsidRPr="00C22E70" w:rsidRDefault="00730B01" w:rsidP="00C22E70">
      <w:pPr>
        <w:rPr>
          <w:lang w:val="en-US"/>
        </w:rPr>
      </w:pPr>
      <w:r>
        <w:rPr>
          <w:lang w:val="en-US"/>
        </w:rPr>
        <w:t>F</w:t>
      </w:r>
      <w:r w:rsidR="00C22E70">
        <w:rPr>
          <w:lang w:val="en-US"/>
        </w:rPr>
        <w:t>irst we review the prior agreements and then propose refinement to test cases</w:t>
      </w:r>
      <w:r w:rsidR="00781A5E">
        <w:rPr>
          <w:lang w:val="en-US"/>
        </w:rPr>
        <w:t xml:space="preserve"> that</w:t>
      </w:r>
      <w:r w:rsidR="00C22E70">
        <w:rPr>
          <w:lang w:val="en-US"/>
        </w:rPr>
        <w:t xml:space="preserve"> incorpora</w:t>
      </w:r>
      <w:r w:rsidR="00781A5E">
        <w:rPr>
          <w:lang w:val="en-US"/>
        </w:rPr>
        <w:t>te</w:t>
      </w:r>
      <w:r w:rsidR="00C22E70">
        <w:rPr>
          <w:lang w:val="en-US"/>
        </w:rPr>
        <w:t xml:space="preserve"> the agreements.</w:t>
      </w:r>
    </w:p>
    <w:p w:rsidR="00F942BF" w:rsidRDefault="00F942BF" w:rsidP="00321C6D">
      <w:pPr>
        <w:pStyle w:val="Heading2"/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Prior agreements </w:t>
      </w:r>
    </w:p>
    <w:p w:rsidR="00F942BF" w:rsidRDefault="00F942BF" w:rsidP="00321C6D">
      <w:pPr>
        <w:spacing w:line="276" w:lineRule="auto"/>
        <w:rPr>
          <w:lang w:val="en-US"/>
        </w:rPr>
      </w:pPr>
      <w:r>
        <w:rPr>
          <w:lang w:val="en-US"/>
        </w:rPr>
        <w:t>In RAN4 #78bis, way forward on the baseline test case list for verifying absolute and relative accuracy requirements was agreed [1]. Table 1 captures the essence of the test case list.</w:t>
      </w:r>
      <w:r w:rsidR="00E92B44">
        <w:rPr>
          <w:lang w:val="en-US"/>
        </w:rPr>
        <w:t xml:space="preserve"> It was also agreed to model non-uniform interference. However, the exact model of interference </w:t>
      </w:r>
      <w:r w:rsidR="008C3FE2">
        <w:rPr>
          <w:lang w:val="en-US"/>
        </w:rPr>
        <w:t>is still</w:t>
      </w:r>
      <w:r w:rsidR="00E92B44">
        <w:rPr>
          <w:lang w:val="en-US"/>
        </w:rPr>
        <w:t xml:space="preserve"> FFS.</w:t>
      </w:r>
    </w:p>
    <w:p w:rsidR="00F942BF" w:rsidRPr="00F942BF" w:rsidRDefault="00F942BF" w:rsidP="00321C6D">
      <w:pPr>
        <w:spacing w:line="276" w:lineRule="auto"/>
        <w:jc w:val="center"/>
        <w:rPr>
          <w:b/>
          <w:lang w:val="en-US"/>
        </w:rPr>
      </w:pPr>
      <w:r w:rsidRPr="00F942BF">
        <w:rPr>
          <w:b/>
          <w:lang w:val="en-US"/>
        </w:rPr>
        <w:t>Table 1: Baseline test case list for verifying absolute and relative accuracy requirements</w:t>
      </w:r>
      <w:r>
        <w:rPr>
          <w:b/>
          <w:lang w:val="en-US"/>
        </w:rPr>
        <w:t xml:space="preserve"> [1]</w:t>
      </w:r>
    </w:p>
    <w:tbl>
      <w:tblPr>
        <w:tblW w:w="1007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5"/>
        <w:gridCol w:w="4605"/>
        <w:gridCol w:w="4950"/>
      </w:tblGrid>
      <w:tr w:rsidR="00F942BF" w:rsidRPr="00F942BF" w:rsidTr="00F942BF">
        <w:trPr>
          <w:trHeight w:val="344"/>
        </w:trPr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C22E70">
              <w:rPr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C22E70">
              <w:rPr>
                <w:b/>
                <w:bCs/>
                <w:sz w:val="18"/>
                <w:szCs w:val="18"/>
              </w:rPr>
              <w:t>Feature/requirements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C22E70">
              <w:rPr>
                <w:b/>
                <w:bCs/>
                <w:sz w:val="18"/>
                <w:szCs w:val="18"/>
              </w:rPr>
              <w:t>Type of Test</w:t>
            </w:r>
          </w:p>
        </w:tc>
      </w:tr>
      <w:tr w:rsidR="00F942BF" w:rsidRPr="00F942BF" w:rsidTr="00F942BF">
        <w:trPr>
          <w:trHeight w:val="629"/>
        </w:trPr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1 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Intra-frequency New RS-SINR  measurement accuracy (section 9.1.17.2) 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FDD: absolute RS-SINR accuracies </w:t>
            </w:r>
          </w:p>
        </w:tc>
      </w:tr>
      <w:tr w:rsidR="00F942BF" w:rsidRPr="00F942BF" w:rsidTr="00F942BF">
        <w:trPr>
          <w:trHeight w:val="503"/>
        </w:trPr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2 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Intra-frequency New RS-SINR  measurement accuracy (section 9.1.17.2) 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TDD: absolute RS-SINR accuracies </w:t>
            </w:r>
          </w:p>
        </w:tc>
      </w:tr>
      <w:tr w:rsidR="00F942BF" w:rsidRPr="00F942BF" w:rsidTr="00F942BF">
        <w:trPr>
          <w:trHeight w:val="548"/>
        </w:trPr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3 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Inter-frequency New RS-SINR  measurement accuracy (section 9.1.17.3) 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>FDD</w:t>
            </w:r>
            <w:r w:rsidRPr="00C22E70">
              <w:rPr>
                <w:sz w:val="18"/>
                <w:szCs w:val="18"/>
                <w:lang w:val="en-US"/>
              </w:rPr>
              <w:t>-</w:t>
            </w:r>
            <w:r w:rsidRPr="00C22E70">
              <w:rPr>
                <w:sz w:val="18"/>
                <w:szCs w:val="18"/>
              </w:rPr>
              <w:t xml:space="preserve">FDD: absolute and relative RS-SINR accuracies </w:t>
            </w:r>
          </w:p>
        </w:tc>
      </w:tr>
      <w:tr w:rsidR="00F942BF" w:rsidRPr="00F942BF" w:rsidTr="00F942BF">
        <w:trPr>
          <w:trHeight w:val="422"/>
        </w:trPr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4 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Inter-frequency New RS-SINR measurement accuracy (section 9.1.17.3) 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>TDD</w:t>
            </w:r>
            <w:r w:rsidRPr="00C22E70">
              <w:rPr>
                <w:sz w:val="18"/>
                <w:szCs w:val="18"/>
                <w:lang w:val="en-US"/>
              </w:rPr>
              <w:t>-TDD</w:t>
            </w:r>
            <w:r w:rsidRPr="00C22E70">
              <w:rPr>
                <w:sz w:val="18"/>
                <w:szCs w:val="18"/>
              </w:rPr>
              <w:t xml:space="preserve">: absolute and relative RS-SINR accuracies </w:t>
            </w:r>
          </w:p>
        </w:tc>
      </w:tr>
      <w:tr w:rsidR="00F942BF" w:rsidRPr="00F942BF" w:rsidTr="00F942BF">
        <w:trPr>
          <w:trHeight w:val="296"/>
        </w:trPr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</w:rPr>
              <w:t xml:space="preserve">5 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  <w:lang w:val="en-US"/>
              </w:rPr>
              <w:t>Inter-frequency New RS-SINR measurement accuracy (section 9.1.17.3)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  <w:lang w:val="en-US"/>
              </w:rPr>
              <w:t>FDD-TDD: absolute and relative RS-SINR accuracies</w:t>
            </w:r>
          </w:p>
        </w:tc>
      </w:tr>
      <w:tr w:rsidR="00F942BF" w:rsidRPr="00F942BF" w:rsidTr="00F942BF">
        <w:trPr>
          <w:trHeight w:val="350"/>
        </w:trPr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  <w:lang w:val="en-US"/>
              </w:rPr>
              <w:t>Inter-frequency New RS-SINR measurement accuracy (section 9.1.17.3)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25" w:type="dxa"/>
              <w:bottom w:w="0" w:type="dxa"/>
              <w:right w:w="25" w:type="dxa"/>
            </w:tcMar>
            <w:hideMark/>
          </w:tcPr>
          <w:p w:rsidR="00F942BF" w:rsidRPr="00C22E70" w:rsidRDefault="00F942BF" w:rsidP="00321C6D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2E70">
              <w:rPr>
                <w:sz w:val="18"/>
                <w:szCs w:val="18"/>
                <w:lang w:val="en-US"/>
              </w:rPr>
              <w:t>TDD-FDD: absolute and relative RS-SINR accuracies</w:t>
            </w:r>
          </w:p>
        </w:tc>
      </w:tr>
    </w:tbl>
    <w:p w:rsidR="00F942BF" w:rsidRDefault="00F942BF" w:rsidP="00321C6D">
      <w:pPr>
        <w:spacing w:line="276" w:lineRule="auto"/>
        <w:rPr>
          <w:lang w:val="en-US"/>
        </w:rPr>
      </w:pPr>
    </w:p>
    <w:p w:rsidR="007F6EF4" w:rsidRDefault="00F942BF" w:rsidP="00321C6D">
      <w:pPr>
        <w:pStyle w:val="Heading2"/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Intra-frequency tests</w:t>
      </w:r>
    </w:p>
    <w:p w:rsidR="00476FA5" w:rsidRDefault="001E5D40" w:rsidP="00321C6D">
      <w:pPr>
        <w:spacing w:line="276" w:lineRule="auto"/>
        <w:rPr>
          <w:lang w:val="en-US"/>
        </w:rPr>
      </w:pPr>
      <w:r>
        <w:rPr>
          <w:lang w:val="en-US"/>
        </w:rPr>
        <w:t xml:space="preserve">In RAN4 78bis, it was agreed to define tests at low and high SINR, with candidate high SINR side-condition of     [20 dB]. </w:t>
      </w:r>
      <w:r w:rsidR="008C39A2">
        <w:rPr>
          <w:lang w:val="en-US"/>
        </w:rPr>
        <w:t>First, let us analyze the possibility of having a high SINR</w:t>
      </w:r>
      <w:r w:rsidR="00476FA5">
        <w:rPr>
          <w:lang w:val="en-US"/>
        </w:rPr>
        <w:t xml:space="preserve"> intra-frequency neighbor cell. For colliding CRS scenarios, the following equation holds</w:t>
      </w:r>
    </w:p>
    <w:p w:rsidR="00476FA5" w:rsidRDefault="00476FA5" w:rsidP="00321C6D">
      <w:pPr>
        <w:spacing w:line="276" w:lineRule="auto"/>
        <w:rPr>
          <w:lang w:val="en-US"/>
        </w:rPr>
      </w:pPr>
      <m:oMathPara>
        <m:oMath>
          <m:r>
            <w:rPr>
              <w:rFonts w:ascii="Cambria Math" w:hAnsi="Cambria Math" w:cs="Cambria Math"/>
              <w:lang w:val="en-US"/>
            </w:rPr>
            <m:t>SINR1</m:t>
          </m:r>
          <m:r>
            <m:rPr>
              <m:sty m:val="p"/>
            </m:rPr>
            <w:rPr>
              <w:rFonts w:ascii="Cambria Math" w:hAnsi="Cambria Math" w:cs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 w:cs="Cambria Math"/>
                  <w:lang w:val="en-US"/>
                </w:rPr>
                <m:t>P1</m:t>
              </m:r>
            </m:num>
            <m:den>
              <m:r>
                <w:rPr>
                  <w:rFonts w:ascii="Cambria Math" w:hAnsi="Cambria Math" w:cs="Cambria Math"/>
                  <w:lang w:val="en-US"/>
                </w:rPr>
                <m:t>P2+</m:t>
              </m:r>
              <m:r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Σ</m:t>
              </m:r>
              <m:r>
                <w:rPr>
                  <w:rFonts w:ascii="Cambria Math" w:hAnsi="Cambria Math" w:cs="Cambria Math"/>
                  <w:lang w:val="en-US"/>
                </w:rPr>
                <m:t>Pi+ N</m:t>
              </m:r>
            </m:den>
          </m:f>
          <m:r>
            <w:rPr>
              <w:rFonts w:ascii="Cambria Math" w:hAnsi="Cambria Math"/>
              <w:lang w:val="en-US"/>
            </w:rPr>
            <m:t xml:space="preserve">,      SINR2= 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 w:cs="Cambria Math"/>
                  <w:lang w:val="en-US"/>
                </w:rPr>
                <m:t>P2</m:t>
              </m:r>
            </m:num>
            <m:den>
              <m:r>
                <w:rPr>
                  <w:rFonts w:ascii="Cambria Math" w:hAnsi="Cambria Math" w:cs="Cambria Math"/>
                  <w:lang w:val="en-US"/>
                </w:rPr>
                <m:t>P1+</m:t>
              </m:r>
              <m:r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Σ</m:t>
              </m:r>
              <m:r>
                <w:rPr>
                  <w:rFonts w:ascii="Cambria Math" w:hAnsi="Cambria Math" w:cs="Cambria Math"/>
                  <w:lang w:val="en-US"/>
                </w:rPr>
                <m:t>Pi+ N</m:t>
              </m:r>
            </m:den>
          </m:f>
        </m:oMath>
      </m:oMathPara>
    </w:p>
    <w:p w:rsidR="00476FA5" w:rsidRDefault="00476FA5" w:rsidP="00321C6D">
      <w:pPr>
        <w:spacing w:line="276" w:lineRule="auto"/>
        <w:rPr>
          <w:lang w:val="en-US"/>
        </w:rPr>
      </w:pPr>
      <w:r>
        <w:rPr>
          <w:lang w:val="en-US"/>
        </w:rPr>
        <w:t xml:space="preserve">where </w:t>
      </w:r>
      <w:r>
        <w:rPr>
          <w:i/>
          <w:lang w:val="en-US"/>
        </w:rPr>
        <w:t xml:space="preserve">P1 </w:t>
      </w:r>
      <w:r>
        <w:rPr>
          <w:lang w:val="en-US"/>
        </w:rPr>
        <w:t xml:space="preserve">is the serving cell </w:t>
      </w:r>
      <w:r w:rsidR="00C22E70">
        <w:rPr>
          <w:lang w:val="en-US"/>
        </w:rPr>
        <w:t xml:space="preserve">(Cell1) </w:t>
      </w:r>
      <w:r>
        <w:rPr>
          <w:lang w:val="en-US"/>
        </w:rPr>
        <w:t xml:space="preserve">power, </w:t>
      </w:r>
      <w:r>
        <w:rPr>
          <w:i/>
          <w:lang w:val="en-US"/>
        </w:rPr>
        <w:t xml:space="preserve">P2 </w:t>
      </w:r>
      <w:r w:rsidRPr="00476FA5">
        <w:rPr>
          <w:lang w:val="en-US"/>
        </w:rPr>
        <w:t xml:space="preserve">is the neighbor cell </w:t>
      </w:r>
      <w:r w:rsidR="00C22E70">
        <w:rPr>
          <w:lang w:val="en-US"/>
        </w:rPr>
        <w:t xml:space="preserve">(Cell2) </w:t>
      </w:r>
      <w:r w:rsidRPr="00476FA5">
        <w:rPr>
          <w:lang w:val="en-US"/>
        </w:rPr>
        <w:t>power</w:t>
      </w:r>
      <w:r>
        <w:rPr>
          <w:i/>
          <w:lang w:val="en-US"/>
        </w:rPr>
        <w:t>,</w:t>
      </w:r>
      <w:r w:rsidR="00CF3EED">
        <w:rPr>
          <w:i/>
          <w:lang w:val="en-US"/>
        </w:rPr>
        <w:t xml:space="preserve"> Pi</w:t>
      </w:r>
      <w:r>
        <w:rPr>
          <w:i/>
          <w:lang w:val="en-US"/>
        </w:rPr>
        <w:t xml:space="preserve"> </w:t>
      </w:r>
      <w:r w:rsidR="00CF3EED" w:rsidRPr="00CF3EED">
        <w:rPr>
          <w:lang w:val="en-US"/>
        </w:rPr>
        <w:t xml:space="preserve">is the power of all other cells, </w:t>
      </w:r>
      <w:r>
        <w:rPr>
          <w:i/>
          <w:lang w:val="en-US"/>
        </w:rPr>
        <w:t xml:space="preserve">N </w:t>
      </w:r>
      <w:r w:rsidRPr="00476FA5">
        <w:rPr>
          <w:lang w:val="en-US"/>
        </w:rPr>
        <w:t>is the noise from all</w:t>
      </w:r>
      <w:r w:rsidR="00CF3EED">
        <w:rPr>
          <w:lang w:val="en-US"/>
        </w:rPr>
        <w:t xml:space="preserve"> other</w:t>
      </w:r>
      <w:r w:rsidRPr="00476FA5">
        <w:rPr>
          <w:lang w:val="en-US"/>
        </w:rPr>
        <w:t xml:space="preserve"> sources</w:t>
      </w:r>
      <w:r>
        <w:rPr>
          <w:i/>
          <w:lang w:val="en-US"/>
        </w:rPr>
        <w:t>.</w:t>
      </w:r>
      <w:r>
        <w:rPr>
          <w:lang w:val="en-US"/>
        </w:rPr>
        <w:t xml:space="preserve"> If </w:t>
      </w:r>
      <w:r>
        <w:rPr>
          <w:i/>
          <w:lang w:val="en-US"/>
        </w:rPr>
        <w:t>SINR2</w:t>
      </w:r>
      <w:r w:rsidRPr="00476FA5">
        <w:rPr>
          <w:i/>
          <w:lang w:val="en-US"/>
        </w:rPr>
        <w:t xml:space="preserve"> </w:t>
      </w:r>
      <w:r>
        <w:rPr>
          <w:lang w:val="en-US"/>
        </w:rPr>
        <w:t xml:space="preserve">is </w:t>
      </w:r>
      <w:r w:rsidR="00C22E70">
        <w:rPr>
          <w:lang w:val="en-US"/>
        </w:rPr>
        <w:t xml:space="preserve">very </w:t>
      </w:r>
      <w:r>
        <w:rPr>
          <w:lang w:val="en-US"/>
        </w:rPr>
        <w:t xml:space="preserve">high (say 20dB), then </w:t>
      </w:r>
      <w:r>
        <w:rPr>
          <w:i/>
          <w:lang w:val="en-US"/>
        </w:rPr>
        <w:t>P2</w:t>
      </w:r>
      <w:r>
        <w:rPr>
          <w:lang w:val="en-US"/>
        </w:rPr>
        <w:t xml:space="preserve"> is large relative to </w:t>
      </w:r>
      <w:r>
        <w:rPr>
          <w:i/>
          <w:lang w:val="en-US"/>
        </w:rPr>
        <w:t xml:space="preserve">P1, </w:t>
      </w:r>
      <w:r w:rsidRPr="00476FA5">
        <w:rPr>
          <w:lang w:val="en-US"/>
        </w:rPr>
        <w:t xml:space="preserve">which implies </w:t>
      </w:r>
      <w:r>
        <w:rPr>
          <w:i/>
          <w:lang w:val="en-US"/>
        </w:rPr>
        <w:t xml:space="preserve">SINR1 </w:t>
      </w:r>
      <w:r w:rsidRPr="00476FA5">
        <w:rPr>
          <w:lang w:val="en-US"/>
        </w:rPr>
        <w:t>is small.</w:t>
      </w:r>
      <w:r w:rsidR="00C22E70">
        <w:rPr>
          <w:i/>
          <w:lang w:val="en-US"/>
        </w:rPr>
        <w:t xml:space="preserve"> </w:t>
      </w:r>
      <w:r w:rsidR="00C22E70">
        <w:rPr>
          <w:lang w:val="en-US"/>
        </w:rPr>
        <w:t xml:space="preserve">In such scenarios, it is very likely that the UE would have reselected/hand-over to Cell2. </w:t>
      </w:r>
      <w:r w:rsidR="00CF3EED">
        <w:rPr>
          <w:lang w:val="en-US"/>
        </w:rPr>
        <w:t>Even f</w:t>
      </w:r>
      <w:r w:rsidR="0026324B">
        <w:rPr>
          <w:lang w:val="en-US"/>
        </w:rPr>
        <w:t xml:space="preserve">or non-colliding and async network scenarios, unless the load of the serving cell is very low, it is unlikely that a neighbor cell </w:t>
      </w:r>
      <w:r w:rsidR="00CF3EED">
        <w:rPr>
          <w:lang w:val="en-US"/>
        </w:rPr>
        <w:t xml:space="preserve">with </w:t>
      </w:r>
      <w:r w:rsidR="0026324B">
        <w:rPr>
          <w:lang w:val="en-US"/>
        </w:rPr>
        <w:t>very high SINR will exist.</w:t>
      </w:r>
      <w:r w:rsidR="002865E5">
        <w:rPr>
          <w:lang w:val="en-US"/>
        </w:rPr>
        <w:t xml:space="preserve"> Considering that very high SINR neighbor cell is an unlikely scenario in realistic deployment, we propose to limit the intra-frequency test cases to only low SINR.</w:t>
      </w:r>
    </w:p>
    <w:p w:rsidR="00E316C5" w:rsidRPr="00E316C5" w:rsidRDefault="00E316C5" w:rsidP="00321C6D">
      <w:pPr>
        <w:spacing w:line="276" w:lineRule="auto"/>
        <w:rPr>
          <w:b/>
          <w:lang w:val="en-US"/>
        </w:rPr>
      </w:pPr>
      <w:r w:rsidRPr="00E316C5">
        <w:rPr>
          <w:b/>
          <w:lang w:val="en-US"/>
        </w:rPr>
        <w:t>Proposal 1: Test intra-frequency RS-SINR measurement accuracy only at low SINR.</w:t>
      </w:r>
    </w:p>
    <w:p w:rsidR="00FB3B81" w:rsidRDefault="00E316C5" w:rsidP="00321C6D">
      <w:pPr>
        <w:spacing w:line="276" w:lineRule="auto"/>
        <w:rPr>
          <w:lang w:val="en-US"/>
        </w:rPr>
      </w:pPr>
      <w:r>
        <w:rPr>
          <w:lang w:val="en-US"/>
        </w:rPr>
        <w:t>The accuracy of RS-SINR measurement should be maintained in the worst case scenario. In sync network scenarios, UE may</w:t>
      </w:r>
      <w:r w:rsidR="007E2CA9">
        <w:rPr>
          <w:lang w:val="en-US"/>
        </w:rPr>
        <w:t xml:space="preserve"> </w:t>
      </w:r>
      <w:r>
        <w:rPr>
          <w:lang w:val="en-US"/>
        </w:rPr>
        <w:t xml:space="preserve">be able </w:t>
      </w:r>
      <w:r w:rsidR="00FB3B81">
        <w:rPr>
          <w:lang w:val="en-US"/>
        </w:rPr>
        <w:t>to utilize wideband processing, meant for serving cell, in conjunction with advanced schemes like CRS-IC, etc. to estimate neighbor cell SINR.</w:t>
      </w:r>
      <w:r w:rsidR="00C04EF9">
        <w:rPr>
          <w:lang w:val="en-US"/>
        </w:rPr>
        <w:t xml:space="preserve"> However, such advanced processing is not </w:t>
      </w:r>
      <w:r w:rsidR="004E1A42">
        <w:rPr>
          <w:lang w:val="en-US"/>
        </w:rPr>
        <w:t xml:space="preserve">feasible in async network scenarios. Hence, we propose to define </w:t>
      </w:r>
      <w:r w:rsidR="00CF3EED">
        <w:rPr>
          <w:lang w:val="en-US"/>
        </w:rPr>
        <w:t xml:space="preserve">the tests for intra-frequency RS-SINR measurement </w:t>
      </w:r>
      <w:r w:rsidR="004E1A42">
        <w:rPr>
          <w:lang w:val="en-US"/>
        </w:rPr>
        <w:t xml:space="preserve">in async network scenarios. </w:t>
      </w:r>
    </w:p>
    <w:p w:rsidR="00580F4F" w:rsidRPr="00580F4F" w:rsidRDefault="00580F4F" w:rsidP="00321C6D">
      <w:pPr>
        <w:spacing w:line="276" w:lineRule="auto"/>
        <w:rPr>
          <w:b/>
          <w:lang w:val="en-US"/>
        </w:rPr>
      </w:pPr>
      <w:r w:rsidRPr="00580F4F">
        <w:rPr>
          <w:b/>
          <w:lang w:val="en-US"/>
        </w:rPr>
        <w:t>Proposal 2:</w:t>
      </w:r>
      <w:r>
        <w:rPr>
          <w:b/>
          <w:lang w:val="en-US"/>
        </w:rPr>
        <w:t xml:space="preserve"> Define tests for intra-frequency RS-SINR measurement accuracy in async network scenarios. Additional tests in sync networks are not necessary, since async network scenario already captures the worst case.</w:t>
      </w:r>
    </w:p>
    <w:p w:rsidR="00F942BF" w:rsidRDefault="007E2CA9" w:rsidP="00321C6D">
      <w:pPr>
        <w:spacing w:line="276" w:lineRule="auto"/>
        <w:rPr>
          <w:lang w:val="en-US"/>
        </w:rPr>
      </w:pPr>
      <w:r>
        <w:rPr>
          <w:lang w:val="en-US"/>
        </w:rPr>
        <w:t>To simplify the design of the test for async network scenarios, we can assume uniform interference by allowing 100% load on the serving cell. The impact of non-uniform interference on the accuracy of RS-SINR measurement can be tested in inter-frequency tests.</w:t>
      </w:r>
    </w:p>
    <w:p w:rsidR="007E2CA9" w:rsidRPr="007E2CA9" w:rsidRDefault="007E2CA9" w:rsidP="00321C6D">
      <w:pPr>
        <w:spacing w:line="276" w:lineRule="auto"/>
        <w:rPr>
          <w:b/>
          <w:lang w:val="en-US"/>
        </w:rPr>
      </w:pPr>
      <w:r w:rsidRPr="007E2CA9">
        <w:rPr>
          <w:b/>
          <w:lang w:val="en-US"/>
        </w:rPr>
        <w:t>Proposal 3:</w:t>
      </w:r>
      <w:r w:rsidR="0079741A">
        <w:rPr>
          <w:b/>
          <w:lang w:val="en-US"/>
        </w:rPr>
        <w:t xml:space="preserve"> Intra-frequency RS-SINR measurement tests in async network scenario can be defined with 100% serving cell load.</w:t>
      </w:r>
    </w:p>
    <w:p w:rsidR="00404A62" w:rsidRDefault="00F942BF" w:rsidP="00321C6D">
      <w:pPr>
        <w:pStyle w:val="Heading2"/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Inter-frequency tests</w:t>
      </w:r>
    </w:p>
    <w:p w:rsidR="008D0690" w:rsidRDefault="00C10D98" w:rsidP="00C10D98">
      <w:pPr>
        <w:rPr>
          <w:lang w:val="en-US"/>
        </w:rPr>
      </w:pPr>
      <w:r>
        <w:rPr>
          <w:lang w:val="en-US"/>
        </w:rPr>
        <w:t>The inter-frequency tests can be defined at both low and high SINR.</w:t>
      </w:r>
      <w:r w:rsidR="008D0690">
        <w:rPr>
          <w:lang w:val="en-US"/>
        </w:rPr>
        <w:t xml:space="preserve"> Non-uniform interference can be modeled on the inter-frequency neighbor by configuring different Noc on RS tones and data tones. The difference in Noc has to be sufficiently large </w:t>
      </w:r>
      <w:r w:rsidR="007F2FE1">
        <w:rPr>
          <w:lang w:val="en-US"/>
        </w:rPr>
        <w:t>(say 6</w:t>
      </w:r>
      <w:r w:rsidR="00394DAD">
        <w:rPr>
          <w:lang w:val="en-US"/>
        </w:rPr>
        <w:t xml:space="preserve">dB) </w:t>
      </w:r>
      <w:r w:rsidR="008D0690">
        <w:rPr>
          <w:lang w:val="en-US"/>
        </w:rPr>
        <w:t>such that it can be reliably verified that the UE is estimating noise + interference only from RS tones.</w:t>
      </w:r>
    </w:p>
    <w:p w:rsidR="00394DAD" w:rsidRPr="00394DAD" w:rsidRDefault="00394DAD" w:rsidP="00C10D98">
      <w:pPr>
        <w:rPr>
          <w:b/>
          <w:lang w:val="en-US"/>
        </w:rPr>
      </w:pPr>
      <w:r w:rsidRPr="00394DAD">
        <w:rPr>
          <w:b/>
          <w:lang w:val="en-US"/>
        </w:rPr>
        <w:t>Proposal 4:</w:t>
      </w:r>
      <w:r w:rsidR="007F2FE1">
        <w:rPr>
          <w:b/>
          <w:lang w:val="en-US"/>
        </w:rPr>
        <w:t xml:space="preserve"> </w:t>
      </w:r>
      <w:r w:rsidR="00CF3EED">
        <w:rPr>
          <w:b/>
          <w:lang w:val="en-US"/>
        </w:rPr>
        <w:t xml:space="preserve">Define </w:t>
      </w:r>
      <w:r w:rsidR="007F2FE1">
        <w:rPr>
          <w:b/>
          <w:lang w:val="en-US"/>
        </w:rPr>
        <w:t xml:space="preserve">tests for inter-frequency RS-SINR measurements with non-uniform interference. Non-uniform interference can be modeled by configuring large </w:t>
      </w:r>
      <w:r w:rsidR="00CF3EED">
        <w:rPr>
          <w:b/>
          <w:lang w:val="en-US"/>
        </w:rPr>
        <w:t>(</w:t>
      </w:r>
      <w:r w:rsidR="007F2FE1">
        <w:rPr>
          <w:b/>
          <w:lang w:val="en-US"/>
        </w:rPr>
        <w:t>6dB</w:t>
      </w:r>
      <w:r w:rsidR="00CF3EED">
        <w:rPr>
          <w:b/>
          <w:lang w:val="en-US"/>
        </w:rPr>
        <w:t>)</w:t>
      </w:r>
      <w:r w:rsidR="007F2FE1">
        <w:rPr>
          <w:b/>
          <w:lang w:val="en-US"/>
        </w:rPr>
        <w:t xml:space="preserve"> difference in Noc between RS and data tones of the inter-frequency neighbor.</w:t>
      </w:r>
    </w:p>
    <w:p w:rsidR="00C94BA1" w:rsidRDefault="00C94BA1" w:rsidP="00321C6D">
      <w:pPr>
        <w:pStyle w:val="Heading1"/>
        <w:spacing w:line="276" w:lineRule="auto"/>
        <w:rPr>
          <w:rFonts w:cs="Arial"/>
          <w:lang w:val="en-US"/>
        </w:rPr>
      </w:pPr>
      <w:r w:rsidRPr="00C14255">
        <w:rPr>
          <w:rFonts w:cs="Arial"/>
          <w:lang w:val="en-US"/>
        </w:rPr>
        <w:t>Conclusion</w:t>
      </w:r>
    </w:p>
    <w:p w:rsidR="00CE5E51" w:rsidRPr="00730B01" w:rsidRDefault="00730B01" w:rsidP="00321C6D">
      <w:pPr>
        <w:spacing w:line="276" w:lineRule="auto"/>
        <w:rPr>
          <w:lang w:val="en-US"/>
        </w:rPr>
      </w:pPr>
      <w:r w:rsidRPr="00730B01">
        <w:rPr>
          <w:lang w:val="en-US"/>
        </w:rPr>
        <w:t>In this contribution, we make the following proposals regarding test cases for RS-SINR measurement</w:t>
      </w:r>
    </w:p>
    <w:p w:rsidR="00730B01" w:rsidRPr="00E316C5" w:rsidRDefault="00730B01" w:rsidP="00730B01">
      <w:pPr>
        <w:spacing w:line="276" w:lineRule="auto"/>
        <w:rPr>
          <w:b/>
          <w:lang w:val="en-US"/>
        </w:rPr>
      </w:pPr>
      <w:r w:rsidRPr="00E316C5">
        <w:rPr>
          <w:b/>
          <w:lang w:val="en-US"/>
        </w:rPr>
        <w:t>Proposal 1: Test intra-frequency RS-SINR measurement accuracy only at low SINR.</w:t>
      </w:r>
    </w:p>
    <w:p w:rsidR="00730B01" w:rsidRPr="00580F4F" w:rsidRDefault="00730B01" w:rsidP="00730B01">
      <w:pPr>
        <w:spacing w:line="276" w:lineRule="auto"/>
        <w:rPr>
          <w:b/>
          <w:lang w:val="en-US"/>
        </w:rPr>
      </w:pPr>
      <w:r w:rsidRPr="00580F4F">
        <w:rPr>
          <w:b/>
          <w:lang w:val="en-US"/>
        </w:rPr>
        <w:lastRenderedPageBreak/>
        <w:t>Proposal 2:</w:t>
      </w:r>
      <w:r>
        <w:rPr>
          <w:b/>
          <w:lang w:val="en-US"/>
        </w:rPr>
        <w:t xml:space="preserve"> Define tests for intra-frequency RS-SINR measurement accuracy in async network scenarios. Additional tests in sync networks are not necessary, since async network scenario already captures the worst case.</w:t>
      </w:r>
    </w:p>
    <w:p w:rsidR="00730B01" w:rsidRPr="007E2CA9" w:rsidRDefault="00730B01" w:rsidP="00730B01">
      <w:pPr>
        <w:spacing w:line="276" w:lineRule="auto"/>
        <w:rPr>
          <w:b/>
          <w:lang w:val="en-US"/>
        </w:rPr>
      </w:pPr>
      <w:r w:rsidRPr="007E2CA9">
        <w:rPr>
          <w:b/>
          <w:lang w:val="en-US"/>
        </w:rPr>
        <w:t>Proposal 3:</w:t>
      </w:r>
      <w:r>
        <w:rPr>
          <w:b/>
          <w:lang w:val="en-US"/>
        </w:rPr>
        <w:t xml:space="preserve"> Intra-frequency RS-SINR measurement tests in async network scenario can be defined with 100% serving cell load.</w:t>
      </w:r>
    </w:p>
    <w:p w:rsidR="00730B01" w:rsidRDefault="00730B01" w:rsidP="00730B01">
      <w:pPr>
        <w:rPr>
          <w:b/>
          <w:lang w:val="en-US"/>
        </w:rPr>
      </w:pPr>
      <w:r w:rsidRPr="00394DAD">
        <w:rPr>
          <w:b/>
          <w:lang w:val="en-US"/>
        </w:rPr>
        <w:t>Proposal 4:</w:t>
      </w:r>
      <w:r>
        <w:rPr>
          <w:b/>
          <w:lang w:val="en-US"/>
        </w:rPr>
        <w:t xml:space="preserve"> </w:t>
      </w:r>
      <w:r w:rsidR="00CF3EED">
        <w:rPr>
          <w:b/>
          <w:lang w:val="en-US"/>
        </w:rPr>
        <w:t>Define</w:t>
      </w:r>
      <w:r>
        <w:rPr>
          <w:b/>
          <w:lang w:val="en-US"/>
        </w:rPr>
        <w:t xml:space="preserve"> tests for inter-frequency RS-SINR measurements with non-uniform interference. Non-uniform interference can be modeled by configuring large </w:t>
      </w:r>
      <w:r w:rsidR="00CF3EED">
        <w:rPr>
          <w:b/>
          <w:lang w:val="en-US"/>
        </w:rPr>
        <w:t>(</w:t>
      </w:r>
      <w:r>
        <w:rPr>
          <w:b/>
          <w:lang w:val="en-US"/>
        </w:rPr>
        <w:t>6dB</w:t>
      </w:r>
      <w:r w:rsidR="00CF3EED">
        <w:rPr>
          <w:b/>
          <w:lang w:val="en-US"/>
        </w:rPr>
        <w:t>)</w:t>
      </w:r>
      <w:r>
        <w:rPr>
          <w:b/>
          <w:lang w:val="en-US"/>
        </w:rPr>
        <w:t xml:space="preserve"> difference in Noc between RS and data tones of the inter-frequency neighbor.</w:t>
      </w:r>
    </w:p>
    <w:p w:rsidR="00C94BA1" w:rsidRDefault="00C94BA1" w:rsidP="00321C6D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line="276" w:lineRule="auto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1E5D40" w:rsidRPr="00C14608" w:rsidRDefault="001E5D40" w:rsidP="001E5D40">
      <w:pPr>
        <w:tabs>
          <w:tab w:val="left" w:pos="1985"/>
        </w:tabs>
        <w:spacing w:line="276" w:lineRule="auto"/>
        <w:ind w:left="1620" w:hangingChars="900" w:hanging="1620"/>
        <w:jc w:val="both"/>
        <w:rPr>
          <w:rFonts w:eastAsia="SimSun"/>
          <w:sz w:val="18"/>
          <w:szCs w:val="18"/>
          <w:lang w:eastAsia="zh-CN"/>
        </w:rPr>
      </w:pPr>
      <w:r w:rsidRPr="00C14608">
        <w:rPr>
          <w:rFonts w:eastAsia="SimSun"/>
          <w:sz w:val="18"/>
          <w:szCs w:val="18"/>
          <w:lang w:val="en-US" w:eastAsia="zh-CN"/>
        </w:rPr>
        <w:t>[</w:t>
      </w:r>
      <w:r>
        <w:rPr>
          <w:rFonts w:eastAsia="SimSun"/>
          <w:sz w:val="18"/>
          <w:szCs w:val="18"/>
          <w:lang w:val="en-US" w:eastAsia="zh-CN"/>
        </w:rPr>
        <w:t>1</w:t>
      </w:r>
      <w:r w:rsidRPr="00C14608">
        <w:rPr>
          <w:rFonts w:eastAsia="SimSun" w:hint="eastAsia"/>
          <w:sz w:val="18"/>
          <w:szCs w:val="18"/>
          <w:lang w:val="en-US" w:eastAsia="zh-CN"/>
        </w:rPr>
        <w:t>]</w:t>
      </w:r>
      <w:r w:rsidRPr="00C14608">
        <w:rPr>
          <w:rFonts w:eastAsia="SimSun" w:hint="eastAsia"/>
          <w:sz w:val="18"/>
          <w:szCs w:val="18"/>
          <w:lang w:eastAsia="zh-CN"/>
        </w:rPr>
        <w:t xml:space="preserve"> </w:t>
      </w:r>
      <w:r w:rsidRPr="00C14608">
        <w:rPr>
          <w:rFonts w:eastAsia="SimSun"/>
          <w:sz w:val="18"/>
          <w:szCs w:val="18"/>
          <w:lang w:eastAsia="zh-CN"/>
        </w:rPr>
        <w:t>R4-163038</w:t>
      </w:r>
      <w:r w:rsidRPr="00C14608">
        <w:rPr>
          <w:rFonts w:eastAsia="SimSun" w:hint="eastAsia"/>
          <w:sz w:val="18"/>
          <w:szCs w:val="18"/>
          <w:lang w:eastAsia="zh-CN"/>
        </w:rPr>
        <w:t xml:space="preserve">, </w:t>
      </w:r>
      <w:r w:rsidRPr="00C14608">
        <w:rPr>
          <w:rFonts w:eastAsia="SimSun"/>
          <w:sz w:val="18"/>
          <w:szCs w:val="18"/>
          <w:lang w:eastAsia="zh-CN"/>
        </w:rPr>
        <w:t>“Way forward on test case list for new RS-SINR”,</w:t>
      </w:r>
      <w:r w:rsidRPr="00C14608">
        <w:rPr>
          <w:rFonts w:eastAsia="SimSun" w:hint="eastAsia"/>
          <w:sz w:val="18"/>
          <w:szCs w:val="18"/>
          <w:lang w:eastAsia="zh-CN"/>
        </w:rPr>
        <w:t xml:space="preserve"> </w:t>
      </w:r>
      <w:r w:rsidRPr="00C14608">
        <w:rPr>
          <w:rFonts w:eastAsia="SimSun"/>
          <w:sz w:val="18"/>
          <w:szCs w:val="18"/>
          <w:lang w:eastAsia="zh-CN"/>
        </w:rPr>
        <w:t>ZTE Microelectronics, Nubia, CMCC, RAN4 #78</w:t>
      </w:r>
      <w:r>
        <w:rPr>
          <w:rFonts w:eastAsia="SimSun"/>
          <w:sz w:val="18"/>
          <w:szCs w:val="18"/>
          <w:lang w:eastAsia="zh-CN"/>
        </w:rPr>
        <w:t xml:space="preserve">bis </w:t>
      </w:r>
      <w:r w:rsidRPr="00C14608">
        <w:rPr>
          <w:rFonts w:eastAsia="SimSun"/>
          <w:sz w:val="18"/>
          <w:szCs w:val="18"/>
          <w:lang w:eastAsia="zh-CN"/>
        </w:rPr>
        <w:t>Feb</w:t>
      </w:r>
      <w:r>
        <w:rPr>
          <w:rFonts w:eastAsia="SimSun"/>
          <w:sz w:val="18"/>
          <w:szCs w:val="18"/>
          <w:lang w:eastAsia="zh-CN"/>
        </w:rPr>
        <w:t xml:space="preserve"> 2016</w:t>
      </w:r>
    </w:p>
    <w:p w:rsidR="00C14608" w:rsidRPr="00942AE9" w:rsidRDefault="00C14608" w:rsidP="00404A62">
      <w:pPr>
        <w:tabs>
          <w:tab w:val="left" w:pos="1985"/>
        </w:tabs>
        <w:spacing w:line="276" w:lineRule="auto"/>
        <w:ind w:left="1800" w:hangingChars="900" w:hanging="1800"/>
        <w:jc w:val="both"/>
        <w:rPr>
          <w:rFonts w:eastAsia="SimSun"/>
          <w:lang w:eastAsia="zh-CN"/>
        </w:rPr>
      </w:pPr>
    </w:p>
    <w:p w:rsidR="00C94BA1" w:rsidRDefault="00C94BA1" w:rsidP="00404A62">
      <w:pPr>
        <w:spacing w:line="276" w:lineRule="auto"/>
        <w:jc w:val="center"/>
        <w:rPr>
          <w:lang w:val="en-US"/>
        </w:rPr>
      </w:pPr>
    </w:p>
    <w:sectPr w:rsidR="00C94B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B3791"/>
    <w:multiLevelType w:val="multilevel"/>
    <w:tmpl w:val="55AABAF0"/>
    <w:lvl w:ilvl="0">
      <w:start w:val="1"/>
      <w:numFmt w:val="decimal"/>
      <w:lvlText w:val="%1  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FD1BC8"/>
    <w:multiLevelType w:val="hybridMultilevel"/>
    <w:tmpl w:val="0792D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A133A"/>
    <w:multiLevelType w:val="hybridMultilevel"/>
    <w:tmpl w:val="8542A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3970F8A"/>
    <w:multiLevelType w:val="hybridMultilevel"/>
    <w:tmpl w:val="46D4BE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33532"/>
    <w:multiLevelType w:val="hybridMultilevel"/>
    <w:tmpl w:val="1684444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4DB43D7B"/>
    <w:multiLevelType w:val="hybridMultilevel"/>
    <w:tmpl w:val="BDF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202E10"/>
    <w:multiLevelType w:val="hybridMultilevel"/>
    <w:tmpl w:val="C6BCB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3"/>
  </w:num>
  <w:num w:numId="6">
    <w:abstractNumId w:val="8"/>
  </w:num>
  <w:num w:numId="7">
    <w:abstractNumId w:val="11"/>
  </w:num>
  <w:num w:numId="8">
    <w:abstractNumId w:val="10"/>
  </w:num>
  <w:num w:numId="9">
    <w:abstractNumId w:val="2"/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15"/>
    <w:rsid w:val="00010FF8"/>
    <w:rsid w:val="00013559"/>
    <w:rsid w:val="000273ED"/>
    <w:rsid w:val="00053515"/>
    <w:rsid w:val="0006585F"/>
    <w:rsid w:val="00074A01"/>
    <w:rsid w:val="000772D0"/>
    <w:rsid w:val="0009023B"/>
    <w:rsid w:val="00092418"/>
    <w:rsid w:val="00093A85"/>
    <w:rsid w:val="000A438B"/>
    <w:rsid w:val="00107458"/>
    <w:rsid w:val="001655E5"/>
    <w:rsid w:val="00167D5E"/>
    <w:rsid w:val="00171875"/>
    <w:rsid w:val="001975F3"/>
    <w:rsid w:val="001C6E10"/>
    <w:rsid w:val="001E5D40"/>
    <w:rsid w:val="00221247"/>
    <w:rsid w:val="00253D6A"/>
    <w:rsid w:val="002552AA"/>
    <w:rsid w:val="0026324B"/>
    <w:rsid w:val="002714E1"/>
    <w:rsid w:val="00272A38"/>
    <w:rsid w:val="00273FC1"/>
    <w:rsid w:val="002865E5"/>
    <w:rsid w:val="002918C7"/>
    <w:rsid w:val="002C4562"/>
    <w:rsid w:val="002D26FA"/>
    <w:rsid w:val="002D5A3E"/>
    <w:rsid w:val="002D6A34"/>
    <w:rsid w:val="002F1EF9"/>
    <w:rsid w:val="00307BAD"/>
    <w:rsid w:val="003218C5"/>
    <w:rsid w:val="00321C6D"/>
    <w:rsid w:val="003451F5"/>
    <w:rsid w:val="003568D3"/>
    <w:rsid w:val="00357354"/>
    <w:rsid w:val="00373B71"/>
    <w:rsid w:val="00394DAD"/>
    <w:rsid w:val="00396BDD"/>
    <w:rsid w:val="003A0805"/>
    <w:rsid w:val="003A0943"/>
    <w:rsid w:val="003D1322"/>
    <w:rsid w:val="003D40E1"/>
    <w:rsid w:val="003E645F"/>
    <w:rsid w:val="0040252B"/>
    <w:rsid w:val="00404A62"/>
    <w:rsid w:val="00405E53"/>
    <w:rsid w:val="00406EF5"/>
    <w:rsid w:val="004143C4"/>
    <w:rsid w:val="00416036"/>
    <w:rsid w:val="004177AB"/>
    <w:rsid w:val="00466053"/>
    <w:rsid w:val="00472E7E"/>
    <w:rsid w:val="00476FA5"/>
    <w:rsid w:val="004842C0"/>
    <w:rsid w:val="00497F00"/>
    <w:rsid w:val="004B6776"/>
    <w:rsid w:val="004D6890"/>
    <w:rsid w:val="004D7012"/>
    <w:rsid w:val="004E1A42"/>
    <w:rsid w:val="004E4245"/>
    <w:rsid w:val="00533335"/>
    <w:rsid w:val="005348F3"/>
    <w:rsid w:val="005401A8"/>
    <w:rsid w:val="005556C6"/>
    <w:rsid w:val="00555F44"/>
    <w:rsid w:val="005602A4"/>
    <w:rsid w:val="005612C9"/>
    <w:rsid w:val="00580F4F"/>
    <w:rsid w:val="005A46EA"/>
    <w:rsid w:val="005C481A"/>
    <w:rsid w:val="005D4ECF"/>
    <w:rsid w:val="005D71DF"/>
    <w:rsid w:val="005E38FA"/>
    <w:rsid w:val="005E5A5A"/>
    <w:rsid w:val="005E63CB"/>
    <w:rsid w:val="005F0012"/>
    <w:rsid w:val="00630820"/>
    <w:rsid w:val="0063509A"/>
    <w:rsid w:val="00663077"/>
    <w:rsid w:val="006C5517"/>
    <w:rsid w:val="00730B01"/>
    <w:rsid w:val="00740C16"/>
    <w:rsid w:val="00757D5C"/>
    <w:rsid w:val="00780B1D"/>
    <w:rsid w:val="00781A5E"/>
    <w:rsid w:val="0079163F"/>
    <w:rsid w:val="00792A08"/>
    <w:rsid w:val="0079741A"/>
    <w:rsid w:val="007A0C35"/>
    <w:rsid w:val="007A0FF6"/>
    <w:rsid w:val="007A3EEE"/>
    <w:rsid w:val="007A5EBE"/>
    <w:rsid w:val="007B0D29"/>
    <w:rsid w:val="007E2CA9"/>
    <w:rsid w:val="007F2FE1"/>
    <w:rsid w:val="007F6EF4"/>
    <w:rsid w:val="00821369"/>
    <w:rsid w:val="00826A09"/>
    <w:rsid w:val="00833FB9"/>
    <w:rsid w:val="0083620D"/>
    <w:rsid w:val="00836A0E"/>
    <w:rsid w:val="00891BAB"/>
    <w:rsid w:val="008A20E3"/>
    <w:rsid w:val="008C39A2"/>
    <w:rsid w:val="008C3FE2"/>
    <w:rsid w:val="008C6F7B"/>
    <w:rsid w:val="008D0690"/>
    <w:rsid w:val="008E1C25"/>
    <w:rsid w:val="008F15C5"/>
    <w:rsid w:val="009156AD"/>
    <w:rsid w:val="00922E1D"/>
    <w:rsid w:val="009240D6"/>
    <w:rsid w:val="00933305"/>
    <w:rsid w:val="00946DAE"/>
    <w:rsid w:val="00952D78"/>
    <w:rsid w:val="00970B8D"/>
    <w:rsid w:val="00980544"/>
    <w:rsid w:val="00983895"/>
    <w:rsid w:val="009A7D4E"/>
    <w:rsid w:val="009D7BF9"/>
    <w:rsid w:val="009E4E56"/>
    <w:rsid w:val="009E77EC"/>
    <w:rsid w:val="00A225E5"/>
    <w:rsid w:val="00A5150A"/>
    <w:rsid w:val="00A57BBA"/>
    <w:rsid w:val="00A62F0C"/>
    <w:rsid w:val="00A8662D"/>
    <w:rsid w:val="00AA7860"/>
    <w:rsid w:val="00AB0782"/>
    <w:rsid w:val="00AB155A"/>
    <w:rsid w:val="00AB3644"/>
    <w:rsid w:val="00B16E32"/>
    <w:rsid w:val="00B21EAB"/>
    <w:rsid w:val="00B37CF9"/>
    <w:rsid w:val="00B60D38"/>
    <w:rsid w:val="00B61F20"/>
    <w:rsid w:val="00B64183"/>
    <w:rsid w:val="00B65F49"/>
    <w:rsid w:val="00B72742"/>
    <w:rsid w:val="00B94C8D"/>
    <w:rsid w:val="00BA05CF"/>
    <w:rsid w:val="00BA4206"/>
    <w:rsid w:val="00BB24D3"/>
    <w:rsid w:val="00BB7C24"/>
    <w:rsid w:val="00C00A49"/>
    <w:rsid w:val="00C04EF9"/>
    <w:rsid w:val="00C0511F"/>
    <w:rsid w:val="00C10D98"/>
    <w:rsid w:val="00C126E0"/>
    <w:rsid w:val="00C14255"/>
    <w:rsid w:val="00C14608"/>
    <w:rsid w:val="00C22E70"/>
    <w:rsid w:val="00C350E5"/>
    <w:rsid w:val="00C44130"/>
    <w:rsid w:val="00C47CA1"/>
    <w:rsid w:val="00C924C4"/>
    <w:rsid w:val="00C94BA1"/>
    <w:rsid w:val="00C95FFC"/>
    <w:rsid w:val="00CC0432"/>
    <w:rsid w:val="00CE007E"/>
    <w:rsid w:val="00CE5E51"/>
    <w:rsid w:val="00CE7134"/>
    <w:rsid w:val="00CF3804"/>
    <w:rsid w:val="00CF3EED"/>
    <w:rsid w:val="00CF40BC"/>
    <w:rsid w:val="00CF4CE0"/>
    <w:rsid w:val="00D075FA"/>
    <w:rsid w:val="00D07EBD"/>
    <w:rsid w:val="00D203DD"/>
    <w:rsid w:val="00D22171"/>
    <w:rsid w:val="00D261C3"/>
    <w:rsid w:val="00D36E79"/>
    <w:rsid w:val="00D441BD"/>
    <w:rsid w:val="00D61FFF"/>
    <w:rsid w:val="00D657C0"/>
    <w:rsid w:val="00D919AB"/>
    <w:rsid w:val="00D949EE"/>
    <w:rsid w:val="00D97FC2"/>
    <w:rsid w:val="00DD2550"/>
    <w:rsid w:val="00DF3066"/>
    <w:rsid w:val="00E107A1"/>
    <w:rsid w:val="00E2342C"/>
    <w:rsid w:val="00E24F55"/>
    <w:rsid w:val="00E316C5"/>
    <w:rsid w:val="00E6455A"/>
    <w:rsid w:val="00E71916"/>
    <w:rsid w:val="00E731F1"/>
    <w:rsid w:val="00E73768"/>
    <w:rsid w:val="00E84D20"/>
    <w:rsid w:val="00E92B44"/>
    <w:rsid w:val="00E93C6E"/>
    <w:rsid w:val="00EC1BC8"/>
    <w:rsid w:val="00ED2F98"/>
    <w:rsid w:val="00EE03A9"/>
    <w:rsid w:val="00EE4119"/>
    <w:rsid w:val="00F07BBD"/>
    <w:rsid w:val="00F13BFF"/>
    <w:rsid w:val="00F217D9"/>
    <w:rsid w:val="00F468E9"/>
    <w:rsid w:val="00F509D1"/>
    <w:rsid w:val="00F5112C"/>
    <w:rsid w:val="00F83D8F"/>
    <w:rsid w:val="00F83EC1"/>
    <w:rsid w:val="00F942BF"/>
    <w:rsid w:val="00F9503C"/>
    <w:rsid w:val="00FB3B81"/>
    <w:rsid w:val="00FD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0A392A-B4C8-43C3-830B-4AF1180F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8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Char,h1,Heading 1 3GPP,Memo Heading 1,NMP Heading 1,app heading 1,l1,h11,h12,h13,h14,h15,h16,h17,h111,h121,h131,h141,h151,h161,h18,h112,h122,h132,h142,h152,h162,h19,h113,h123,h133,h143,h153,h163,1,Section of paper,Heading 1_a,heading 1"/>
    <w:next w:val="Normal"/>
    <w:link w:val="Heading1Char"/>
    <w:qFormat/>
    <w:rsid w:val="005E38F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"/>
    <w:basedOn w:val="Heading1"/>
    <w:next w:val="Normal"/>
    <w:link w:val="Heading2Char"/>
    <w:qFormat/>
    <w:rsid w:val="005E38F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E38F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E38F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E38FA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E03A9"/>
    <w:pPr>
      <w:tabs>
        <w:tab w:val="num" w:pos="1499"/>
      </w:tabs>
      <w:spacing w:before="120" w:beforeAutospacing="1" w:afterLines="100"/>
      <w:ind w:left="1985" w:hanging="1985"/>
      <w:outlineLvl w:val="5"/>
    </w:pPr>
    <w:rPr>
      <w:rFonts w:ascii="Arial" w:eastAsia="Arial" w:hAnsi="Arial"/>
    </w:rPr>
  </w:style>
  <w:style w:type="paragraph" w:styleId="Heading7">
    <w:name w:val="heading 7"/>
    <w:basedOn w:val="Normal"/>
    <w:next w:val="Normal"/>
    <w:link w:val="Heading7Char"/>
    <w:qFormat/>
    <w:rsid w:val="005E38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E38F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38F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Char Char1,h1 Char,Heading 1 3GPP Char,Memo Heading 1 Char,NMP Heading 1 Char,app heading 1 Char,l1 Char,h11 Char,h12 Char,h13 Char,h14 Char,h15 Char,h16 Char,h17 Char,h111 Char,h121 Char,h131 Char,h141 Char,h151 Char,h161 Char"/>
    <w:basedOn w:val="DefaultParagraphFont"/>
    <w:link w:val="Heading1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Char Char Char,H2 Char,h2 Char,DO NOT USE_h2 Char,h21 Char,Heading 2 3GPP Char,Head2A Char,2 Char,UNDERRUBRIK 1-2 Char,Head 2 Char,l2 Char,TitreProp Char,Header 2 Char,ITT t2 Char,PA Major Section Char,Livello 2 Char,R2 Char,H21 Char"/>
    <w:basedOn w:val="DefaultParagraphFont"/>
    <w:link w:val="Heading2"/>
    <w:rsid w:val="005E38FA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5E38FA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E38FA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E38FA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E38F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E38FA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E38F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E38FA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5E38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38FA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EE03A9"/>
    <w:rPr>
      <w:rFonts w:ascii="Arial" w:eastAsia="Arial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96BDD"/>
    <w:pPr>
      <w:ind w:left="720"/>
      <w:contextualSpacing/>
    </w:pPr>
  </w:style>
  <w:style w:type="paragraph" w:customStyle="1" w:styleId="TAC">
    <w:name w:val="TAC"/>
    <w:basedOn w:val="Normal"/>
    <w:link w:val="TACChar"/>
    <w:rsid w:val="00396BD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TACChar">
    <w:name w:val="TAC Char"/>
    <w:link w:val="TAC"/>
    <w:rsid w:val="00396BDD"/>
    <w:rPr>
      <w:rFonts w:ascii="Arial" w:eastAsia="SimSu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396BDD"/>
    <w:rPr>
      <w:b/>
    </w:rPr>
  </w:style>
  <w:style w:type="character" w:customStyle="1" w:styleId="TAHCar">
    <w:name w:val="TAH Car"/>
    <w:link w:val="TAH"/>
    <w:rsid w:val="00396BDD"/>
    <w:rPr>
      <w:rFonts w:ascii="Arial" w:eastAsia="SimSun" w:hAnsi="Arial" w:cs="Times New Roman"/>
      <w:b/>
      <w:sz w:val="18"/>
      <w:szCs w:val="20"/>
      <w:lang w:val="en-GB" w:eastAsia="en-GB"/>
    </w:rPr>
  </w:style>
  <w:style w:type="table" w:styleId="TableGrid">
    <w:name w:val="Table Grid"/>
    <w:basedOn w:val="TableNormal"/>
    <w:uiPriority w:val="39"/>
    <w:rsid w:val="0055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C1425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TH">
    <w:name w:val="TH"/>
    <w:basedOn w:val="Normal"/>
    <w:link w:val="THChar"/>
    <w:rsid w:val="00092418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basedOn w:val="DefaultParagraphFont"/>
    <w:link w:val="TH"/>
    <w:rsid w:val="00092418"/>
    <w:rPr>
      <w:rFonts w:ascii="Arial" w:eastAsia="SimSun" w:hAnsi="Arial" w:cs="Times New Roman"/>
      <w:b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E73768"/>
    <w:rPr>
      <w:color w:val="808080"/>
    </w:rPr>
  </w:style>
  <w:style w:type="character" w:customStyle="1" w:styleId="B1Char1">
    <w:name w:val="B1 Char1"/>
    <w:link w:val="B1"/>
    <w:locked/>
    <w:rsid w:val="003568D3"/>
    <w:rPr>
      <w:rFonts w:ascii="Times New Roman" w:hAnsi="Times New Roman" w:cs="Times New Roman"/>
      <w:lang w:val="x-none"/>
    </w:rPr>
  </w:style>
  <w:style w:type="paragraph" w:customStyle="1" w:styleId="B1">
    <w:name w:val="B1"/>
    <w:basedOn w:val="List"/>
    <w:link w:val="B1Char1"/>
    <w:rsid w:val="003568D3"/>
    <w:pPr>
      <w:ind w:left="568" w:hanging="284"/>
      <w:contextualSpacing w:val="0"/>
    </w:pPr>
    <w:rPr>
      <w:rFonts w:eastAsiaTheme="minorHAnsi"/>
      <w:sz w:val="22"/>
      <w:szCs w:val="22"/>
      <w:lang w:val="x-none"/>
    </w:rPr>
  </w:style>
  <w:style w:type="paragraph" w:styleId="List">
    <w:name w:val="List"/>
    <w:basedOn w:val="Normal"/>
    <w:uiPriority w:val="99"/>
    <w:semiHidden/>
    <w:unhideWhenUsed/>
    <w:rsid w:val="003568D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Sahai, Achaleshwar</dc:creator>
  <cp:keywords/>
  <dc:description/>
  <cp:lastModifiedBy>Sahai, Achaleshwar</cp:lastModifiedBy>
  <cp:revision>53</cp:revision>
  <dcterms:created xsi:type="dcterms:W3CDTF">2016-03-31T20:35:00Z</dcterms:created>
  <dcterms:modified xsi:type="dcterms:W3CDTF">2016-05-12T05:30:00Z</dcterms:modified>
</cp:coreProperties>
</file>