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DC1C30" w:rsidRDefault="00A65F7E" w:rsidP="004D1E8C">
      <w:pPr>
        <w:pStyle w:val="Header"/>
        <w:rPr>
          <w:bCs/>
          <w:color w:val="FF0000"/>
          <w:sz w:val="28"/>
          <w:szCs w:val="28"/>
        </w:rPr>
      </w:pPr>
      <w:bookmarkStart w:id="0" w:name="OLE_LINK3"/>
      <w:r>
        <w:rPr>
          <w:bCs/>
          <w:color w:val="000000"/>
          <w:sz w:val="28"/>
          <w:szCs w:val="28"/>
        </w:rPr>
        <w:t>3GPP TSG RAN WG4 Meeting #</w:t>
      </w:r>
      <w:r w:rsidR="00D73EA6">
        <w:rPr>
          <w:bCs/>
          <w:color w:val="000000"/>
          <w:sz w:val="28"/>
          <w:szCs w:val="28"/>
        </w:rPr>
        <w:t>6</w:t>
      </w:r>
      <w:r w:rsidR="0065619B">
        <w:rPr>
          <w:bCs/>
          <w:color w:val="000000"/>
          <w:sz w:val="28"/>
          <w:szCs w:val="28"/>
        </w:rPr>
        <w:t>8</w:t>
      </w:r>
      <w:r w:rsidR="00793AD3">
        <w:rPr>
          <w:bCs/>
          <w:color w:val="000000"/>
          <w:sz w:val="28"/>
          <w:szCs w:val="28"/>
        </w:rPr>
        <w:t>bis</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w:t>
      </w:r>
      <w:r w:rsidRPr="0041380B">
        <w:rPr>
          <w:bCs/>
          <w:sz w:val="28"/>
          <w:szCs w:val="28"/>
        </w:rPr>
        <w:t>R4</w:t>
      </w:r>
      <w:r w:rsidR="00C53197" w:rsidRPr="0041380B">
        <w:rPr>
          <w:bCs/>
          <w:sz w:val="28"/>
          <w:szCs w:val="28"/>
        </w:rPr>
        <w:t>-</w:t>
      </w:r>
      <w:r w:rsidR="00A2246E" w:rsidRPr="0041380B">
        <w:rPr>
          <w:bCs/>
          <w:sz w:val="28"/>
          <w:szCs w:val="28"/>
        </w:rPr>
        <w:t>1</w:t>
      </w:r>
      <w:r w:rsidR="0065619B">
        <w:rPr>
          <w:bCs/>
          <w:sz w:val="28"/>
          <w:szCs w:val="28"/>
        </w:rPr>
        <w:t>3</w:t>
      </w:r>
      <w:r w:rsidR="00067A66">
        <w:rPr>
          <w:bCs/>
          <w:sz w:val="28"/>
          <w:szCs w:val="28"/>
        </w:rPr>
        <w:t>5527</w:t>
      </w:r>
    </w:p>
    <w:p w:rsidR="009E154B" w:rsidRDefault="00793AD3" w:rsidP="009E154B">
      <w:pPr>
        <w:pStyle w:val="Header"/>
        <w:rPr>
          <w:bCs/>
          <w:color w:val="000000"/>
          <w:sz w:val="28"/>
          <w:szCs w:val="28"/>
          <w:lang w:val="en-US"/>
        </w:rPr>
      </w:pPr>
      <w:r>
        <w:rPr>
          <w:bCs/>
          <w:color w:val="000000"/>
          <w:sz w:val="28"/>
          <w:szCs w:val="28"/>
          <w:lang w:val="en-US"/>
        </w:rPr>
        <w:t>Riga, Latvia</w:t>
      </w:r>
    </w:p>
    <w:p w:rsidR="009E154B" w:rsidRPr="009E154B" w:rsidRDefault="00793AD3" w:rsidP="009E154B">
      <w:pPr>
        <w:pStyle w:val="Header"/>
        <w:rPr>
          <w:bCs/>
          <w:color w:val="000000"/>
          <w:sz w:val="28"/>
          <w:szCs w:val="28"/>
        </w:rPr>
      </w:pPr>
      <w:r>
        <w:rPr>
          <w:bCs/>
          <w:color w:val="000000"/>
          <w:sz w:val="28"/>
          <w:szCs w:val="28"/>
        </w:rPr>
        <w:t>October</w:t>
      </w:r>
      <w:r w:rsidR="0065619B">
        <w:rPr>
          <w:bCs/>
          <w:color w:val="000000"/>
          <w:sz w:val="28"/>
          <w:szCs w:val="28"/>
        </w:rPr>
        <w:t xml:space="preserve"> </w:t>
      </w:r>
      <w:r>
        <w:rPr>
          <w:bCs/>
          <w:color w:val="000000"/>
          <w:sz w:val="28"/>
          <w:szCs w:val="28"/>
        </w:rPr>
        <w:t>7-11</w:t>
      </w:r>
      <w:r w:rsidR="003F131E">
        <w:rPr>
          <w:bCs/>
          <w:color w:val="000000"/>
          <w:sz w:val="28"/>
          <w:szCs w:val="28"/>
        </w:rPr>
        <w:t>, 2013</w:t>
      </w:r>
    </w:p>
    <w:p w:rsidR="004D1E8C" w:rsidRPr="00C53197" w:rsidRDefault="004D1E8C" w:rsidP="004D1E8C">
      <w:pPr>
        <w:pStyle w:val="Header"/>
        <w:rPr>
          <w:bCs/>
          <w:color w:val="000000"/>
          <w:sz w:val="28"/>
          <w:szCs w:val="28"/>
          <w:lang w:val="en-US"/>
        </w:rPr>
      </w:pPr>
    </w:p>
    <w:p w:rsidR="004D1E8C" w:rsidRPr="00C53197" w:rsidRDefault="004D1E8C" w:rsidP="004D1E8C">
      <w:pPr>
        <w:pStyle w:val="Header"/>
        <w:rPr>
          <w:noProof w:val="0"/>
          <w:color w:val="000000"/>
          <w:sz w:val="28"/>
          <w:szCs w:val="28"/>
          <w:lang w:val="en-US"/>
        </w:rPr>
      </w:pPr>
    </w:p>
    <w:p w:rsidR="004D1E8C" w:rsidRPr="0041380B" w:rsidRDefault="004D1E8C" w:rsidP="004D1E8C">
      <w:pPr>
        <w:pBdr>
          <w:top w:val="single" w:sz="4" w:space="1" w:color="auto"/>
        </w:pBdr>
        <w:spacing w:before="120"/>
        <w:ind w:left="1800" w:hanging="1800"/>
        <w:rPr>
          <w:rFonts w:ascii="Arial" w:hAnsi="Arial" w:cs="Arial"/>
          <w:b/>
          <w:szCs w:val="24"/>
        </w:rPr>
      </w:pPr>
      <w:r w:rsidRPr="0041380B">
        <w:rPr>
          <w:rFonts w:ascii="Arial" w:hAnsi="Arial" w:cs="Arial"/>
          <w:b/>
          <w:szCs w:val="24"/>
        </w:rPr>
        <w:t>Agenda Item:</w:t>
      </w:r>
      <w:r w:rsidRPr="0041380B">
        <w:rPr>
          <w:rFonts w:ascii="Arial" w:hAnsi="Arial" w:cs="Arial"/>
          <w:b/>
          <w:szCs w:val="24"/>
        </w:rPr>
        <w:tab/>
      </w:r>
      <w:r w:rsidR="000906E3">
        <w:rPr>
          <w:rFonts w:ascii="Arial" w:hAnsi="Arial" w:cs="Arial"/>
          <w:b/>
          <w:szCs w:val="24"/>
        </w:rPr>
        <w:t>6.1</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067A66" w:rsidRPr="00067A66">
        <w:rPr>
          <w:bCs/>
          <w:sz w:val="24"/>
          <w:szCs w:val="24"/>
        </w:rPr>
        <w:t>MPR Reduction for CA with Non-Contiguous Resource Allocations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0906E3">
        <w:rPr>
          <w:rFonts w:ascii="Arial" w:hAnsi="Arial"/>
          <w:b/>
          <w:color w:val="000000"/>
        </w:rPr>
        <w:t>umen</w:t>
      </w:r>
      <w:r w:rsidR="00067A66">
        <w:rPr>
          <w:rFonts w:ascii="Arial" w:hAnsi="Arial"/>
          <w:b/>
          <w:color w:val="000000"/>
        </w:rPr>
        <w:t>t for:   Approval</w:t>
      </w:r>
    </w:p>
    <w:bookmarkEnd w:id="0"/>
    <w:p w:rsidR="00900DAE" w:rsidRDefault="00900DAE" w:rsidP="006B6438">
      <w:pPr>
        <w:pStyle w:val="Heading1"/>
        <w:spacing w:after="120"/>
        <w:jc w:val="both"/>
        <w:rPr>
          <w:b/>
          <w:color w:val="000000"/>
        </w:rPr>
      </w:pPr>
      <w:r w:rsidRPr="003D1980">
        <w:rPr>
          <w:b/>
          <w:color w:val="000000"/>
        </w:rPr>
        <w:t>Introduction</w:t>
      </w:r>
    </w:p>
    <w:p w:rsidR="008D5687" w:rsidRPr="00944EFF" w:rsidRDefault="00EB29B1" w:rsidP="0089699B">
      <w:pPr>
        <w:rPr>
          <w:sz w:val="20"/>
          <w:szCs w:val="22"/>
        </w:rPr>
      </w:pPr>
      <w:r w:rsidRPr="00944EFF">
        <w:rPr>
          <w:sz w:val="20"/>
          <w:szCs w:val="22"/>
        </w:rPr>
        <w:t>The topic</w:t>
      </w:r>
      <w:r w:rsidR="00D94AFF">
        <w:rPr>
          <w:sz w:val="20"/>
          <w:szCs w:val="22"/>
        </w:rPr>
        <w:t xml:space="preserve"> of MPR for</w:t>
      </w:r>
      <w:r w:rsidR="00F56EB0" w:rsidRPr="00944EFF">
        <w:rPr>
          <w:sz w:val="20"/>
          <w:szCs w:val="22"/>
        </w:rPr>
        <w:t xml:space="preserve"> transmission</w:t>
      </w:r>
      <w:r w:rsidR="00D94AFF">
        <w:rPr>
          <w:sz w:val="20"/>
          <w:szCs w:val="22"/>
        </w:rPr>
        <w:t xml:space="preserve"> with non-contiguous resource allocations (</w:t>
      </w:r>
      <w:r w:rsidR="00392ED1">
        <w:rPr>
          <w:sz w:val="20"/>
          <w:szCs w:val="22"/>
        </w:rPr>
        <w:t>also known as</w:t>
      </w:r>
      <w:r w:rsidR="00D94AFF">
        <w:rPr>
          <w:sz w:val="20"/>
          <w:szCs w:val="22"/>
        </w:rPr>
        <w:t xml:space="preserve"> </w:t>
      </w:r>
      <w:r w:rsidR="00D94AFF" w:rsidRPr="00392ED1">
        <w:rPr>
          <w:i/>
          <w:sz w:val="20"/>
          <w:szCs w:val="22"/>
        </w:rPr>
        <w:t>multi-cluster transmission</w:t>
      </w:r>
      <w:r w:rsidR="00D94AFF">
        <w:rPr>
          <w:sz w:val="20"/>
          <w:szCs w:val="22"/>
        </w:rPr>
        <w:t>)</w:t>
      </w:r>
      <w:r w:rsidR="00F56EB0" w:rsidRPr="00944EFF">
        <w:rPr>
          <w:sz w:val="20"/>
          <w:szCs w:val="22"/>
        </w:rPr>
        <w:t xml:space="preserve"> has been discussed extensively</w:t>
      </w:r>
      <w:r w:rsidRPr="00944EFF">
        <w:rPr>
          <w:sz w:val="20"/>
          <w:szCs w:val="22"/>
        </w:rPr>
        <w:t xml:space="preserve"> in RAN4 </w:t>
      </w:r>
      <w:r w:rsidR="00145094" w:rsidRPr="00944EFF">
        <w:rPr>
          <w:sz w:val="20"/>
          <w:szCs w:val="22"/>
        </w:rPr>
        <w:t>over the past year</w:t>
      </w:r>
      <w:r w:rsidRPr="00944EFF">
        <w:rPr>
          <w:sz w:val="20"/>
          <w:szCs w:val="22"/>
        </w:rPr>
        <w:t xml:space="preserve">.  </w:t>
      </w:r>
      <w:r w:rsidR="00E31FF8" w:rsidRPr="00944EFF">
        <w:rPr>
          <w:sz w:val="20"/>
          <w:szCs w:val="22"/>
        </w:rPr>
        <w:t xml:space="preserve">Currently, </w:t>
      </w:r>
      <w:r w:rsidR="002A40C6" w:rsidRPr="00944EFF">
        <w:rPr>
          <w:sz w:val="20"/>
          <w:szCs w:val="22"/>
        </w:rPr>
        <w:t xml:space="preserve">for </w:t>
      </w:r>
      <w:r w:rsidR="009A40F8" w:rsidRPr="00944EFF">
        <w:rPr>
          <w:sz w:val="20"/>
          <w:szCs w:val="22"/>
        </w:rPr>
        <w:t xml:space="preserve">intra-band contiguous </w:t>
      </w:r>
      <w:r w:rsidR="002A40C6" w:rsidRPr="00944EFF">
        <w:rPr>
          <w:sz w:val="20"/>
          <w:szCs w:val="22"/>
        </w:rPr>
        <w:t>carrier aggregation with two</w:t>
      </w:r>
      <w:r w:rsidR="00E31FF8" w:rsidRPr="00944EFF">
        <w:rPr>
          <w:sz w:val="20"/>
          <w:szCs w:val="22"/>
        </w:rPr>
        <w:t xml:space="preserve"> </w:t>
      </w:r>
      <w:r w:rsidR="002A40C6" w:rsidRPr="00944EFF">
        <w:rPr>
          <w:sz w:val="20"/>
          <w:szCs w:val="22"/>
        </w:rPr>
        <w:t>component carriers</w:t>
      </w:r>
      <w:r w:rsidR="00E31FF8" w:rsidRPr="00944EFF">
        <w:rPr>
          <w:sz w:val="20"/>
          <w:szCs w:val="22"/>
        </w:rPr>
        <w:t xml:space="preserve">, the MPR </w:t>
      </w:r>
      <w:r w:rsidR="009A40F8" w:rsidRPr="00944EFF">
        <w:rPr>
          <w:sz w:val="20"/>
          <w:szCs w:val="22"/>
        </w:rPr>
        <w:t xml:space="preserve">for multi-cluster transmissions </w:t>
      </w:r>
      <w:r w:rsidR="00E31FF8" w:rsidRPr="00944EFF">
        <w:rPr>
          <w:sz w:val="20"/>
          <w:szCs w:val="22"/>
        </w:rPr>
        <w:t xml:space="preserve">is specified as a function of the allocation ratio only.  </w:t>
      </w:r>
      <w:r w:rsidR="00CE1CC0" w:rsidRPr="00944EFF">
        <w:rPr>
          <w:sz w:val="20"/>
          <w:szCs w:val="22"/>
        </w:rPr>
        <w:t>An issue with the method</w:t>
      </w:r>
      <w:r w:rsidR="00E7474E" w:rsidRPr="00944EFF">
        <w:rPr>
          <w:sz w:val="20"/>
          <w:szCs w:val="22"/>
        </w:rPr>
        <w:t xml:space="preserve"> is that </w:t>
      </w:r>
      <w:r w:rsidR="00CE1CC0" w:rsidRPr="00944EFF">
        <w:rPr>
          <w:sz w:val="20"/>
          <w:szCs w:val="22"/>
        </w:rPr>
        <w:t xml:space="preserve">for many </w:t>
      </w:r>
      <w:r w:rsidR="001E3984" w:rsidRPr="00944EFF">
        <w:rPr>
          <w:sz w:val="20"/>
          <w:szCs w:val="22"/>
        </w:rPr>
        <w:t xml:space="preserve">smaller </w:t>
      </w:r>
      <w:r w:rsidR="00CE1CC0" w:rsidRPr="00944EFF">
        <w:rPr>
          <w:sz w:val="20"/>
          <w:szCs w:val="22"/>
        </w:rPr>
        <w:t>allocations, the allowed MPR is much greater than is actually required.</w:t>
      </w:r>
      <w:r w:rsidR="00E31FF8" w:rsidRPr="00944EFF">
        <w:rPr>
          <w:sz w:val="20"/>
          <w:szCs w:val="22"/>
        </w:rPr>
        <w:t xml:space="preserve"> </w:t>
      </w:r>
      <w:r w:rsidR="00E7474E" w:rsidRPr="00944EFF">
        <w:rPr>
          <w:sz w:val="20"/>
          <w:szCs w:val="22"/>
        </w:rPr>
        <w:t>For examp</w:t>
      </w:r>
      <w:r w:rsidR="00F95945" w:rsidRPr="00944EFF">
        <w:rPr>
          <w:sz w:val="20"/>
          <w:szCs w:val="22"/>
        </w:rPr>
        <w:t xml:space="preserve">le, for some small allocations, the allowed MPR is </w:t>
      </w:r>
      <w:r w:rsidR="002A40C6" w:rsidRPr="00944EFF">
        <w:rPr>
          <w:sz w:val="20"/>
          <w:szCs w:val="22"/>
        </w:rPr>
        <w:t>8.2</w:t>
      </w:r>
      <w:r w:rsidR="00F95945" w:rsidRPr="00944EFF">
        <w:rPr>
          <w:sz w:val="20"/>
          <w:szCs w:val="22"/>
        </w:rPr>
        <w:t xml:space="preserve"> dB while the MPR needed for these allocations can be as small as 0</w:t>
      </w:r>
      <w:r w:rsidR="00753BEB" w:rsidRPr="00944EFF">
        <w:rPr>
          <w:sz w:val="20"/>
          <w:szCs w:val="22"/>
        </w:rPr>
        <w:t xml:space="preserve"> dB</w:t>
      </w:r>
      <w:r w:rsidR="00F95945" w:rsidRPr="00944EFF">
        <w:rPr>
          <w:sz w:val="20"/>
          <w:szCs w:val="22"/>
        </w:rPr>
        <w:t>.</w:t>
      </w:r>
    </w:p>
    <w:p w:rsidR="00F95945" w:rsidRPr="00944EFF" w:rsidRDefault="00F95945" w:rsidP="00F56EB0">
      <w:pPr>
        <w:rPr>
          <w:sz w:val="20"/>
          <w:szCs w:val="22"/>
        </w:rPr>
      </w:pPr>
      <w:r w:rsidRPr="00944EFF">
        <w:rPr>
          <w:sz w:val="20"/>
          <w:szCs w:val="22"/>
        </w:rPr>
        <w:t xml:space="preserve"> </w:t>
      </w:r>
    </w:p>
    <w:p w:rsidR="00E20E1F" w:rsidRDefault="000E3117" w:rsidP="00246FF8">
      <w:pPr>
        <w:rPr>
          <w:sz w:val="20"/>
          <w:szCs w:val="22"/>
        </w:rPr>
      </w:pPr>
      <w:r>
        <w:rPr>
          <w:sz w:val="20"/>
          <w:szCs w:val="22"/>
        </w:rPr>
        <w:t>In [1], simulation</w:t>
      </w:r>
      <w:r w:rsidR="0089699B" w:rsidRPr="00944EFF">
        <w:rPr>
          <w:sz w:val="20"/>
          <w:szCs w:val="22"/>
        </w:rPr>
        <w:t xml:space="preserve"> results </w:t>
      </w:r>
      <w:r w:rsidR="005E4D23" w:rsidRPr="00944EFF">
        <w:rPr>
          <w:sz w:val="20"/>
          <w:szCs w:val="22"/>
        </w:rPr>
        <w:t xml:space="preserve">were </w:t>
      </w:r>
      <w:r w:rsidR="0089699B" w:rsidRPr="00944EFF">
        <w:rPr>
          <w:sz w:val="20"/>
          <w:szCs w:val="22"/>
        </w:rPr>
        <w:t>presen</w:t>
      </w:r>
      <w:r w:rsidR="0064120D" w:rsidRPr="00944EFF">
        <w:rPr>
          <w:sz w:val="20"/>
          <w:szCs w:val="22"/>
        </w:rPr>
        <w:t xml:space="preserve">ted </w:t>
      </w:r>
      <w:r w:rsidR="00216ED9">
        <w:rPr>
          <w:sz w:val="20"/>
          <w:szCs w:val="22"/>
        </w:rPr>
        <w:t xml:space="preserve">for two PA models </w:t>
      </w:r>
      <w:r w:rsidR="005E4D23" w:rsidRPr="00944EFF">
        <w:rPr>
          <w:sz w:val="20"/>
          <w:szCs w:val="22"/>
        </w:rPr>
        <w:t>indicating</w:t>
      </w:r>
      <w:r w:rsidR="0064120D" w:rsidRPr="00944EFF">
        <w:rPr>
          <w:sz w:val="20"/>
          <w:szCs w:val="22"/>
        </w:rPr>
        <w:t xml:space="preserve"> that for </w:t>
      </w:r>
      <w:r w:rsidR="008F5B8F">
        <w:rPr>
          <w:sz w:val="20"/>
          <w:szCs w:val="22"/>
        </w:rPr>
        <w:t>non-contiguous  resource</w:t>
      </w:r>
      <w:r w:rsidR="0064120D" w:rsidRPr="00944EFF">
        <w:rPr>
          <w:sz w:val="20"/>
          <w:szCs w:val="22"/>
        </w:rPr>
        <w:t xml:space="preserve"> allocations for which the fifth order intermodulation products do not reach the spurious domain, the MPR needed to meet all emissio</w:t>
      </w:r>
      <w:r w:rsidR="005A296C" w:rsidRPr="00944EFF">
        <w:rPr>
          <w:sz w:val="20"/>
          <w:szCs w:val="22"/>
        </w:rPr>
        <w:t xml:space="preserve">ns requirements is less than </w:t>
      </w:r>
      <w:r w:rsidR="00623D53" w:rsidRPr="00944EFF">
        <w:rPr>
          <w:sz w:val="20"/>
          <w:szCs w:val="22"/>
        </w:rPr>
        <w:t xml:space="preserve">or equal to </w:t>
      </w:r>
      <w:r w:rsidR="005A296C" w:rsidRPr="00944EFF">
        <w:rPr>
          <w:sz w:val="20"/>
          <w:szCs w:val="22"/>
        </w:rPr>
        <w:t>4</w:t>
      </w:r>
      <w:r w:rsidR="00D94AFF">
        <w:rPr>
          <w:sz w:val="20"/>
          <w:szCs w:val="22"/>
        </w:rPr>
        <w:t>.5</w:t>
      </w:r>
      <w:r w:rsidR="0064120D" w:rsidRPr="00944EFF">
        <w:rPr>
          <w:sz w:val="20"/>
          <w:szCs w:val="22"/>
        </w:rPr>
        <w:t xml:space="preserve"> dB.</w:t>
      </w:r>
      <w:r w:rsidR="00D94AFF">
        <w:rPr>
          <w:sz w:val="20"/>
          <w:szCs w:val="22"/>
        </w:rPr>
        <w:t xml:space="preserve">  </w:t>
      </w:r>
      <w:r w:rsidR="00082D8D">
        <w:rPr>
          <w:sz w:val="20"/>
          <w:szCs w:val="22"/>
        </w:rPr>
        <w:t>In [</w:t>
      </w:r>
      <w:r w:rsidR="00E17A9C">
        <w:rPr>
          <w:sz w:val="20"/>
          <w:szCs w:val="22"/>
        </w:rPr>
        <w:t>2</w:t>
      </w:r>
      <w:r w:rsidR="00082D8D">
        <w:rPr>
          <w:sz w:val="20"/>
          <w:szCs w:val="22"/>
        </w:rPr>
        <w:t>], simulation results</w:t>
      </w:r>
      <w:r w:rsidR="00216ED9">
        <w:rPr>
          <w:sz w:val="20"/>
          <w:szCs w:val="22"/>
        </w:rPr>
        <w:t xml:space="preserve"> were presented </w:t>
      </w:r>
      <w:r w:rsidR="006809E4">
        <w:rPr>
          <w:sz w:val="20"/>
          <w:szCs w:val="22"/>
        </w:rPr>
        <w:t>for three PA models.  In these simulation</w:t>
      </w:r>
      <w:r w:rsidR="00D94AFF">
        <w:rPr>
          <w:sz w:val="20"/>
          <w:szCs w:val="22"/>
        </w:rPr>
        <w:t xml:space="preserve"> results</w:t>
      </w:r>
      <w:r w:rsidR="006809E4">
        <w:rPr>
          <w:sz w:val="20"/>
          <w:szCs w:val="22"/>
        </w:rPr>
        <w:t xml:space="preserve">, </w:t>
      </w:r>
      <w:r w:rsidR="00246FF8">
        <w:rPr>
          <w:sz w:val="20"/>
          <w:szCs w:val="22"/>
        </w:rPr>
        <w:t>it was observed that the MPR needed to meet the SEM requirement</w:t>
      </w:r>
      <w:r w:rsidR="00C83D89">
        <w:rPr>
          <w:sz w:val="20"/>
          <w:szCs w:val="22"/>
        </w:rPr>
        <w:t>s</w:t>
      </w:r>
      <w:r w:rsidR="00246FF8">
        <w:rPr>
          <w:sz w:val="20"/>
          <w:szCs w:val="22"/>
        </w:rPr>
        <w:t xml:space="preserve"> could be as large as 5.5 dB.  </w:t>
      </w:r>
      <w:r w:rsidR="00E20E1F">
        <w:rPr>
          <w:sz w:val="20"/>
          <w:szCs w:val="22"/>
        </w:rPr>
        <w:t>However, th</w:t>
      </w:r>
      <w:r w:rsidR="008F5B8F">
        <w:rPr>
          <w:sz w:val="20"/>
          <w:szCs w:val="22"/>
        </w:rPr>
        <w:t>e non-contiguous resource</w:t>
      </w:r>
      <w:r w:rsidR="00246FF8">
        <w:rPr>
          <w:sz w:val="20"/>
          <w:szCs w:val="22"/>
        </w:rPr>
        <w:t xml:space="preserve"> allocations requiring the largest </w:t>
      </w:r>
      <w:r w:rsidR="00E20E1F">
        <w:rPr>
          <w:sz w:val="20"/>
          <w:szCs w:val="22"/>
        </w:rPr>
        <w:t xml:space="preserve">MPR </w:t>
      </w:r>
      <w:r w:rsidR="00246FF8">
        <w:rPr>
          <w:sz w:val="20"/>
          <w:szCs w:val="22"/>
        </w:rPr>
        <w:t>values were allocations for</w:t>
      </w:r>
      <w:r w:rsidR="00E20E1F">
        <w:rPr>
          <w:sz w:val="20"/>
          <w:szCs w:val="22"/>
        </w:rPr>
        <w:t xml:space="preserve"> which the fifth order IM fell in the out</w:t>
      </w:r>
      <w:r w:rsidR="00E61331">
        <w:rPr>
          <w:sz w:val="20"/>
          <w:szCs w:val="22"/>
        </w:rPr>
        <w:t>er</w:t>
      </w:r>
      <w:r w:rsidR="00E20E1F">
        <w:rPr>
          <w:sz w:val="20"/>
          <w:szCs w:val="22"/>
        </w:rPr>
        <w:t>most 5 MHz of the SEM</w:t>
      </w:r>
      <w:r w:rsidR="00246FF8">
        <w:rPr>
          <w:sz w:val="20"/>
          <w:szCs w:val="22"/>
        </w:rPr>
        <w:t xml:space="preserve"> where the emissions limit is</w:t>
      </w:r>
      <w:r w:rsidR="008057CB">
        <w:rPr>
          <w:sz w:val="20"/>
          <w:szCs w:val="22"/>
        </w:rPr>
        <w:t xml:space="preserve"> </w:t>
      </w:r>
      <w:r w:rsidR="00E20E1F">
        <w:rPr>
          <w:sz w:val="20"/>
          <w:szCs w:val="22"/>
        </w:rPr>
        <w:t xml:space="preserve">-25 dBm/MHz.  </w:t>
      </w:r>
      <w:r w:rsidR="00246FF8">
        <w:rPr>
          <w:sz w:val="20"/>
          <w:szCs w:val="22"/>
        </w:rPr>
        <w:t>It could also be observed in [</w:t>
      </w:r>
      <w:r w:rsidR="00E17A9C">
        <w:rPr>
          <w:sz w:val="20"/>
          <w:szCs w:val="22"/>
        </w:rPr>
        <w:t>2</w:t>
      </w:r>
      <w:r w:rsidR="00246FF8">
        <w:rPr>
          <w:sz w:val="20"/>
          <w:szCs w:val="22"/>
        </w:rPr>
        <w:t xml:space="preserve">] that the MPR needed to meet all </w:t>
      </w:r>
      <w:r w:rsidR="00C83D89">
        <w:rPr>
          <w:sz w:val="20"/>
          <w:szCs w:val="22"/>
        </w:rPr>
        <w:t xml:space="preserve">of the </w:t>
      </w:r>
      <w:r w:rsidR="00246FF8">
        <w:rPr>
          <w:sz w:val="20"/>
          <w:szCs w:val="22"/>
        </w:rPr>
        <w:t>ACLR requirements (</w:t>
      </w:r>
      <w:r w:rsidR="00246FF8" w:rsidRPr="00944EFF">
        <w:rPr>
          <w:sz w:val="20"/>
        </w:rPr>
        <w:t>UTRA</w:t>
      </w:r>
      <w:r w:rsidR="00246FF8" w:rsidRPr="00944EFF">
        <w:rPr>
          <w:sz w:val="20"/>
          <w:vertAlign w:val="subscript"/>
        </w:rPr>
        <w:t>ACLR1</w:t>
      </w:r>
      <w:r w:rsidR="00246FF8">
        <w:rPr>
          <w:sz w:val="20"/>
          <w:szCs w:val="22"/>
        </w:rPr>
        <w:t xml:space="preserve">, </w:t>
      </w:r>
      <w:r w:rsidR="00246FF8" w:rsidRPr="00944EFF">
        <w:rPr>
          <w:sz w:val="20"/>
        </w:rPr>
        <w:t>UTRA</w:t>
      </w:r>
      <w:r w:rsidR="00246FF8" w:rsidRPr="00944EFF">
        <w:rPr>
          <w:sz w:val="20"/>
          <w:vertAlign w:val="subscript"/>
        </w:rPr>
        <w:t>ACLR</w:t>
      </w:r>
      <w:r w:rsidR="00246FF8">
        <w:rPr>
          <w:sz w:val="20"/>
          <w:vertAlign w:val="subscript"/>
        </w:rPr>
        <w:t>2</w:t>
      </w:r>
      <w:r w:rsidR="00246FF8">
        <w:rPr>
          <w:sz w:val="20"/>
          <w:szCs w:val="22"/>
        </w:rPr>
        <w:t>, and E-</w:t>
      </w:r>
      <w:r w:rsidR="00246FF8" w:rsidRPr="00944EFF">
        <w:rPr>
          <w:sz w:val="20"/>
        </w:rPr>
        <w:t>UTRA</w:t>
      </w:r>
      <w:r w:rsidR="00246FF8" w:rsidRPr="00944EFF">
        <w:rPr>
          <w:sz w:val="20"/>
          <w:vertAlign w:val="subscript"/>
        </w:rPr>
        <w:t>ACLR</w:t>
      </w:r>
      <w:r w:rsidR="00246FF8">
        <w:rPr>
          <w:sz w:val="20"/>
          <w:szCs w:val="22"/>
        </w:rPr>
        <w:t>) did</w:t>
      </w:r>
      <w:r w:rsidR="0032107F">
        <w:rPr>
          <w:sz w:val="20"/>
          <w:szCs w:val="22"/>
        </w:rPr>
        <w:t xml:space="preserve"> not exceed 4.5 dB.</w:t>
      </w:r>
    </w:p>
    <w:p w:rsidR="008057CB" w:rsidRDefault="008057CB" w:rsidP="00F56EB0">
      <w:pPr>
        <w:rPr>
          <w:sz w:val="20"/>
          <w:szCs w:val="22"/>
        </w:rPr>
      </w:pPr>
    </w:p>
    <w:p w:rsidR="0032107F" w:rsidRDefault="0032107F" w:rsidP="00F56EB0">
      <w:pPr>
        <w:rPr>
          <w:sz w:val="20"/>
          <w:szCs w:val="22"/>
        </w:rPr>
      </w:pPr>
      <w:r>
        <w:rPr>
          <w:sz w:val="20"/>
          <w:szCs w:val="22"/>
        </w:rPr>
        <w:t>Based on the simulation results in this contribution and in [</w:t>
      </w:r>
      <w:r w:rsidR="00E17A9C">
        <w:rPr>
          <w:sz w:val="20"/>
          <w:szCs w:val="22"/>
        </w:rPr>
        <w:t>2</w:t>
      </w:r>
      <w:r>
        <w:rPr>
          <w:sz w:val="20"/>
          <w:szCs w:val="22"/>
        </w:rPr>
        <w:t xml:space="preserve">], </w:t>
      </w:r>
      <w:r w:rsidR="00C83D89">
        <w:rPr>
          <w:sz w:val="20"/>
          <w:szCs w:val="22"/>
        </w:rPr>
        <w:t xml:space="preserve">three </w:t>
      </w:r>
      <w:r>
        <w:rPr>
          <w:sz w:val="20"/>
          <w:szCs w:val="22"/>
        </w:rPr>
        <w:t xml:space="preserve">proposals are </w:t>
      </w:r>
      <w:r w:rsidR="00C83D89">
        <w:rPr>
          <w:sz w:val="20"/>
          <w:szCs w:val="22"/>
        </w:rPr>
        <w:t xml:space="preserve">presented </w:t>
      </w:r>
      <w:r>
        <w:rPr>
          <w:sz w:val="20"/>
          <w:szCs w:val="22"/>
        </w:rPr>
        <w:t xml:space="preserve">which would reduce the MPR </w:t>
      </w:r>
      <w:r w:rsidR="00C83D89">
        <w:rPr>
          <w:sz w:val="20"/>
          <w:szCs w:val="22"/>
        </w:rPr>
        <w:t xml:space="preserve">allowed for </w:t>
      </w:r>
      <w:r>
        <w:rPr>
          <w:sz w:val="20"/>
          <w:szCs w:val="22"/>
        </w:rPr>
        <w:t xml:space="preserve">some </w:t>
      </w:r>
      <w:r w:rsidR="008F5B8F">
        <w:rPr>
          <w:sz w:val="20"/>
          <w:szCs w:val="22"/>
        </w:rPr>
        <w:t>non-contiguous resource</w:t>
      </w:r>
      <w:r>
        <w:rPr>
          <w:sz w:val="20"/>
          <w:szCs w:val="22"/>
        </w:rPr>
        <w:t xml:space="preserve"> allocations.  </w:t>
      </w:r>
      <w:r w:rsidR="00C83D89">
        <w:rPr>
          <w:sz w:val="20"/>
          <w:szCs w:val="22"/>
        </w:rPr>
        <w:t>Of these proposals</w:t>
      </w:r>
      <w:r>
        <w:rPr>
          <w:sz w:val="20"/>
          <w:szCs w:val="22"/>
        </w:rPr>
        <w:t xml:space="preserve">, </w:t>
      </w:r>
      <w:r w:rsidR="00246FF8">
        <w:rPr>
          <w:sz w:val="20"/>
          <w:szCs w:val="22"/>
        </w:rPr>
        <w:t xml:space="preserve">it is </w:t>
      </w:r>
      <w:r w:rsidR="00C83D89">
        <w:rPr>
          <w:sz w:val="20"/>
          <w:szCs w:val="22"/>
        </w:rPr>
        <w:t xml:space="preserve">recommended that Proposal 2 be adopted </w:t>
      </w:r>
      <w:r w:rsidR="00D05C53">
        <w:rPr>
          <w:sz w:val="20"/>
          <w:szCs w:val="22"/>
        </w:rPr>
        <w:t xml:space="preserve">so that the </w:t>
      </w:r>
      <w:r>
        <w:rPr>
          <w:sz w:val="20"/>
          <w:szCs w:val="22"/>
        </w:rPr>
        <w:t xml:space="preserve">MPR </w:t>
      </w:r>
      <w:r w:rsidR="00C83D89">
        <w:rPr>
          <w:sz w:val="20"/>
          <w:szCs w:val="22"/>
        </w:rPr>
        <w:t xml:space="preserve">is </w:t>
      </w:r>
      <w:r>
        <w:rPr>
          <w:sz w:val="20"/>
          <w:szCs w:val="22"/>
        </w:rPr>
        <w:t xml:space="preserve">limited to </w:t>
      </w:r>
      <w:r w:rsidR="00E61331">
        <w:rPr>
          <w:sz w:val="20"/>
          <w:szCs w:val="22"/>
        </w:rPr>
        <w:t>4</w:t>
      </w:r>
      <w:r>
        <w:rPr>
          <w:sz w:val="20"/>
          <w:szCs w:val="22"/>
        </w:rPr>
        <w:t xml:space="preserve">.5 dB for </w:t>
      </w:r>
      <w:r w:rsidR="008F5B8F">
        <w:rPr>
          <w:sz w:val="20"/>
          <w:szCs w:val="22"/>
        </w:rPr>
        <w:t>non-contiguous resource</w:t>
      </w:r>
      <w:r>
        <w:rPr>
          <w:sz w:val="20"/>
          <w:szCs w:val="22"/>
        </w:rPr>
        <w:t xml:space="preserve"> allocations</w:t>
      </w:r>
      <w:r w:rsidR="00163395">
        <w:rPr>
          <w:sz w:val="20"/>
          <w:szCs w:val="22"/>
        </w:rPr>
        <w:t xml:space="preserve"> </w:t>
      </w:r>
      <w:r w:rsidR="00E61331">
        <w:rPr>
          <w:sz w:val="20"/>
          <w:szCs w:val="22"/>
        </w:rPr>
        <w:t xml:space="preserve">for which the </w:t>
      </w:r>
      <w:r w:rsidR="00163395">
        <w:rPr>
          <w:sz w:val="20"/>
          <w:szCs w:val="22"/>
        </w:rPr>
        <w:t xml:space="preserve">fifth order IM’s </w:t>
      </w:r>
      <w:r w:rsidR="00E61331">
        <w:rPr>
          <w:sz w:val="20"/>
          <w:szCs w:val="22"/>
        </w:rPr>
        <w:t>do not extend to</w:t>
      </w:r>
      <w:r w:rsidR="00163395">
        <w:rPr>
          <w:sz w:val="20"/>
          <w:szCs w:val="22"/>
        </w:rPr>
        <w:t xml:space="preserve"> the outer</w:t>
      </w:r>
      <w:r w:rsidR="00E61331">
        <w:rPr>
          <w:sz w:val="20"/>
          <w:szCs w:val="22"/>
        </w:rPr>
        <w:t>most</w:t>
      </w:r>
      <w:r w:rsidR="00163395">
        <w:rPr>
          <w:sz w:val="20"/>
          <w:szCs w:val="22"/>
        </w:rPr>
        <w:t xml:space="preserve"> 5 MHz of the SEM</w:t>
      </w:r>
      <w:r w:rsidR="00E11A1B">
        <w:rPr>
          <w:sz w:val="20"/>
          <w:szCs w:val="22"/>
        </w:rPr>
        <w:t>.</w:t>
      </w:r>
    </w:p>
    <w:p w:rsidR="00E11A1B" w:rsidRPr="00E11A1B" w:rsidRDefault="00514902" w:rsidP="00474A08">
      <w:pPr>
        <w:pStyle w:val="Heading1"/>
        <w:spacing w:after="120"/>
        <w:jc w:val="both"/>
        <w:rPr>
          <w:b/>
          <w:color w:val="000000"/>
        </w:rPr>
      </w:pPr>
      <w:r>
        <w:rPr>
          <w:b/>
          <w:color w:val="000000"/>
        </w:rPr>
        <w:t>Simulation Results</w:t>
      </w:r>
    </w:p>
    <w:p w:rsidR="00D94AFF" w:rsidRDefault="00D94AFF" w:rsidP="00474A08">
      <w:pPr>
        <w:rPr>
          <w:sz w:val="20"/>
        </w:rPr>
      </w:pPr>
      <w:r>
        <w:rPr>
          <w:sz w:val="20"/>
        </w:rPr>
        <w:t>Simulations</w:t>
      </w:r>
      <w:r w:rsidR="00CF0A69" w:rsidRPr="00944EFF">
        <w:rPr>
          <w:sz w:val="20"/>
        </w:rPr>
        <w:t xml:space="preserve"> </w:t>
      </w:r>
      <w:r w:rsidR="00474A08" w:rsidRPr="00944EFF">
        <w:rPr>
          <w:sz w:val="20"/>
        </w:rPr>
        <w:t xml:space="preserve">were performed to determine the MPR required for multi-cluster transmissions with </w:t>
      </w:r>
      <w:r w:rsidR="002D4FDD" w:rsidRPr="00944EFF">
        <w:rPr>
          <w:sz w:val="20"/>
        </w:rPr>
        <w:t xml:space="preserve">contiguous aggregation of two </w:t>
      </w:r>
      <w:r w:rsidR="00474A08" w:rsidRPr="00944EFF">
        <w:rPr>
          <w:sz w:val="20"/>
        </w:rPr>
        <w:t>20 MHz component carrier</w:t>
      </w:r>
      <w:r w:rsidR="00425823" w:rsidRPr="00944EFF">
        <w:rPr>
          <w:sz w:val="20"/>
        </w:rPr>
        <w:t>s</w:t>
      </w:r>
      <w:r w:rsidR="00474A08" w:rsidRPr="00944EFF">
        <w:rPr>
          <w:sz w:val="20"/>
        </w:rPr>
        <w:t xml:space="preserve">.  </w:t>
      </w:r>
      <w:r w:rsidR="002D4FDD" w:rsidRPr="00944EFF">
        <w:rPr>
          <w:sz w:val="20"/>
        </w:rPr>
        <w:t xml:space="preserve">The </w:t>
      </w:r>
      <w:r w:rsidR="00425823" w:rsidRPr="00944EFF">
        <w:rPr>
          <w:sz w:val="20"/>
        </w:rPr>
        <w:t>center frequency spacing</w:t>
      </w:r>
      <w:r w:rsidR="002D4FDD" w:rsidRPr="00944EFF">
        <w:rPr>
          <w:sz w:val="20"/>
        </w:rPr>
        <w:t xml:space="preserve"> of the two 20 MHz </w:t>
      </w:r>
      <w:r w:rsidR="00425823" w:rsidRPr="00944EFF">
        <w:rPr>
          <w:sz w:val="20"/>
        </w:rPr>
        <w:t xml:space="preserve">component </w:t>
      </w:r>
      <w:r w:rsidR="002D4FDD" w:rsidRPr="00944EFF">
        <w:rPr>
          <w:sz w:val="20"/>
        </w:rPr>
        <w:t xml:space="preserve">carriers was 19.8 MHz so that the </w:t>
      </w:r>
      <w:r w:rsidR="00255C27" w:rsidRPr="00944EFF">
        <w:rPr>
          <w:sz w:val="20"/>
        </w:rPr>
        <w:t>aggregated channel bandwidth BW</w:t>
      </w:r>
      <w:r w:rsidR="00255C27" w:rsidRPr="00944EFF">
        <w:rPr>
          <w:sz w:val="20"/>
          <w:vertAlign w:val="subscript"/>
        </w:rPr>
        <w:t>Channel_CA</w:t>
      </w:r>
      <w:r w:rsidR="00255C27" w:rsidRPr="00944EFF">
        <w:rPr>
          <w:sz w:val="20"/>
        </w:rPr>
        <w:t xml:space="preserve"> is 39.8 MHz. </w:t>
      </w:r>
      <w:r w:rsidR="00474A08" w:rsidRPr="00944EFF">
        <w:rPr>
          <w:sz w:val="20"/>
        </w:rPr>
        <w:t xml:space="preserve">The modulation used </w:t>
      </w:r>
      <w:r w:rsidR="00CA4357">
        <w:rPr>
          <w:sz w:val="20"/>
        </w:rPr>
        <w:t xml:space="preserve">in the simulations was 16QAM.  </w:t>
      </w:r>
      <w:r w:rsidR="00474A08" w:rsidRPr="00944EFF">
        <w:rPr>
          <w:sz w:val="20"/>
        </w:rPr>
        <w:t xml:space="preserve">It should be noted that only allowed allocations were used for each of the two clusters of each multi-cluster simulation.   A total of </w:t>
      </w:r>
      <w:r>
        <w:rPr>
          <w:sz w:val="20"/>
        </w:rPr>
        <w:t>3</w:t>
      </w:r>
      <w:r w:rsidR="00474A08" w:rsidRPr="00944EFF">
        <w:rPr>
          <w:sz w:val="20"/>
        </w:rPr>
        <w:t xml:space="preserve">0,000 two cluster </w:t>
      </w:r>
      <w:r w:rsidR="00F95945" w:rsidRPr="00944EFF">
        <w:rPr>
          <w:sz w:val="20"/>
        </w:rPr>
        <w:t xml:space="preserve">PUSCH </w:t>
      </w:r>
      <w:r w:rsidR="00474A08" w:rsidRPr="00944EFF">
        <w:rPr>
          <w:sz w:val="20"/>
        </w:rPr>
        <w:t>transmissions were simulated</w:t>
      </w:r>
      <w:r w:rsidR="008D5687" w:rsidRPr="00944EFF">
        <w:rPr>
          <w:sz w:val="20"/>
        </w:rPr>
        <w:t xml:space="preserve"> </w:t>
      </w:r>
      <w:r w:rsidR="00623D53" w:rsidRPr="00944EFF">
        <w:rPr>
          <w:sz w:val="20"/>
        </w:rPr>
        <w:t>for each of</w:t>
      </w:r>
      <w:r w:rsidR="008D5687" w:rsidRPr="00944EFF">
        <w:rPr>
          <w:sz w:val="20"/>
        </w:rPr>
        <w:t xml:space="preserve"> two different PA models</w:t>
      </w:r>
      <w:r w:rsidR="00474A08" w:rsidRPr="00944EFF">
        <w:rPr>
          <w:sz w:val="20"/>
        </w:rPr>
        <w:t>.</w:t>
      </w:r>
      <w:r>
        <w:rPr>
          <w:sz w:val="20"/>
        </w:rPr>
        <w:t xml:space="preserve">  For 20,000 of these two-cluster simulations, one cluster was on each component carrier.  For the other 10,000 simulations</w:t>
      </w:r>
      <w:r w:rsidR="008F5B8F">
        <w:rPr>
          <w:sz w:val="20"/>
        </w:rPr>
        <w:t>,</w:t>
      </w:r>
      <w:r>
        <w:rPr>
          <w:sz w:val="20"/>
        </w:rPr>
        <w:t xml:space="preserve"> the two clusters were on the same component carrier.</w:t>
      </w:r>
    </w:p>
    <w:p w:rsidR="00474A08" w:rsidRPr="00944EFF" w:rsidRDefault="00474A08" w:rsidP="00474A08">
      <w:pPr>
        <w:rPr>
          <w:sz w:val="20"/>
        </w:rPr>
      </w:pPr>
    </w:p>
    <w:p w:rsidR="00474A08" w:rsidRPr="00944EFF" w:rsidRDefault="00474A08" w:rsidP="00474A08">
      <w:pPr>
        <w:rPr>
          <w:sz w:val="20"/>
        </w:rPr>
      </w:pPr>
      <w:r w:rsidRPr="00944EFF">
        <w:rPr>
          <w:sz w:val="20"/>
        </w:rPr>
        <w:t xml:space="preserve">The following emissions requirements </w:t>
      </w:r>
      <w:r w:rsidR="008D5687" w:rsidRPr="00944EFF">
        <w:rPr>
          <w:sz w:val="20"/>
        </w:rPr>
        <w:t>were</w:t>
      </w:r>
      <w:r w:rsidRPr="00944EFF">
        <w:rPr>
          <w:sz w:val="20"/>
        </w:rPr>
        <w:t xml:space="preserve"> applied:</w:t>
      </w:r>
    </w:p>
    <w:p w:rsidR="00474A08" w:rsidRPr="00F9345A" w:rsidRDefault="00474A08" w:rsidP="00474A08">
      <w:pPr>
        <w:rPr>
          <w:sz w:val="22"/>
        </w:rPr>
      </w:pPr>
    </w:p>
    <w:p w:rsidR="00474A08" w:rsidRPr="00944EFF" w:rsidRDefault="00474A08" w:rsidP="00474A08">
      <w:pPr>
        <w:numPr>
          <w:ilvl w:val="0"/>
          <w:numId w:val="26"/>
        </w:numPr>
        <w:rPr>
          <w:sz w:val="20"/>
        </w:rPr>
      </w:pPr>
      <w:r w:rsidRPr="00944EFF">
        <w:rPr>
          <w:sz w:val="20"/>
        </w:rPr>
        <w:t>UTRA</w:t>
      </w:r>
      <w:r w:rsidRPr="00944EFF">
        <w:rPr>
          <w:sz w:val="20"/>
          <w:vertAlign w:val="subscript"/>
        </w:rPr>
        <w:t>ACLR1</w:t>
      </w:r>
      <w:r w:rsidRPr="00944EFF">
        <w:rPr>
          <w:sz w:val="20"/>
        </w:rPr>
        <w:t xml:space="preserve"> = 33 dB</w:t>
      </w:r>
    </w:p>
    <w:p w:rsidR="00474A08" w:rsidRPr="00944EFF" w:rsidRDefault="00474A08" w:rsidP="00474A08">
      <w:pPr>
        <w:numPr>
          <w:ilvl w:val="0"/>
          <w:numId w:val="26"/>
        </w:numPr>
        <w:rPr>
          <w:sz w:val="20"/>
        </w:rPr>
      </w:pPr>
      <w:r w:rsidRPr="00944EFF">
        <w:rPr>
          <w:sz w:val="20"/>
        </w:rPr>
        <w:t>UTRA</w:t>
      </w:r>
      <w:r w:rsidRPr="00944EFF">
        <w:rPr>
          <w:sz w:val="20"/>
          <w:vertAlign w:val="subscript"/>
        </w:rPr>
        <w:t>ACLR2</w:t>
      </w:r>
      <w:r w:rsidRPr="00944EFF">
        <w:rPr>
          <w:sz w:val="20"/>
        </w:rPr>
        <w:t xml:space="preserve"> = 36 dB</w:t>
      </w:r>
    </w:p>
    <w:p w:rsidR="00474A08" w:rsidRPr="00944EFF" w:rsidRDefault="00474A08" w:rsidP="00474A08">
      <w:pPr>
        <w:numPr>
          <w:ilvl w:val="0"/>
          <w:numId w:val="26"/>
        </w:numPr>
        <w:rPr>
          <w:sz w:val="20"/>
        </w:rPr>
      </w:pPr>
      <w:r w:rsidRPr="00944EFF">
        <w:rPr>
          <w:sz w:val="20"/>
        </w:rPr>
        <w:t>E-UTRA</w:t>
      </w:r>
      <w:r w:rsidRPr="00944EFF">
        <w:rPr>
          <w:sz w:val="20"/>
          <w:vertAlign w:val="subscript"/>
        </w:rPr>
        <w:t>ACLR</w:t>
      </w:r>
      <w:r w:rsidRPr="00944EFF">
        <w:rPr>
          <w:sz w:val="20"/>
        </w:rPr>
        <w:t xml:space="preserve"> = 30 dB</w:t>
      </w:r>
    </w:p>
    <w:p w:rsidR="00474A08" w:rsidRPr="00F9345A" w:rsidRDefault="00474A08" w:rsidP="00474A08">
      <w:pPr>
        <w:rPr>
          <w:sz w:val="22"/>
        </w:rPr>
      </w:pPr>
    </w:p>
    <w:p w:rsidR="00D94AFF" w:rsidRDefault="00474A08" w:rsidP="00474A08">
      <w:pPr>
        <w:rPr>
          <w:sz w:val="20"/>
        </w:rPr>
      </w:pPr>
      <w:r w:rsidRPr="00944EFF">
        <w:rPr>
          <w:sz w:val="20"/>
        </w:rPr>
        <w:t>The spurious requirement is a function of frequency.  Below 1 GHz, the spurious limit is -36 dBm/100kHz, while the spurious limit above 1 GHz is -30dBm/1MHz.  The spurious limit above 1 GHz is thus 4 dB tighter than the limit below 1 GHz with respect to the average power allowed within the measurement bandwidth, though more frequency domain averaging is allowed.</w:t>
      </w:r>
      <w:r w:rsidR="003A4B90" w:rsidRPr="00944EFF">
        <w:rPr>
          <w:sz w:val="20"/>
        </w:rPr>
        <w:t xml:space="preserve">  In the simulations, no examples were observed in which use of the -36 dBm/100kHz spurious requirement for below 1 GHz resulted in larger MPR than did the use of the -30dBm/1MHz spurious requirement for above 1 GHz.  </w:t>
      </w:r>
      <w:r w:rsidR="00D94AFF">
        <w:rPr>
          <w:sz w:val="20"/>
        </w:rPr>
        <w:t xml:space="preserve">However, since the MPR that is allowed </w:t>
      </w:r>
      <w:r w:rsidR="008F5B8F">
        <w:rPr>
          <w:sz w:val="20"/>
        </w:rPr>
        <w:t>applies</w:t>
      </w:r>
      <w:r w:rsidR="00D94AFF">
        <w:rPr>
          <w:sz w:val="20"/>
        </w:rPr>
        <w:t xml:space="preserve"> both above and below 1 GHz, both spurious requirements </w:t>
      </w:r>
      <w:r w:rsidR="00E17A9C">
        <w:rPr>
          <w:sz w:val="20"/>
        </w:rPr>
        <w:t xml:space="preserve">must be met and thus both requirements </w:t>
      </w:r>
      <w:r w:rsidR="00D94AFF">
        <w:rPr>
          <w:sz w:val="20"/>
        </w:rPr>
        <w:t>were applied in the simulations.</w:t>
      </w:r>
    </w:p>
    <w:p w:rsidR="00474A08" w:rsidRDefault="00474A08" w:rsidP="00474A08">
      <w:pPr>
        <w:rPr>
          <w:sz w:val="20"/>
        </w:rPr>
      </w:pPr>
      <w:r w:rsidRPr="00944EFF">
        <w:rPr>
          <w:sz w:val="20"/>
        </w:rPr>
        <w:lastRenderedPageBreak/>
        <w:t xml:space="preserve">The general </w:t>
      </w:r>
      <w:r w:rsidR="008D5687" w:rsidRPr="00944EFF">
        <w:rPr>
          <w:sz w:val="20"/>
        </w:rPr>
        <w:t xml:space="preserve">E-UTRA </w:t>
      </w:r>
      <w:r w:rsidR="00EE5538" w:rsidRPr="00944EFF">
        <w:rPr>
          <w:sz w:val="20"/>
        </w:rPr>
        <w:t xml:space="preserve">CA </w:t>
      </w:r>
      <w:r w:rsidRPr="00944EFF">
        <w:rPr>
          <w:sz w:val="20"/>
        </w:rPr>
        <w:t>emissions</w:t>
      </w:r>
      <w:r w:rsidR="008D5687" w:rsidRPr="00944EFF">
        <w:rPr>
          <w:sz w:val="20"/>
        </w:rPr>
        <w:t xml:space="preserve"> </w:t>
      </w:r>
      <w:r w:rsidRPr="00944EFF">
        <w:rPr>
          <w:sz w:val="20"/>
        </w:rPr>
        <w:t>requirement</w:t>
      </w:r>
      <w:r w:rsidR="001633FF" w:rsidRPr="00944EFF">
        <w:rPr>
          <w:sz w:val="20"/>
        </w:rPr>
        <w:t>s</w:t>
      </w:r>
      <w:r w:rsidRPr="00944EFF">
        <w:rPr>
          <w:sz w:val="20"/>
        </w:rPr>
        <w:t xml:space="preserve"> from TS 36.101</w:t>
      </w:r>
      <w:r w:rsidR="008D5687" w:rsidRPr="00944EFF">
        <w:rPr>
          <w:sz w:val="20"/>
        </w:rPr>
        <w:t xml:space="preserve"> [</w:t>
      </w:r>
      <w:r w:rsidR="00E27E31" w:rsidRPr="00944EFF">
        <w:rPr>
          <w:sz w:val="20"/>
        </w:rPr>
        <w:t>3</w:t>
      </w:r>
      <w:r w:rsidR="008D5687" w:rsidRPr="00944EFF">
        <w:rPr>
          <w:sz w:val="20"/>
        </w:rPr>
        <w:t>]</w:t>
      </w:r>
      <w:r w:rsidRPr="00944EFF">
        <w:rPr>
          <w:sz w:val="20"/>
        </w:rPr>
        <w:t xml:space="preserve"> </w:t>
      </w:r>
      <w:r w:rsidR="002D4FDD" w:rsidRPr="00944EFF">
        <w:rPr>
          <w:sz w:val="20"/>
        </w:rPr>
        <w:t>were also applied</w:t>
      </w:r>
      <w:r w:rsidR="008D5687" w:rsidRPr="00944EFF">
        <w:rPr>
          <w:sz w:val="20"/>
        </w:rPr>
        <w:t xml:space="preserve"> and are given below:</w:t>
      </w:r>
    </w:p>
    <w:p w:rsidR="00CD459F" w:rsidRPr="00944EFF" w:rsidRDefault="00CD459F" w:rsidP="00474A08">
      <w:pPr>
        <w:rPr>
          <w:sz w:val="20"/>
          <w:szCs w:val="22"/>
        </w:rPr>
      </w:pPr>
    </w:p>
    <w:p w:rsidR="00EE5538" w:rsidRPr="00EE5538" w:rsidRDefault="00EE5538" w:rsidP="00EE5538">
      <w:pPr>
        <w:keepNext/>
        <w:keepLines/>
        <w:overflowPunct w:val="0"/>
        <w:autoSpaceDE w:val="0"/>
        <w:autoSpaceDN w:val="0"/>
        <w:adjustRightInd w:val="0"/>
        <w:spacing w:before="60" w:after="180"/>
        <w:jc w:val="center"/>
        <w:textAlignment w:val="baseline"/>
        <w:rPr>
          <w:rFonts w:ascii="Arial" w:eastAsia="Times New Roman" w:hAnsi="Arial"/>
          <w:b/>
          <w:sz w:val="20"/>
          <w:lang w:eastAsia="ko-KR"/>
        </w:rPr>
      </w:pPr>
      <w:r w:rsidRPr="00EE5538">
        <w:rPr>
          <w:rFonts w:ascii="Arial" w:eastAsia="Times New Roman" w:hAnsi="Arial"/>
          <w:b/>
          <w:sz w:val="20"/>
          <w:lang w:eastAsia="ko-KR"/>
        </w:rPr>
        <w:t xml:space="preserve">Table 6.6.2.1A-1: General </w:t>
      </w:r>
      <w:smartTag w:uri="urn:schemas-microsoft-com:office:smarttags" w:element="place">
        <w:smartTag w:uri="urn:schemas-microsoft-com:office:smarttags" w:element="City">
          <w:r w:rsidRPr="00EE5538">
            <w:rPr>
              <w:rFonts w:ascii="Arial" w:eastAsia="Times New Roman" w:hAnsi="Arial"/>
              <w:b/>
              <w:sz w:val="20"/>
              <w:lang w:eastAsia="ko-KR"/>
            </w:rPr>
            <w:t>E-UTRA</w:t>
          </w:r>
        </w:smartTag>
        <w:r w:rsidRPr="00EE5538">
          <w:rPr>
            <w:rFonts w:ascii="Arial" w:eastAsia="Times New Roman" w:hAnsi="Arial"/>
            <w:b/>
            <w:sz w:val="20"/>
            <w:lang w:eastAsia="ko-KR"/>
          </w:rPr>
          <w:t xml:space="preserve"> </w:t>
        </w:r>
        <w:smartTag w:uri="urn:schemas-microsoft-com:office:smarttags" w:element="State">
          <w:r w:rsidRPr="00EE5538">
            <w:rPr>
              <w:rFonts w:ascii="Arial" w:eastAsia="Times New Roman" w:hAnsi="Arial"/>
              <w:b/>
              <w:sz w:val="20"/>
              <w:lang w:eastAsia="ko-KR"/>
            </w:rPr>
            <w:t>CA</w:t>
          </w:r>
        </w:smartTag>
      </w:smartTag>
      <w:r w:rsidRPr="00EE5538">
        <w:rPr>
          <w:rFonts w:ascii="Arial" w:eastAsia="Times New Roman" w:hAnsi="Arial"/>
          <w:b/>
          <w:sz w:val="20"/>
          <w:lang w:eastAsia="ko-KR"/>
        </w:rPr>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EE5538" w:rsidRPr="00EE5538" w:rsidTr="00F17D69">
        <w:trPr>
          <w:cantSplit/>
          <w:jc w:val="center"/>
        </w:trPr>
        <w:tc>
          <w:tcPr>
            <w:tcW w:w="9356" w:type="dxa"/>
            <w:gridSpan w:val="6"/>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Spectrum emission limit [dBm]/BW</w:t>
            </w:r>
            <w:r w:rsidRPr="00EE5538">
              <w:rPr>
                <w:rFonts w:ascii="Arial" w:eastAsia="Times New Roman" w:hAnsi="Arial"/>
                <w:b/>
                <w:sz w:val="18"/>
                <w:vertAlign w:val="subscript"/>
                <w:lang w:eastAsia="ko-KR"/>
              </w:rPr>
              <w:t>Channel_CA</w:t>
            </w:r>
          </w:p>
        </w:tc>
      </w:tr>
      <w:tr w:rsidR="00EE5538" w:rsidRPr="00EE5538" w:rsidTr="00F17D69">
        <w:trPr>
          <w:cantSplit/>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Δf</w:t>
            </w:r>
            <w:r w:rsidRPr="00EE5538">
              <w:rPr>
                <w:rFonts w:ascii="Arial" w:eastAsia="Times New Roman" w:hAnsi="Arial"/>
                <w:b/>
                <w:sz w:val="18"/>
                <w:vertAlign w:val="subscript"/>
                <w:lang w:eastAsia="ko-KR"/>
              </w:rPr>
              <w:t>OOB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(MHz)</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50RB+100RB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(29.9 MHz)</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75RB+75RB (30 MHz)</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(34.85 MHz)</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100RB+100RB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(39.8 MHz)</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Measurement bandwidth</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0-1</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-23.5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-24</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30 kHz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1-5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-10</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5-29.9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29.9-30</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30-34.85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34.85-34.9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34.9-35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35-39.8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39.8-39.85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39.85-44.8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bl>
    <w:p w:rsidR="00474A08" w:rsidRPr="00F9345A" w:rsidRDefault="00474A08" w:rsidP="00474A08">
      <w:pPr>
        <w:rPr>
          <w:sz w:val="22"/>
        </w:rPr>
      </w:pPr>
    </w:p>
    <w:p w:rsidR="00474A08" w:rsidRPr="00CD459F" w:rsidRDefault="00474A08" w:rsidP="00474A08">
      <w:pPr>
        <w:rPr>
          <w:sz w:val="20"/>
        </w:rPr>
      </w:pPr>
      <w:r w:rsidRPr="00CD459F">
        <w:rPr>
          <w:sz w:val="20"/>
        </w:rPr>
        <w:t xml:space="preserve">The impairments used </w:t>
      </w:r>
      <w:r w:rsidR="00803EE4" w:rsidRPr="00CD459F">
        <w:rPr>
          <w:sz w:val="20"/>
        </w:rPr>
        <w:t>in</w:t>
      </w:r>
      <w:r w:rsidRPr="00CD459F">
        <w:rPr>
          <w:sz w:val="20"/>
        </w:rPr>
        <w:t xml:space="preserve"> the simulations were the following:</w:t>
      </w:r>
    </w:p>
    <w:p w:rsidR="00474A08" w:rsidRPr="00CD459F" w:rsidRDefault="00474A08" w:rsidP="00474A08">
      <w:pPr>
        <w:rPr>
          <w:sz w:val="20"/>
        </w:rPr>
      </w:pPr>
    </w:p>
    <w:p w:rsidR="00474A08" w:rsidRPr="00CD459F" w:rsidRDefault="00474A08" w:rsidP="00474A08">
      <w:pPr>
        <w:numPr>
          <w:ilvl w:val="0"/>
          <w:numId w:val="27"/>
        </w:numPr>
        <w:spacing w:after="200" w:line="276" w:lineRule="auto"/>
        <w:rPr>
          <w:rFonts w:cs="v5.0.0"/>
          <w:sz w:val="20"/>
        </w:rPr>
      </w:pPr>
      <w:r w:rsidRPr="00CD459F">
        <w:rPr>
          <w:rFonts w:cs="v5.0.0"/>
          <w:sz w:val="20"/>
        </w:rPr>
        <w:t>Modulator IQ – image = -2</w:t>
      </w:r>
      <w:r w:rsidR="0043435A" w:rsidRPr="00CD459F">
        <w:rPr>
          <w:rFonts w:cs="v5.0.0"/>
          <w:sz w:val="20"/>
        </w:rPr>
        <w:t>5</w:t>
      </w:r>
      <w:r w:rsidRPr="00CD459F">
        <w:rPr>
          <w:rFonts w:cs="v5.0.0"/>
          <w:sz w:val="20"/>
        </w:rPr>
        <w:t xml:space="preserve"> dB</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carrier leakage = -2</w:t>
      </w:r>
      <w:r w:rsidR="0043435A" w:rsidRPr="00CD459F">
        <w:rPr>
          <w:rFonts w:cs="v5.0.0"/>
          <w:sz w:val="20"/>
        </w:rPr>
        <w:t>5</w:t>
      </w:r>
      <w:r w:rsidRPr="00CD459F">
        <w:rPr>
          <w:rFonts w:cs="v5.0.0"/>
          <w:sz w:val="20"/>
        </w:rPr>
        <w:t xml:space="preserve"> dBc</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C_IM3 = -60 dBc</w:t>
      </w:r>
    </w:p>
    <w:p w:rsidR="00474A08" w:rsidRPr="00CD459F" w:rsidRDefault="008D5687" w:rsidP="00474A08">
      <w:pPr>
        <w:rPr>
          <w:sz w:val="20"/>
        </w:rPr>
      </w:pPr>
      <w:r w:rsidRPr="00CD459F">
        <w:rPr>
          <w:sz w:val="20"/>
        </w:rPr>
        <w:t xml:space="preserve">The operating points of the PA’s were </w:t>
      </w:r>
      <w:r w:rsidR="00474A08" w:rsidRPr="00CD459F">
        <w:rPr>
          <w:sz w:val="20"/>
        </w:rPr>
        <w:t>set such that the UTRA</w:t>
      </w:r>
      <w:r w:rsidR="00474A08" w:rsidRPr="00CD459F">
        <w:rPr>
          <w:sz w:val="20"/>
          <w:vertAlign w:val="subscript"/>
        </w:rPr>
        <w:t>ACLR</w:t>
      </w:r>
      <w:r w:rsidR="00E61331">
        <w:rPr>
          <w:sz w:val="20"/>
          <w:vertAlign w:val="subscript"/>
        </w:rPr>
        <w:t>1</w:t>
      </w:r>
      <w:r w:rsidR="00474A08" w:rsidRPr="00CD459F">
        <w:rPr>
          <w:sz w:val="20"/>
        </w:rPr>
        <w:t xml:space="preserve"> requirement of 33 dB is just met with a 100 RB QPSK allocation.  The output power at which the requirement is just met is defined to be 22 dBm.</w:t>
      </w:r>
    </w:p>
    <w:p w:rsidR="0064120D" w:rsidRPr="00CD459F" w:rsidRDefault="0064120D" w:rsidP="00474A08">
      <w:pPr>
        <w:rPr>
          <w:sz w:val="20"/>
        </w:rPr>
      </w:pPr>
    </w:p>
    <w:p w:rsidR="00803EE4" w:rsidRPr="00CD459F" w:rsidRDefault="0064120D" w:rsidP="00AB46E4">
      <w:pPr>
        <w:rPr>
          <w:sz w:val="20"/>
        </w:rPr>
      </w:pPr>
      <w:r w:rsidRPr="00CD459F">
        <w:rPr>
          <w:sz w:val="20"/>
        </w:rPr>
        <w:t>The MPR required to meet all emissions requirements is shown for the two PA models in Figures 1 and 2</w:t>
      </w:r>
      <w:r w:rsidR="00803EE4" w:rsidRPr="00CD459F">
        <w:rPr>
          <w:sz w:val="20"/>
        </w:rPr>
        <w:t>, respectively.  The</w:t>
      </w:r>
      <w:r w:rsidR="00362FD9" w:rsidRPr="00CD459F">
        <w:rPr>
          <w:sz w:val="20"/>
        </w:rPr>
        <w:t xml:space="preserve"> </w:t>
      </w:r>
      <w:r w:rsidR="00A55907" w:rsidRPr="00CD459F">
        <w:rPr>
          <w:sz w:val="20"/>
        </w:rPr>
        <w:t xml:space="preserve">multi-cluster </w:t>
      </w:r>
      <w:r w:rsidR="00362FD9" w:rsidRPr="00CD459F">
        <w:rPr>
          <w:sz w:val="20"/>
        </w:rPr>
        <w:t>MPR allowed for intra-band contiguous carrier aggregation bandwidth class C</w:t>
      </w:r>
      <w:r w:rsidR="00803EE4" w:rsidRPr="00CD459F">
        <w:rPr>
          <w:sz w:val="20"/>
        </w:rPr>
        <w:t xml:space="preserve"> in the TS 36.101 </w:t>
      </w:r>
      <w:r w:rsidR="00AB46E4" w:rsidRPr="00CD459F">
        <w:rPr>
          <w:sz w:val="20"/>
        </w:rPr>
        <w:t>[</w:t>
      </w:r>
      <w:r w:rsidR="00E17A9C">
        <w:rPr>
          <w:sz w:val="20"/>
        </w:rPr>
        <w:t>3</w:t>
      </w:r>
      <w:r w:rsidR="00AB46E4" w:rsidRPr="00CD459F">
        <w:rPr>
          <w:sz w:val="20"/>
        </w:rPr>
        <w:t xml:space="preserve">] </w:t>
      </w:r>
      <w:r w:rsidR="00803EE4" w:rsidRPr="00CD459F">
        <w:rPr>
          <w:sz w:val="20"/>
        </w:rPr>
        <w:t xml:space="preserve">specification is </w:t>
      </w:r>
      <w:r w:rsidR="00AB46E4" w:rsidRPr="00CD459F">
        <w:rPr>
          <w:sz w:val="20"/>
        </w:rPr>
        <w:t>also shown in the figures, and is given by</w:t>
      </w:r>
    </w:p>
    <w:p w:rsidR="003A4B90" w:rsidRPr="00CD459F" w:rsidRDefault="003A4B90" w:rsidP="00AB46E4">
      <w:pPr>
        <w:rPr>
          <w:sz w:val="20"/>
        </w:rPr>
      </w:pPr>
    </w:p>
    <w:p w:rsidR="00AB46E4" w:rsidRPr="00CD459F" w:rsidRDefault="00AB46E4" w:rsidP="00AB46E4">
      <w:pPr>
        <w:jc w:val="center"/>
        <w:rPr>
          <w:sz w:val="20"/>
        </w:rPr>
      </w:pPr>
      <w:r w:rsidRPr="00CD459F">
        <w:rPr>
          <w:sz w:val="20"/>
        </w:rPr>
        <w:t>MPR = CEIL {M</w:t>
      </w:r>
      <w:r w:rsidRPr="00CD459F">
        <w:rPr>
          <w:sz w:val="20"/>
          <w:vertAlign w:val="subscript"/>
        </w:rPr>
        <w:t>A,</w:t>
      </w:r>
      <w:r w:rsidRPr="00CD459F">
        <w:rPr>
          <w:sz w:val="20"/>
        </w:rPr>
        <w:t xml:space="preserve"> 0.5}</w:t>
      </w:r>
    </w:p>
    <w:p w:rsidR="00AB46E4" w:rsidRPr="00CD459F" w:rsidRDefault="00AB46E4" w:rsidP="00AB46E4">
      <w:pPr>
        <w:rPr>
          <w:sz w:val="20"/>
          <w:vertAlign w:val="subscript"/>
        </w:rPr>
      </w:pPr>
      <w:r w:rsidRPr="00CD459F">
        <w:rPr>
          <w:sz w:val="20"/>
        </w:rPr>
        <w:t>where M</w:t>
      </w:r>
      <w:r w:rsidRPr="00CD459F">
        <w:rPr>
          <w:sz w:val="20"/>
          <w:vertAlign w:val="subscript"/>
        </w:rPr>
        <w:t xml:space="preserve">A </w:t>
      </w:r>
      <w:r w:rsidRPr="00CD459F">
        <w:rPr>
          <w:sz w:val="20"/>
        </w:rPr>
        <w:t>is defined as follows</w:t>
      </w:r>
      <w:r w:rsidRPr="00CD459F">
        <w:rPr>
          <w:sz w:val="20"/>
          <w:vertAlign w:val="subscript"/>
        </w:rPr>
        <w:t xml:space="preserve"> </w:t>
      </w:r>
    </w:p>
    <w:p w:rsidR="00AB46E4" w:rsidRPr="00CD459F" w:rsidRDefault="00AB46E4" w:rsidP="00AB46E4">
      <w:pPr>
        <w:rPr>
          <w:sz w:val="20"/>
        </w:rPr>
      </w:pPr>
    </w:p>
    <w:p w:rsidR="00AB46E4" w:rsidRPr="00CD459F" w:rsidRDefault="00AB46E4" w:rsidP="00AB46E4">
      <w:pPr>
        <w:ind w:left="1440" w:firstLine="720"/>
        <w:rPr>
          <w:sz w:val="20"/>
        </w:rPr>
      </w:pPr>
      <w:r w:rsidRPr="00CD459F">
        <w:rPr>
          <w:sz w:val="20"/>
        </w:rPr>
        <w:t>M</w:t>
      </w:r>
      <w:r w:rsidRPr="00CD459F">
        <w:rPr>
          <w:sz w:val="20"/>
          <w:vertAlign w:val="subscript"/>
        </w:rPr>
        <w:t>A</w:t>
      </w:r>
      <w:r w:rsidRPr="00CD459F">
        <w:rPr>
          <w:sz w:val="20"/>
        </w:rPr>
        <w:t xml:space="preserve"> = </w:t>
      </w:r>
      <w:r w:rsidRPr="00CD459F">
        <w:rPr>
          <w:sz w:val="20"/>
        </w:rPr>
        <w:tab/>
        <w:t>8.2</w:t>
      </w:r>
      <w:r w:rsidRPr="00CD459F">
        <w:rPr>
          <w:sz w:val="20"/>
        </w:rPr>
        <w:tab/>
      </w:r>
      <w:r w:rsidRPr="00CD459F">
        <w:rPr>
          <w:sz w:val="20"/>
        </w:rPr>
        <w:tab/>
      </w:r>
      <w:r w:rsidRPr="00CD459F">
        <w:rPr>
          <w:sz w:val="20"/>
        </w:rPr>
        <w:tab/>
        <w:t>; 0 ≤ A &lt; 0.025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 xml:space="preserve">9.2 - 40A </w:t>
      </w:r>
      <w:r w:rsidRPr="00CD459F">
        <w:rPr>
          <w:sz w:val="20"/>
        </w:rPr>
        <w:tab/>
      </w:r>
      <w:r w:rsidRPr="00CD459F">
        <w:rPr>
          <w:sz w:val="20"/>
        </w:rPr>
        <w:tab/>
        <w:t>; 0.025</w:t>
      </w:r>
      <w:r w:rsidRPr="00CD459F">
        <w:rPr>
          <w:sz w:val="20"/>
        </w:rPr>
        <w:tab/>
        <w:t>≤ A &lt; 0.05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8 – 16A</w:t>
      </w:r>
      <w:r w:rsidRPr="00CD459F">
        <w:rPr>
          <w:sz w:val="20"/>
        </w:rPr>
        <w:tab/>
      </w:r>
      <w:r w:rsidRPr="00CD459F">
        <w:rPr>
          <w:sz w:val="20"/>
        </w:rPr>
        <w:tab/>
      </w:r>
      <w:r w:rsidRPr="00CD459F">
        <w:rPr>
          <w:sz w:val="20"/>
        </w:rPr>
        <w:tab/>
        <w:t>; 0.05</w:t>
      </w:r>
      <w:r w:rsidRPr="00CD459F">
        <w:rPr>
          <w:sz w:val="20"/>
        </w:rPr>
        <w:tab/>
        <w:t>≤ A &lt; 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4.83 – 3.33A</w:t>
      </w:r>
      <w:r w:rsidRPr="00CD459F">
        <w:rPr>
          <w:sz w:val="20"/>
        </w:rPr>
        <w:tab/>
      </w:r>
      <w:r w:rsidRPr="00CD459F">
        <w:rPr>
          <w:sz w:val="20"/>
        </w:rPr>
        <w:tab/>
        <w:t>; 0.25  ≤ A ≤ 0.4,</w:t>
      </w:r>
    </w:p>
    <w:p w:rsidR="00AB46E4" w:rsidRPr="00CD459F" w:rsidRDefault="00AB46E4" w:rsidP="00AB46E4">
      <w:pPr>
        <w:ind w:left="2160" w:firstLine="720"/>
        <w:rPr>
          <w:sz w:val="20"/>
        </w:rPr>
      </w:pPr>
      <w:r w:rsidRPr="00CD459F">
        <w:rPr>
          <w:sz w:val="20"/>
        </w:rPr>
        <w:t>3.83 – 0.83A</w:t>
      </w:r>
      <w:r w:rsidRPr="00CD459F">
        <w:rPr>
          <w:sz w:val="20"/>
        </w:rPr>
        <w:tab/>
      </w:r>
      <w:r w:rsidRPr="00CD459F">
        <w:rPr>
          <w:sz w:val="20"/>
        </w:rPr>
        <w:tab/>
        <w:t>; 0.4  ≤ A ≤ 1,</w:t>
      </w:r>
    </w:p>
    <w:p w:rsidR="00AB46E4" w:rsidRPr="00CD459F" w:rsidRDefault="00AB46E4" w:rsidP="00AB46E4">
      <w:pPr>
        <w:rPr>
          <w:sz w:val="20"/>
        </w:rPr>
      </w:pPr>
      <w:r w:rsidRPr="00CD459F">
        <w:rPr>
          <w:sz w:val="20"/>
        </w:rPr>
        <w:t xml:space="preserve">and </w:t>
      </w:r>
    </w:p>
    <w:p w:rsidR="00AB46E4" w:rsidRDefault="00AB46E4" w:rsidP="00AB46E4">
      <w:pPr>
        <w:rPr>
          <w:sz w:val="20"/>
          <w:vertAlign w:val="subscript"/>
        </w:rPr>
      </w:pPr>
      <w:r w:rsidRPr="00CD459F">
        <w:rPr>
          <w:sz w:val="20"/>
        </w:rPr>
        <w:tab/>
      </w:r>
      <w:r w:rsidRPr="00CD459F">
        <w:rPr>
          <w:sz w:val="20"/>
        </w:rPr>
        <w:tab/>
      </w:r>
      <w:r w:rsidRPr="00CD459F">
        <w:rPr>
          <w:sz w:val="20"/>
        </w:rPr>
        <w:tab/>
        <w:t>A = N</w:t>
      </w:r>
      <w:r w:rsidRPr="00CD459F">
        <w:rPr>
          <w:sz w:val="20"/>
          <w:vertAlign w:val="subscript"/>
        </w:rPr>
        <w:t>RB_alloc</w:t>
      </w:r>
      <w:r w:rsidRPr="00CD459F">
        <w:rPr>
          <w:sz w:val="20"/>
        </w:rPr>
        <w:t xml:space="preserve"> / N</w:t>
      </w:r>
      <w:r w:rsidRPr="00CD459F">
        <w:rPr>
          <w:sz w:val="20"/>
          <w:vertAlign w:val="subscript"/>
        </w:rPr>
        <w:t>RB_agg.</w:t>
      </w:r>
    </w:p>
    <w:p w:rsidR="00505A18" w:rsidRPr="00505A18" w:rsidRDefault="00505A18" w:rsidP="00AB46E4">
      <w:pPr>
        <w:rPr>
          <w:sz w:val="20"/>
          <w:vertAlign w:val="subscript"/>
        </w:rPr>
      </w:pPr>
    </w:p>
    <w:p w:rsidR="00770035" w:rsidRDefault="00770035" w:rsidP="00770035">
      <w:pPr>
        <w:pStyle w:val="Heading1"/>
        <w:spacing w:after="120"/>
        <w:jc w:val="both"/>
        <w:rPr>
          <w:b/>
          <w:color w:val="000000"/>
        </w:rPr>
      </w:pPr>
      <w:r>
        <w:rPr>
          <w:b/>
          <w:color w:val="000000"/>
        </w:rPr>
        <w:t>MPR for Non-Contiguous Resource Allocations with Limitations on the Span of the Fifth Order IM’s</w:t>
      </w:r>
    </w:p>
    <w:p w:rsidR="00770035" w:rsidRPr="00CD459F" w:rsidRDefault="00770035" w:rsidP="00770035">
      <w:pPr>
        <w:rPr>
          <w:sz w:val="20"/>
          <w:szCs w:val="22"/>
        </w:rPr>
      </w:pPr>
      <w:r w:rsidRPr="00CD459F">
        <w:rPr>
          <w:sz w:val="20"/>
          <w:szCs w:val="22"/>
        </w:rPr>
        <w:t xml:space="preserve">For </w:t>
      </w:r>
      <w:r>
        <w:rPr>
          <w:sz w:val="20"/>
          <w:szCs w:val="22"/>
        </w:rPr>
        <w:t>non-contiguous resource allocation</w:t>
      </w:r>
      <w:r w:rsidRPr="00CD459F">
        <w:rPr>
          <w:sz w:val="20"/>
          <w:szCs w:val="22"/>
        </w:rPr>
        <w:t>s, the span of the fifth order intermodulation products is given by the frequency interval</w:t>
      </w:r>
    </w:p>
    <w:p w:rsidR="00770035" w:rsidRPr="00CD459F" w:rsidRDefault="00770035" w:rsidP="00770035">
      <w:pPr>
        <w:jc w:val="center"/>
        <w:rPr>
          <w:sz w:val="20"/>
          <w:szCs w:val="22"/>
        </w:rPr>
      </w:pPr>
      <w:r w:rsidRPr="00CD459F">
        <w:rPr>
          <w:position w:val="-16"/>
          <w:sz w:val="20"/>
          <w:szCs w:val="22"/>
        </w:rPr>
        <w:object w:dxaOrig="5179"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2pt;height:22.45pt" o:ole="">
            <v:imagedata r:id="rId8" o:title=""/>
          </v:shape>
          <o:OLEObject Type="Embed" ProgID="Equation.DSMT4" ShapeID="_x0000_i1025" DrawAspect="Content" ObjectID="_1442071161" r:id="rId9"/>
        </w:object>
      </w:r>
      <w:r w:rsidRPr="00CD459F">
        <w:rPr>
          <w:sz w:val="20"/>
          <w:szCs w:val="22"/>
        </w:rPr>
        <w:t>,</w:t>
      </w:r>
    </w:p>
    <w:p w:rsidR="00505A18" w:rsidRDefault="00505A18" w:rsidP="00505A18">
      <w:pPr>
        <w:rPr>
          <w:sz w:val="22"/>
        </w:rPr>
      </w:pPr>
    </w:p>
    <w:p w:rsidR="00505A18" w:rsidRDefault="00505A18" w:rsidP="00505A18">
      <w:pPr>
        <w:rPr>
          <w:sz w:val="20"/>
          <w:szCs w:val="22"/>
        </w:rPr>
      </w:pPr>
      <w:r w:rsidRPr="00CD459F">
        <w:rPr>
          <w:sz w:val="20"/>
          <w:szCs w:val="22"/>
        </w:rPr>
        <w:t>where F</w:t>
      </w:r>
      <w:r w:rsidRPr="00CD459F">
        <w:rPr>
          <w:sz w:val="20"/>
          <w:szCs w:val="22"/>
          <w:vertAlign w:val="subscript"/>
        </w:rPr>
        <w:t>agg_alloc_low</w:t>
      </w:r>
      <w:r w:rsidRPr="00CD459F">
        <w:rPr>
          <w:sz w:val="20"/>
          <w:szCs w:val="22"/>
        </w:rPr>
        <w:t xml:space="preserve"> and F</w:t>
      </w:r>
      <w:r w:rsidRPr="00CD459F">
        <w:rPr>
          <w:sz w:val="20"/>
          <w:szCs w:val="22"/>
          <w:vertAlign w:val="subscript"/>
        </w:rPr>
        <w:t>agg_alloc_high</w:t>
      </w:r>
      <w:r w:rsidRPr="00CD459F">
        <w:rPr>
          <w:sz w:val="20"/>
          <w:szCs w:val="22"/>
        </w:rPr>
        <w:t xml:space="preserve"> are used to denote the lowest and highest frequency of the transmitted resource blocks of the </w:t>
      </w:r>
      <w:r>
        <w:rPr>
          <w:sz w:val="20"/>
          <w:szCs w:val="22"/>
        </w:rPr>
        <w:t>non-contiguous resource allocation</w:t>
      </w:r>
      <w:r w:rsidRPr="00CD459F">
        <w:rPr>
          <w:sz w:val="20"/>
          <w:szCs w:val="22"/>
        </w:rPr>
        <w:t xml:space="preserve"> for the contiguously aggregated carriers.  For a given </w:t>
      </w:r>
      <w:r>
        <w:rPr>
          <w:sz w:val="20"/>
          <w:szCs w:val="22"/>
        </w:rPr>
        <w:t>non-contiguous resource allocation</w:t>
      </w:r>
      <w:r w:rsidRPr="00CD459F">
        <w:rPr>
          <w:sz w:val="20"/>
          <w:szCs w:val="22"/>
        </w:rPr>
        <w:t xml:space="preserve">, </w:t>
      </w:r>
      <w:r>
        <w:rPr>
          <w:sz w:val="20"/>
          <w:szCs w:val="22"/>
        </w:rPr>
        <w:t xml:space="preserve">we define </w:t>
      </w:r>
      <w:r w:rsidRPr="00CD459F">
        <w:rPr>
          <w:position w:val="-4"/>
          <w:sz w:val="20"/>
          <w:szCs w:val="22"/>
        </w:rPr>
        <w:object w:dxaOrig="220" w:dyaOrig="260">
          <v:shape id="_x0000_i1026" type="#_x0000_t75" style="width:11.5pt;height:13.25pt" o:ole="">
            <v:imagedata r:id="rId10" o:title=""/>
          </v:shape>
          <o:OLEObject Type="Embed" ProgID="Equation.3" ShapeID="_x0000_i1026" DrawAspect="Content" ObjectID="_1442071162" r:id="rId11"/>
        </w:object>
      </w:r>
      <w:r w:rsidRPr="00CD459F">
        <w:rPr>
          <w:sz w:val="20"/>
          <w:szCs w:val="22"/>
        </w:rPr>
        <w:t xml:space="preserve"> as the maximum distance of any fifth order intermodulation product from the center frequency F</w:t>
      </w:r>
      <w:r w:rsidRPr="00CD459F">
        <w:rPr>
          <w:sz w:val="20"/>
          <w:szCs w:val="22"/>
          <w:vertAlign w:val="subscript"/>
        </w:rPr>
        <w:t>C_agg</w:t>
      </w:r>
      <w:r w:rsidRPr="00CD459F">
        <w:rPr>
          <w:sz w:val="20"/>
          <w:szCs w:val="22"/>
        </w:rPr>
        <w:t xml:space="preserve"> of the contiguously aggregated carriers.  With this definition, </w:t>
      </w:r>
      <w:r w:rsidRPr="00CD459F">
        <w:rPr>
          <w:position w:val="-4"/>
          <w:sz w:val="20"/>
          <w:szCs w:val="22"/>
        </w:rPr>
        <w:object w:dxaOrig="220" w:dyaOrig="260">
          <v:shape id="_x0000_i1027" type="#_x0000_t75" style="width:11.5pt;height:13.25pt" o:ole="">
            <v:imagedata r:id="rId10" o:title=""/>
          </v:shape>
          <o:OLEObject Type="Embed" ProgID="Equation.3" ShapeID="_x0000_i1027" DrawAspect="Content" ObjectID="_1442071163" r:id="rId12"/>
        </w:object>
      </w:r>
      <w:r w:rsidRPr="00CD459F">
        <w:rPr>
          <w:sz w:val="20"/>
          <w:szCs w:val="22"/>
        </w:rPr>
        <w:t xml:space="preserve"> can be expressed a</w:t>
      </w:r>
      <w:r>
        <w:rPr>
          <w:sz w:val="20"/>
          <w:szCs w:val="22"/>
        </w:rPr>
        <w:t>s</w:t>
      </w:r>
    </w:p>
    <w:p w:rsidR="00505A18" w:rsidRDefault="00505A18" w:rsidP="00505A18">
      <w:pPr>
        <w:rPr>
          <w:sz w:val="20"/>
          <w:szCs w:val="22"/>
        </w:rPr>
      </w:pPr>
    </w:p>
    <w:p w:rsidR="00770035" w:rsidRDefault="00770035" w:rsidP="00505A18">
      <w:pPr>
        <w:jc w:val="center"/>
        <w:rPr>
          <w:sz w:val="22"/>
        </w:rPr>
      </w:pPr>
    </w:p>
    <w:p w:rsidR="00A51E72" w:rsidRDefault="00A51E72" w:rsidP="001843A6">
      <w:pPr>
        <w:jc w:val="center"/>
        <w:rPr>
          <w:sz w:val="22"/>
          <w:szCs w:val="22"/>
        </w:rPr>
      </w:pPr>
    </w:p>
    <w:p w:rsidR="00A51E72" w:rsidRDefault="00A51E72" w:rsidP="001843A6">
      <w:pPr>
        <w:jc w:val="center"/>
        <w:rPr>
          <w:sz w:val="22"/>
          <w:szCs w:val="22"/>
        </w:rPr>
      </w:pPr>
    </w:p>
    <w:p w:rsidR="001843A6" w:rsidRDefault="002853D1" w:rsidP="001843A6">
      <w:pPr>
        <w:jc w:val="center"/>
      </w:pPr>
      <w:r w:rsidRPr="00D90972">
        <w:rPr>
          <w:sz w:val="22"/>
          <w:szCs w:val="22"/>
        </w:rPr>
        <w:pict>
          <v:shape id="_x0000_i1028" type="#_x0000_t75" style="width:5in;height:270.15pt">
            <v:imagedata r:id="rId13" o:title="FJ_2CC_0dB_norestriction"/>
          </v:shape>
        </w:pict>
      </w:r>
    </w:p>
    <w:p w:rsidR="00416E29" w:rsidRDefault="00A4577E" w:rsidP="00416E29">
      <w:pPr>
        <w:pStyle w:val="Caption"/>
        <w:ind w:left="1440" w:hanging="720"/>
        <w:rPr>
          <w:sz w:val="20"/>
        </w:rPr>
      </w:pPr>
      <w:r w:rsidRPr="00CD459F">
        <w:rPr>
          <w:sz w:val="20"/>
        </w:rPr>
        <w:t xml:space="preserve">Figure 1: MPR needed to meet </w:t>
      </w:r>
      <w:r w:rsidR="00362FD9" w:rsidRPr="00CD459F">
        <w:rPr>
          <w:sz w:val="20"/>
        </w:rPr>
        <w:t xml:space="preserve">SEM, </w:t>
      </w:r>
      <w:r w:rsidRPr="00CD459F">
        <w:rPr>
          <w:sz w:val="20"/>
        </w:rPr>
        <w:t xml:space="preserve">ACLR, </w:t>
      </w:r>
      <w:r w:rsidR="00362FD9" w:rsidRPr="00CD459F">
        <w:rPr>
          <w:sz w:val="20"/>
        </w:rPr>
        <w:t xml:space="preserve">and </w:t>
      </w:r>
      <w:r w:rsidR="00D94AFF">
        <w:rPr>
          <w:sz w:val="20"/>
        </w:rPr>
        <w:t>both spurious requirements</w:t>
      </w:r>
      <w:r w:rsidR="00416E29">
        <w:rPr>
          <w:sz w:val="20"/>
        </w:rPr>
        <w:t xml:space="preserve"> as a function of </w:t>
      </w:r>
      <w:r w:rsidRPr="00CD459F">
        <w:rPr>
          <w:sz w:val="20"/>
        </w:rPr>
        <w:t>allocation ratio</w:t>
      </w:r>
      <w:r w:rsidR="00D00882" w:rsidRPr="00CD459F">
        <w:rPr>
          <w:sz w:val="20"/>
        </w:rPr>
        <w:t xml:space="preserve"> for PA1</w:t>
      </w:r>
      <w:r w:rsidR="00A82B69" w:rsidRPr="00CD459F">
        <w:rPr>
          <w:sz w:val="20"/>
        </w:rPr>
        <w:t>.</w:t>
      </w:r>
    </w:p>
    <w:p w:rsidR="00A51E72" w:rsidRDefault="00A51E72" w:rsidP="00A51E72"/>
    <w:p w:rsidR="00A51E72" w:rsidRPr="00A51E72" w:rsidRDefault="00A51E72" w:rsidP="00A51E72"/>
    <w:p w:rsidR="00803EE4" w:rsidRDefault="002853D1" w:rsidP="00803EE4">
      <w:pPr>
        <w:jc w:val="center"/>
      </w:pPr>
      <w:r>
        <w:pict>
          <v:shape id="_x0000_i1029" type="#_x0000_t75" style="width:5in;height:270.15pt">
            <v:imagedata r:id="rId14" o:title="FS_2CC_0dB_norestriction"/>
          </v:shape>
        </w:pict>
      </w:r>
    </w:p>
    <w:p w:rsidR="00D00882" w:rsidRPr="008C4C15" w:rsidRDefault="00803EE4" w:rsidP="008C4C15">
      <w:pPr>
        <w:pStyle w:val="Caption"/>
        <w:ind w:left="1440" w:hanging="720"/>
        <w:rPr>
          <w:sz w:val="20"/>
        </w:rPr>
      </w:pPr>
      <w:r w:rsidRPr="00CD459F">
        <w:rPr>
          <w:sz w:val="20"/>
        </w:rPr>
        <w:t xml:space="preserve">Figure </w:t>
      </w:r>
      <w:r w:rsidR="00D00882" w:rsidRPr="00CD459F">
        <w:rPr>
          <w:sz w:val="20"/>
        </w:rPr>
        <w:t>2</w:t>
      </w:r>
      <w:r w:rsidRPr="00CD459F">
        <w:rPr>
          <w:sz w:val="20"/>
        </w:rPr>
        <w:t xml:space="preserve">: MPR needed to meet </w:t>
      </w:r>
      <w:r w:rsidR="00362FD9" w:rsidRPr="00CD459F">
        <w:rPr>
          <w:sz w:val="20"/>
        </w:rPr>
        <w:t xml:space="preserve">SEM, </w:t>
      </w:r>
      <w:r w:rsidRPr="00CD459F">
        <w:rPr>
          <w:sz w:val="20"/>
        </w:rPr>
        <w:t xml:space="preserve">ACLR, </w:t>
      </w:r>
      <w:r w:rsidR="00362FD9" w:rsidRPr="00CD459F">
        <w:rPr>
          <w:sz w:val="20"/>
        </w:rPr>
        <w:t xml:space="preserve">and </w:t>
      </w:r>
      <w:r w:rsidR="00D94AFF">
        <w:rPr>
          <w:sz w:val="20"/>
        </w:rPr>
        <w:t>both spurious requirements</w:t>
      </w:r>
      <w:r w:rsidRPr="00CD459F">
        <w:rPr>
          <w:sz w:val="20"/>
        </w:rPr>
        <w:t xml:space="preserve"> as a function of allocation ratio</w:t>
      </w:r>
      <w:r w:rsidR="00D00882" w:rsidRPr="00CD459F">
        <w:rPr>
          <w:sz w:val="20"/>
        </w:rPr>
        <w:t xml:space="preserve"> for PA2</w:t>
      </w:r>
      <w:r w:rsidR="00A82B69" w:rsidRPr="00CD459F">
        <w:rPr>
          <w:sz w:val="20"/>
        </w:rPr>
        <w:t>.</w:t>
      </w:r>
    </w:p>
    <w:p w:rsidR="00D00882" w:rsidRPr="00CD459F" w:rsidRDefault="00D00882" w:rsidP="00D00882">
      <w:pPr>
        <w:rPr>
          <w:sz w:val="20"/>
          <w:szCs w:val="22"/>
        </w:rPr>
      </w:pPr>
    </w:p>
    <w:p w:rsidR="00E35D44" w:rsidRDefault="00E35D44" w:rsidP="00E35D44">
      <w:pPr>
        <w:rPr>
          <w:sz w:val="22"/>
          <w:szCs w:val="22"/>
        </w:rPr>
      </w:pPr>
    </w:p>
    <w:p w:rsidR="00CE4FC4" w:rsidRPr="00CD459F" w:rsidRDefault="00CE4FC4" w:rsidP="00E35D44">
      <w:pPr>
        <w:rPr>
          <w:sz w:val="20"/>
          <w:szCs w:val="22"/>
        </w:rPr>
      </w:pPr>
    </w:p>
    <w:p w:rsidR="00E35D44" w:rsidRPr="00CD459F" w:rsidRDefault="00E35D44" w:rsidP="00CE4FC4">
      <w:pPr>
        <w:jc w:val="center"/>
        <w:rPr>
          <w:sz w:val="20"/>
          <w:szCs w:val="22"/>
        </w:rPr>
      </w:pPr>
    </w:p>
    <w:p w:rsidR="00CE4FC4" w:rsidRDefault="00CE4FC4" w:rsidP="00E35D44">
      <w:pPr>
        <w:pStyle w:val="EW"/>
        <w:ind w:left="0" w:firstLine="0"/>
        <w:rPr>
          <w:szCs w:val="22"/>
        </w:rPr>
      </w:pPr>
    </w:p>
    <w:p w:rsidR="00A51E72" w:rsidRDefault="00A51E72" w:rsidP="00A51E72">
      <w:pPr>
        <w:pStyle w:val="EW"/>
        <w:ind w:left="0" w:firstLine="0"/>
        <w:jc w:val="center"/>
        <w:rPr>
          <w:szCs w:val="22"/>
        </w:rPr>
      </w:pPr>
      <w:r w:rsidRPr="00CD459F">
        <w:rPr>
          <w:position w:val="-20"/>
          <w:szCs w:val="22"/>
        </w:rPr>
        <w:object w:dxaOrig="8020" w:dyaOrig="520">
          <v:shape id="_x0000_i1030" type="#_x0000_t75" style="width:401.45pt;height:26.5pt" o:ole="">
            <v:imagedata r:id="rId15" o:title=""/>
          </v:shape>
          <o:OLEObject Type="Embed" ProgID="Equation.DSMT4" ShapeID="_x0000_i1030" DrawAspect="Content" ObjectID="_1442071164" r:id="rId16"/>
        </w:object>
      </w:r>
    </w:p>
    <w:p w:rsidR="00A51E72" w:rsidRDefault="00A51E72" w:rsidP="00E35D44">
      <w:pPr>
        <w:pStyle w:val="EW"/>
        <w:ind w:left="0" w:firstLine="0"/>
        <w:rPr>
          <w:szCs w:val="22"/>
        </w:rPr>
      </w:pPr>
    </w:p>
    <w:p w:rsidR="00A51E72" w:rsidRPr="00CD459F" w:rsidRDefault="00CA4357" w:rsidP="00E35D44">
      <w:pPr>
        <w:pStyle w:val="EW"/>
        <w:ind w:left="0" w:firstLine="0"/>
        <w:rPr>
          <w:szCs w:val="22"/>
        </w:rPr>
      </w:pPr>
      <w:r>
        <w:rPr>
          <w:szCs w:val="22"/>
        </w:rPr>
        <w:t xml:space="preserve">For the general case, the most stringent emissions requirement is the spurious domain requirement </w:t>
      </w:r>
      <w:r w:rsidR="00B526E1">
        <w:rPr>
          <w:szCs w:val="22"/>
        </w:rPr>
        <w:t xml:space="preserve">of </w:t>
      </w:r>
      <w:r>
        <w:rPr>
          <w:szCs w:val="22"/>
        </w:rPr>
        <w:t>-30 dBm/MHz for frequencies above 1 GHz. The</w:t>
      </w:r>
      <w:r w:rsidR="00E35D44" w:rsidRPr="00CD459F">
        <w:rPr>
          <w:szCs w:val="22"/>
        </w:rPr>
        <w:t xml:space="preserve"> distance from the center frequency of the aggregated carrier F</w:t>
      </w:r>
      <w:r w:rsidR="00E35D44" w:rsidRPr="00CD459F">
        <w:rPr>
          <w:szCs w:val="22"/>
          <w:vertAlign w:val="subscript"/>
        </w:rPr>
        <w:t>C_agg</w:t>
      </w:r>
      <w:r w:rsidR="00E35D44" w:rsidRPr="00CD459F">
        <w:rPr>
          <w:szCs w:val="22"/>
        </w:rPr>
        <w:t xml:space="preserve"> to the spurious domain is the sum one-half the aggregated channel bandwidth BW</w:t>
      </w:r>
      <w:r w:rsidR="00E35D44" w:rsidRPr="00CD459F">
        <w:rPr>
          <w:szCs w:val="22"/>
          <w:vertAlign w:val="subscript"/>
        </w:rPr>
        <w:t>Channel_CA</w:t>
      </w:r>
      <w:r w:rsidR="00E35D44" w:rsidRPr="00CD459F">
        <w:rPr>
          <w:szCs w:val="22"/>
        </w:rPr>
        <w:t xml:space="preserve"> and the distance from the edge of the aggregated channel to the spurious domain, </w:t>
      </w:r>
      <w:r w:rsidR="00CE4FC4" w:rsidRPr="00CD459F">
        <w:rPr>
          <w:position w:val="-12"/>
          <w:szCs w:val="22"/>
        </w:rPr>
        <w:object w:dxaOrig="600" w:dyaOrig="360">
          <v:shape id="_x0000_i1031" type="#_x0000_t75" style="width:29.95pt;height:19pt" o:ole="">
            <v:imagedata r:id="rId17" o:title=""/>
          </v:shape>
          <o:OLEObject Type="Embed" ProgID="Equation.DSMT4" ShapeID="_x0000_i1031" DrawAspect="Content" ObjectID="_1442071165" r:id="rId18"/>
        </w:object>
      </w:r>
      <w:r w:rsidR="00E35D44" w:rsidRPr="00CD459F">
        <w:rPr>
          <w:szCs w:val="22"/>
        </w:rPr>
        <w:t xml:space="preserve">.  Thus, the fifth order </w:t>
      </w:r>
      <w:r w:rsidR="00811175">
        <w:rPr>
          <w:szCs w:val="22"/>
        </w:rPr>
        <w:t>IM</w:t>
      </w:r>
      <w:r w:rsidR="00E35D44" w:rsidRPr="00CD459F">
        <w:rPr>
          <w:szCs w:val="22"/>
        </w:rPr>
        <w:t xml:space="preserve"> products for a given </w:t>
      </w:r>
      <w:r w:rsidR="00707D47">
        <w:rPr>
          <w:szCs w:val="22"/>
        </w:rPr>
        <w:t>non-contiguous resource allocation</w:t>
      </w:r>
      <w:r w:rsidR="00E35D44" w:rsidRPr="00CD459F">
        <w:rPr>
          <w:szCs w:val="22"/>
        </w:rPr>
        <w:t xml:space="preserve"> do not reach the spurious domain so long as </w:t>
      </w:r>
    </w:p>
    <w:p w:rsidR="00E35D44" w:rsidRPr="00CD459F" w:rsidRDefault="00B526E1" w:rsidP="00E35D44">
      <w:pPr>
        <w:pStyle w:val="EW"/>
        <w:ind w:left="0" w:firstLine="0"/>
        <w:jc w:val="center"/>
        <w:rPr>
          <w:szCs w:val="22"/>
        </w:rPr>
      </w:pPr>
      <w:r w:rsidRPr="00CD459F">
        <w:rPr>
          <w:position w:val="-24"/>
          <w:szCs w:val="22"/>
        </w:rPr>
        <w:object w:dxaOrig="3280" w:dyaOrig="660">
          <v:shape id="_x0000_i1032" type="#_x0000_t75" style="width:163.6pt;height:34pt" o:ole="">
            <v:imagedata r:id="rId19" o:title=""/>
          </v:shape>
          <o:OLEObject Type="Embed" ProgID="Equation.DSMT4" ShapeID="_x0000_i1032" DrawAspect="Content" ObjectID="_1442071166" r:id="rId20"/>
        </w:object>
      </w:r>
    </w:p>
    <w:p w:rsidR="00E35D44" w:rsidRDefault="00B526E1" w:rsidP="00E35D44">
      <w:pPr>
        <w:pStyle w:val="EW"/>
        <w:ind w:left="0" w:firstLine="0"/>
      </w:pPr>
      <w:r>
        <w:t>w</w:t>
      </w:r>
      <w:r w:rsidRPr="003D2891">
        <w:t xml:space="preserve">here we have used </w:t>
      </w:r>
      <w:r w:rsidRPr="003D2891">
        <w:rPr>
          <w:position w:val="-14"/>
        </w:rPr>
        <w:object w:dxaOrig="720" w:dyaOrig="380">
          <v:shape id="_x0000_i1033" type="#_x0000_t75" style="width:36.3pt;height:19pt" o:ole="">
            <v:imagedata r:id="rId21" o:title=""/>
          </v:shape>
          <o:OLEObject Type="Embed" ProgID="Equation.DSMT4" ShapeID="_x0000_i1033" DrawAspect="Content" ObjectID="_1442071167" r:id="rId22"/>
        </w:object>
      </w:r>
      <w:r>
        <w:t xml:space="preserve">to denote the distance from the center of the aggregated carrier to the spurious domain.  </w:t>
      </w:r>
      <w:r w:rsidR="00E35D44" w:rsidRPr="00CD459F">
        <w:rPr>
          <w:szCs w:val="22"/>
        </w:rPr>
        <w:t xml:space="preserve">For two contiguously aggregated 20 MHz carriers, </w:t>
      </w:r>
      <w:r w:rsidR="00E50B38" w:rsidRPr="003D2891">
        <w:rPr>
          <w:position w:val="-14"/>
        </w:rPr>
        <w:object w:dxaOrig="720" w:dyaOrig="380">
          <v:shape id="_x0000_i1034" type="#_x0000_t75" style="width:36.3pt;height:19pt" o:ole="">
            <v:imagedata r:id="rId21" o:title=""/>
          </v:shape>
          <o:OLEObject Type="Embed" ProgID="Equation.DSMT4" ShapeID="_x0000_i1034" DrawAspect="Content" ObjectID="_1442071168" r:id="rId23"/>
        </w:object>
      </w:r>
      <w:r w:rsidR="00E50B38">
        <w:t>is given by</w:t>
      </w:r>
    </w:p>
    <w:p w:rsidR="00E50B38" w:rsidRPr="00CD459F" w:rsidRDefault="00E50B38" w:rsidP="00E35D44">
      <w:pPr>
        <w:pStyle w:val="EW"/>
        <w:ind w:left="0" w:firstLine="0"/>
        <w:rPr>
          <w:szCs w:val="22"/>
        </w:rPr>
      </w:pPr>
    </w:p>
    <w:p w:rsidR="00CE4FC4" w:rsidRPr="003D2891" w:rsidRDefault="00E50B38" w:rsidP="003D2891">
      <w:pPr>
        <w:pStyle w:val="EW"/>
        <w:ind w:left="0" w:firstLine="0"/>
        <w:jc w:val="center"/>
        <w:rPr>
          <w:szCs w:val="22"/>
        </w:rPr>
      </w:pPr>
      <w:r w:rsidRPr="00B526E1">
        <w:rPr>
          <w:position w:val="-44"/>
          <w:szCs w:val="22"/>
        </w:rPr>
        <w:object w:dxaOrig="4239" w:dyaOrig="999">
          <v:shape id="_x0000_i1035" type="#_x0000_t75" style="width:211.95pt;height:49.55pt" o:ole="">
            <v:imagedata r:id="rId24" o:title=""/>
          </v:shape>
          <o:OLEObject Type="Embed" ProgID="Equation.DSMT4" ShapeID="_x0000_i1035" DrawAspect="Content" ObjectID="_1442071169" r:id="rId25"/>
        </w:object>
      </w:r>
    </w:p>
    <w:p w:rsidR="00CA4357" w:rsidRDefault="00CA4357" w:rsidP="00E35D44">
      <w:pPr>
        <w:rPr>
          <w:sz w:val="20"/>
        </w:rPr>
      </w:pPr>
    </w:p>
    <w:p w:rsidR="003D2891" w:rsidRDefault="00C574D5" w:rsidP="00E35D44">
      <w:pPr>
        <w:rPr>
          <w:sz w:val="20"/>
        </w:rPr>
      </w:pPr>
      <w:r w:rsidRPr="00DB76F8">
        <w:rPr>
          <w:sz w:val="20"/>
        </w:rPr>
        <w:t>Again for the general case, the second-most stringent emiss</w:t>
      </w:r>
      <w:r w:rsidR="00841A39">
        <w:rPr>
          <w:sz w:val="20"/>
        </w:rPr>
        <w:t>ions requirement is -25 dBm/MHz</w:t>
      </w:r>
      <w:r w:rsidR="00770035">
        <w:rPr>
          <w:sz w:val="20"/>
        </w:rPr>
        <w:t xml:space="preserve"> </w:t>
      </w:r>
      <w:r w:rsidR="00841A39">
        <w:rPr>
          <w:sz w:val="20"/>
        </w:rPr>
        <w:t>which</w:t>
      </w:r>
      <w:r w:rsidRPr="00DB76F8">
        <w:rPr>
          <w:sz w:val="20"/>
        </w:rPr>
        <w:t xml:space="preserve"> </w:t>
      </w:r>
      <w:r w:rsidR="00B526E1">
        <w:rPr>
          <w:sz w:val="20"/>
        </w:rPr>
        <w:t>applies for the outermost</w:t>
      </w:r>
      <w:r w:rsidRPr="00DB76F8">
        <w:rPr>
          <w:sz w:val="20"/>
        </w:rPr>
        <w:t xml:space="preserve"> 5 MHz of the spectral emissions mask</w:t>
      </w:r>
      <w:r w:rsidR="00841A39">
        <w:rPr>
          <w:sz w:val="20"/>
        </w:rPr>
        <w:t xml:space="preserve">.  The distance </w:t>
      </w:r>
      <w:r w:rsidR="00E17A9C" w:rsidRPr="00E17A9C">
        <w:rPr>
          <w:sz w:val="20"/>
        </w:rPr>
        <w:t>from the center frequency of the aggregated carrier F</w:t>
      </w:r>
      <w:r w:rsidR="00E17A9C" w:rsidRPr="00E17A9C">
        <w:rPr>
          <w:sz w:val="20"/>
          <w:vertAlign w:val="subscript"/>
        </w:rPr>
        <w:t>C_agg</w:t>
      </w:r>
      <w:r w:rsidR="00E17A9C" w:rsidRPr="00E17A9C">
        <w:rPr>
          <w:sz w:val="20"/>
        </w:rPr>
        <w:t xml:space="preserve"> </w:t>
      </w:r>
      <w:r w:rsidR="00E17A9C">
        <w:rPr>
          <w:sz w:val="20"/>
        </w:rPr>
        <w:t xml:space="preserve">to the outermost 5 MHz of the spectral emissions mask </w:t>
      </w:r>
      <w:r w:rsidR="00841A39">
        <w:rPr>
          <w:sz w:val="20"/>
        </w:rPr>
        <w:t xml:space="preserve">is equal to </w:t>
      </w:r>
      <w:r w:rsidR="00B526E1">
        <w:rPr>
          <w:sz w:val="20"/>
        </w:rPr>
        <w:t>3/2</w:t>
      </w:r>
      <w:r w:rsidR="00DB76F8" w:rsidRPr="00DB76F8">
        <w:rPr>
          <w:sz w:val="20"/>
        </w:rPr>
        <w:t xml:space="preserve"> times the aggregated channel bandwidth</w:t>
      </w:r>
      <w:r w:rsidR="00811175">
        <w:rPr>
          <w:sz w:val="20"/>
        </w:rPr>
        <w:t xml:space="preserve">.  Thus, the fifth order IM products </w:t>
      </w:r>
      <w:r w:rsidR="00B526E1">
        <w:rPr>
          <w:sz w:val="20"/>
        </w:rPr>
        <w:t xml:space="preserve">of a </w:t>
      </w:r>
      <w:r w:rsidR="00707D47">
        <w:rPr>
          <w:sz w:val="20"/>
        </w:rPr>
        <w:t>non-contiguous resource allocation</w:t>
      </w:r>
      <w:r w:rsidR="00DB76F8" w:rsidRPr="00DB76F8">
        <w:rPr>
          <w:sz w:val="20"/>
        </w:rPr>
        <w:t xml:space="preserve"> </w:t>
      </w:r>
      <w:r w:rsidR="00B526E1">
        <w:rPr>
          <w:sz w:val="20"/>
        </w:rPr>
        <w:t>do not reach the out</w:t>
      </w:r>
      <w:r w:rsidR="00E61331">
        <w:rPr>
          <w:sz w:val="20"/>
        </w:rPr>
        <w:t>er</w:t>
      </w:r>
      <w:r w:rsidR="00B526E1">
        <w:rPr>
          <w:sz w:val="20"/>
        </w:rPr>
        <w:t>most 5 MHz of the SEM so long as</w:t>
      </w:r>
    </w:p>
    <w:p w:rsidR="00A51E72" w:rsidRPr="00DB76F8" w:rsidRDefault="00A51E72" w:rsidP="00E35D44">
      <w:pPr>
        <w:rPr>
          <w:sz w:val="20"/>
        </w:rPr>
      </w:pPr>
    </w:p>
    <w:p w:rsidR="003D2891" w:rsidRPr="00DB76F8" w:rsidRDefault="00D05C53" w:rsidP="00DB76F8">
      <w:pPr>
        <w:jc w:val="center"/>
        <w:rPr>
          <w:sz w:val="20"/>
        </w:rPr>
      </w:pPr>
      <w:r w:rsidRPr="00E50B38">
        <w:rPr>
          <w:position w:val="-24"/>
          <w:sz w:val="20"/>
        </w:rPr>
        <w:object w:dxaOrig="2620" w:dyaOrig="620">
          <v:shape id="_x0000_i1036" type="#_x0000_t75" style="width:130.75pt;height:30.55pt" o:ole="">
            <v:imagedata r:id="rId26" o:title=""/>
          </v:shape>
          <o:OLEObject Type="Embed" ProgID="Equation.DSMT4" ShapeID="_x0000_i1036" DrawAspect="Content" ObjectID="_1442071170" r:id="rId27"/>
        </w:object>
      </w:r>
      <w:r>
        <w:rPr>
          <w:sz w:val="20"/>
        </w:rPr>
        <w:t>,</w:t>
      </w:r>
    </w:p>
    <w:p w:rsidR="00E50B38" w:rsidRDefault="00DB76F8" w:rsidP="00E50B38">
      <w:pPr>
        <w:pStyle w:val="EW"/>
        <w:ind w:left="0" w:firstLine="0"/>
      </w:pPr>
      <w:r w:rsidRPr="00DB76F8">
        <w:t xml:space="preserve">where we have used </w:t>
      </w:r>
      <w:r w:rsidR="00E50B38" w:rsidRPr="00E50B38">
        <w:rPr>
          <w:position w:val="-14"/>
        </w:rPr>
        <w:object w:dxaOrig="660" w:dyaOrig="380">
          <v:shape id="_x0000_i1037" type="#_x0000_t75" style="width:32.85pt;height:19pt" o:ole="">
            <v:imagedata r:id="rId28" o:title=""/>
          </v:shape>
          <o:OLEObject Type="Embed" ProgID="Equation.DSMT4" ShapeID="_x0000_i1037" DrawAspect="Content" ObjectID="_1442071171" r:id="rId29"/>
        </w:object>
      </w:r>
      <w:r w:rsidRPr="00DB76F8">
        <w:t>to denote the distance from the center of the aggregated carrier to the out</w:t>
      </w:r>
      <w:r w:rsidR="00E61331">
        <w:t>er</w:t>
      </w:r>
      <w:r w:rsidRPr="00DB76F8">
        <w:t>most 5 MHz of the  SEM.</w:t>
      </w:r>
      <w:r w:rsidR="00E50B38">
        <w:t xml:space="preserve">  </w:t>
      </w:r>
      <w:r w:rsidR="00E50B38" w:rsidRPr="00CD459F">
        <w:rPr>
          <w:szCs w:val="22"/>
        </w:rPr>
        <w:t xml:space="preserve">For two contiguously aggregated 20 MHz carriers, </w:t>
      </w:r>
      <w:r w:rsidR="00E50B38" w:rsidRPr="00E50B38">
        <w:rPr>
          <w:position w:val="-14"/>
        </w:rPr>
        <w:object w:dxaOrig="660" w:dyaOrig="380">
          <v:shape id="_x0000_i1038" type="#_x0000_t75" style="width:32.85pt;height:19pt" o:ole="">
            <v:imagedata r:id="rId28" o:title=""/>
          </v:shape>
          <o:OLEObject Type="Embed" ProgID="Equation.DSMT4" ShapeID="_x0000_i1038" DrawAspect="Content" ObjectID="_1442071172" r:id="rId30"/>
        </w:object>
      </w:r>
      <w:r w:rsidR="00E50B38">
        <w:t>is given by</w:t>
      </w:r>
    </w:p>
    <w:p w:rsidR="00DB76F8" w:rsidRDefault="00DB76F8" w:rsidP="00E35D44">
      <w:pPr>
        <w:rPr>
          <w:sz w:val="20"/>
        </w:rPr>
      </w:pPr>
    </w:p>
    <w:p w:rsidR="00E50B38" w:rsidRPr="00DB76F8" w:rsidRDefault="00E50B38" w:rsidP="00E50B38">
      <w:pPr>
        <w:jc w:val="center"/>
        <w:rPr>
          <w:sz w:val="20"/>
        </w:rPr>
      </w:pPr>
      <w:r w:rsidRPr="00E50B38">
        <w:rPr>
          <w:position w:val="-44"/>
          <w:sz w:val="20"/>
        </w:rPr>
        <w:object w:dxaOrig="3100" w:dyaOrig="999">
          <v:shape id="_x0000_i1039" type="#_x0000_t75" style="width:155.5pt;height:49.55pt" o:ole="">
            <v:imagedata r:id="rId31" o:title=""/>
          </v:shape>
          <o:OLEObject Type="Embed" ProgID="Equation.DSMT4" ShapeID="_x0000_i1039" DrawAspect="Content" ObjectID="_1442071173" r:id="rId32"/>
        </w:object>
      </w:r>
    </w:p>
    <w:p w:rsidR="00DB76F8" w:rsidRDefault="00DB76F8" w:rsidP="00E35D44">
      <w:pPr>
        <w:rPr>
          <w:sz w:val="20"/>
        </w:rPr>
      </w:pPr>
      <w:r w:rsidRPr="00CD459F">
        <w:rPr>
          <w:sz w:val="20"/>
        </w:rPr>
        <w:t xml:space="preserve"> </w:t>
      </w:r>
    </w:p>
    <w:p w:rsidR="00981E8D" w:rsidRDefault="00DB76F8" w:rsidP="00B20123">
      <w:pPr>
        <w:rPr>
          <w:sz w:val="20"/>
          <w:szCs w:val="22"/>
        </w:rPr>
      </w:pPr>
      <w:r>
        <w:rPr>
          <w:sz w:val="20"/>
        </w:rPr>
        <w:t xml:space="preserve">In Figures 3 and 4, </w:t>
      </w:r>
      <w:r w:rsidR="00E35D44" w:rsidRPr="00CD459F">
        <w:rPr>
          <w:sz w:val="20"/>
        </w:rPr>
        <w:t xml:space="preserve">the MPR required to </w:t>
      </w:r>
      <w:r w:rsidR="00E50B38">
        <w:rPr>
          <w:sz w:val="20"/>
        </w:rPr>
        <w:t>meet all emissions requirements</w:t>
      </w:r>
      <w:r w:rsidR="00E35D44" w:rsidRPr="00CD459F">
        <w:rPr>
          <w:sz w:val="20"/>
        </w:rPr>
        <w:t xml:space="preserve"> is shown for PA1 and PA2, respectively, </w:t>
      </w:r>
      <w:r w:rsidR="00E35D44" w:rsidRPr="00CD459F">
        <w:rPr>
          <w:sz w:val="20"/>
          <w:szCs w:val="22"/>
        </w:rPr>
        <w:t xml:space="preserve">for </w:t>
      </w:r>
      <w:r w:rsidR="00707D47">
        <w:rPr>
          <w:sz w:val="20"/>
          <w:szCs w:val="22"/>
        </w:rPr>
        <w:t>non-contiguous resource allocation</w:t>
      </w:r>
      <w:r w:rsidR="00E35D44" w:rsidRPr="00CD459F">
        <w:rPr>
          <w:sz w:val="20"/>
          <w:szCs w:val="22"/>
        </w:rPr>
        <w:t xml:space="preserve">s for which </w:t>
      </w:r>
      <w:r w:rsidR="00E35D44" w:rsidRPr="00CD459F">
        <w:rPr>
          <w:position w:val="-4"/>
          <w:sz w:val="20"/>
          <w:szCs w:val="22"/>
        </w:rPr>
        <w:object w:dxaOrig="220" w:dyaOrig="260">
          <v:shape id="_x0000_i1040" type="#_x0000_t75" style="width:11.5pt;height:13.25pt" o:ole="">
            <v:imagedata r:id="rId10" o:title=""/>
          </v:shape>
          <o:OLEObject Type="Embed" ProgID="Equation.3" ShapeID="_x0000_i1040" DrawAspect="Content" ObjectID="_1442071174" r:id="rId33"/>
        </w:object>
      </w:r>
      <w:r w:rsidR="00E35D44" w:rsidRPr="00CD459F">
        <w:rPr>
          <w:sz w:val="20"/>
          <w:szCs w:val="22"/>
        </w:rPr>
        <w:t xml:space="preserve">is less than </w:t>
      </w:r>
      <w:r w:rsidR="00E50B38" w:rsidRPr="003D2891">
        <w:rPr>
          <w:position w:val="-14"/>
          <w:sz w:val="20"/>
        </w:rPr>
        <w:object w:dxaOrig="720" w:dyaOrig="380">
          <v:shape id="_x0000_i1041" type="#_x0000_t75" style="width:36.3pt;height:19pt" o:ole="">
            <v:imagedata r:id="rId21" o:title=""/>
          </v:shape>
          <o:OLEObject Type="Embed" ProgID="Equation.DSMT4" ShapeID="_x0000_i1041" DrawAspect="Content" ObjectID="_1442071175" r:id="rId34"/>
        </w:object>
      </w:r>
      <w:r w:rsidR="00E50B38">
        <w:rPr>
          <w:sz w:val="20"/>
        </w:rPr>
        <w:t xml:space="preserve"> (=</w:t>
      </w:r>
      <w:r w:rsidR="00E35D44" w:rsidRPr="00CD459F">
        <w:rPr>
          <w:sz w:val="20"/>
          <w:szCs w:val="22"/>
        </w:rPr>
        <w:t>64.7 MHz</w:t>
      </w:r>
      <w:r w:rsidR="00E50B38">
        <w:rPr>
          <w:sz w:val="20"/>
          <w:szCs w:val="22"/>
        </w:rPr>
        <w:t>)</w:t>
      </w:r>
      <w:r w:rsidR="00E35D44" w:rsidRPr="00CD459F">
        <w:rPr>
          <w:sz w:val="20"/>
          <w:szCs w:val="22"/>
        </w:rPr>
        <w:t xml:space="preserve"> so that </w:t>
      </w:r>
      <w:r w:rsidR="00A51E72">
        <w:rPr>
          <w:sz w:val="20"/>
          <w:szCs w:val="22"/>
        </w:rPr>
        <w:t xml:space="preserve">the fifth order </w:t>
      </w:r>
      <w:r w:rsidR="00811175">
        <w:rPr>
          <w:sz w:val="20"/>
          <w:szCs w:val="22"/>
        </w:rPr>
        <w:t>IM’s</w:t>
      </w:r>
      <w:r w:rsidR="00E35D44" w:rsidRPr="00CD459F">
        <w:rPr>
          <w:sz w:val="20"/>
          <w:szCs w:val="22"/>
        </w:rPr>
        <w:t xml:space="preserve"> do not reach the spurious domain.  For these simulation results</w:t>
      </w:r>
      <w:r w:rsidR="00393687">
        <w:rPr>
          <w:sz w:val="20"/>
          <w:szCs w:val="22"/>
        </w:rPr>
        <w:t xml:space="preserve"> in which </w:t>
      </w:r>
      <w:r w:rsidR="00393687" w:rsidRPr="00CD459F">
        <w:rPr>
          <w:position w:val="-4"/>
          <w:sz w:val="20"/>
          <w:szCs w:val="22"/>
        </w:rPr>
        <w:object w:dxaOrig="220" w:dyaOrig="260">
          <v:shape id="_x0000_i1042" type="#_x0000_t75" style="width:11.5pt;height:13.25pt" o:ole="">
            <v:imagedata r:id="rId10" o:title=""/>
          </v:shape>
          <o:OLEObject Type="Embed" ProgID="Equation.3" ShapeID="_x0000_i1042" DrawAspect="Content" ObjectID="_1442071176" r:id="rId35"/>
        </w:object>
      </w:r>
      <w:r w:rsidR="00393687">
        <w:rPr>
          <w:sz w:val="20"/>
          <w:szCs w:val="22"/>
        </w:rPr>
        <w:t xml:space="preserve"> is less than 64.7 MHz</w:t>
      </w:r>
      <w:r w:rsidR="00E35D44" w:rsidRPr="00CD459F">
        <w:rPr>
          <w:sz w:val="20"/>
          <w:szCs w:val="22"/>
        </w:rPr>
        <w:t xml:space="preserve">, it </w:t>
      </w:r>
      <w:r w:rsidR="00B20123">
        <w:rPr>
          <w:sz w:val="20"/>
          <w:szCs w:val="22"/>
        </w:rPr>
        <w:t>can be observed that</w:t>
      </w:r>
      <w:r w:rsidR="005F2E38">
        <w:rPr>
          <w:sz w:val="20"/>
          <w:szCs w:val="22"/>
        </w:rPr>
        <w:t xml:space="preserve"> </w:t>
      </w:r>
      <w:r w:rsidR="00B20123">
        <w:rPr>
          <w:sz w:val="20"/>
          <w:szCs w:val="22"/>
        </w:rPr>
        <w:t>the largest MPR value needed to meet all emissions requirements</w:t>
      </w:r>
      <w:r w:rsidR="00811175">
        <w:rPr>
          <w:sz w:val="20"/>
          <w:szCs w:val="22"/>
        </w:rPr>
        <w:t xml:space="preserve"> (over both PA’s)</w:t>
      </w:r>
      <w:r w:rsidR="00B20123">
        <w:rPr>
          <w:sz w:val="20"/>
          <w:szCs w:val="22"/>
        </w:rPr>
        <w:t xml:space="preserve"> is </w:t>
      </w:r>
      <w:r w:rsidR="00E35D44" w:rsidRPr="00CD459F">
        <w:rPr>
          <w:sz w:val="20"/>
          <w:szCs w:val="22"/>
        </w:rPr>
        <w:t>4</w:t>
      </w:r>
      <w:r w:rsidR="009955EF">
        <w:rPr>
          <w:sz w:val="20"/>
          <w:szCs w:val="22"/>
        </w:rPr>
        <w:t>.5</w:t>
      </w:r>
      <w:r w:rsidR="00E35D44" w:rsidRPr="00CD459F">
        <w:rPr>
          <w:sz w:val="20"/>
          <w:szCs w:val="22"/>
        </w:rPr>
        <w:t xml:space="preserve"> dB</w:t>
      </w:r>
      <w:r w:rsidR="009955EF">
        <w:rPr>
          <w:sz w:val="20"/>
          <w:szCs w:val="22"/>
        </w:rPr>
        <w:t>.</w:t>
      </w:r>
    </w:p>
    <w:p w:rsidR="00770035" w:rsidRDefault="00770035" w:rsidP="00B20123">
      <w:pPr>
        <w:rPr>
          <w:sz w:val="20"/>
          <w:szCs w:val="22"/>
        </w:rPr>
      </w:pPr>
    </w:p>
    <w:p w:rsidR="00981E8D" w:rsidRDefault="00981E8D" w:rsidP="00B20123">
      <w:pPr>
        <w:rPr>
          <w:sz w:val="20"/>
          <w:szCs w:val="22"/>
        </w:rPr>
      </w:pPr>
      <w:r>
        <w:rPr>
          <w:sz w:val="20"/>
        </w:rPr>
        <w:t xml:space="preserve">In Figures </w:t>
      </w:r>
      <w:r w:rsidR="00117F91">
        <w:rPr>
          <w:sz w:val="20"/>
        </w:rPr>
        <w:t>5</w:t>
      </w:r>
      <w:r>
        <w:rPr>
          <w:sz w:val="20"/>
        </w:rPr>
        <w:t xml:space="preserve"> and </w:t>
      </w:r>
      <w:r w:rsidR="00117F91">
        <w:rPr>
          <w:sz w:val="20"/>
        </w:rPr>
        <w:t>6</w:t>
      </w:r>
      <w:r>
        <w:rPr>
          <w:sz w:val="20"/>
        </w:rPr>
        <w:t xml:space="preserve">, </w:t>
      </w:r>
      <w:r w:rsidRPr="00CD459F">
        <w:rPr>
          <w:sz w:val="20"/>
        </w:rPr>
        <w:t xml:space="preserve">the MPR required to </w:t>
      </w:r>
      <w:r>
        <w:rPr>
          <w:sz w:val="20"/>
        </w:rPr>
        <w:t>meet all emissions requirements</w:t>
      </w:r>
      <w:r w:rsidRPr="00CD459F">
        <w:rPr>
          <w:sz w:val="20"/>
        </w:rPr>
        <w:t xml:space="preserve"> is shown for PA1 and PA2, respectively, </w:t>
      </w:r>
      <w:r w:rsidRPr="00CD459F">
        <w:rPr>
          <w:sz w:val="20"/>
          <w:szCs w:val="22"/>
        </w:rPr>
        <w:t xml:space="preserve">for </w:t>
      </w:r>
      <w:r w:rsidR="00707D47">
        <w:rPr>
          <w:sz w:val="20"/>
          <w:szCs w:val="22"/>
        </w:rPr>
        <w:t>non-contiguous resource allocation</w:t>
      </w:r>
      <w:r w:rsidRPr="00CD459F">
        <w:rPr>
          <w:sz w:val="20"/>
          <w:szCs w:val="22"/>
        </w:rPr>
        <w:t xml:space="preserve">s for which </w:t>
      </w:r>
      <w:r w:rsidRPr="00CD459F">
        <w:rPr>
          <w:position w:val="-4"/>
          <w:sz w:val="20"/>
          <w:szCs w:val="22"/>
        </w:rPr>
        <w:object w:dxaOrig="220" w:dyaOrig="260">
          <v:shape id="_x0000_i1043" type="#_x0000_t75" style="width:11.5pt;height:13.25pt" o:ole="">
            <v:imagedata r:id="rId10" o:title=""/>
          </v:shape>
          <o:OLEObject Type="Embed" ProgID="Equation.3" ShapeID="_x0000_i1043" DrawAspect="Content" ObjectID="_1442071177" r:id="rId36"/>
        </w:object>
      </w:r>
      <w:r w:rsidRPr="00CD459F">
        <w:rPr>
          <w:sz w:val="20"/>
          <w:szCs w:val="22"/>
        </w:rPr>
        <w:t xml:space="preserve">is less than </w:t>
      </w:r>
      <w:r w:rsidRPr="00E50B38">
        <w:rPr>
          <w:position w:val="-14"/>
          <w:sz w:val="20"/>
        </w:rPr>
        <w:object w:dxaOrig="660" w:dyaOrig="380">
          <v:shape id="_x0000_i1044" type="#_x0000_t75" style="width:32.85pt;height:19pt" o:ole="">
            <v:imagedata r:id="rId28" o:title=""/>
          </v:shape>
          <o:OLEObject Type="Embed" ProgID="Equation.DSMT4" ShapeID="_x0000_i1044" DrawAspect="Content" ObjectID="_1442071178" r:id="rId37"/>
        </w:object>
      </w:r>
      <w:r>
        <w:rPr>
          <w:sz w:val="20"/>
        </w:rPr>
        <w:t xml:space="preserve"> (=</w:t>
      </w:r>
      <w:r>
        <w:rPr>
          <w:sz w:val="20"/>
          <w:szCs w:val="22"/>
        </w:rPr>
        <w:t>59</w:t>
      </w:r>
      <w:r w:rsidRPr="00CD459F">
        <w:rPr>
          <w:sz w:val="20"/>
          <w:szCs w:val="22"/>
        </w:rPr>
        <w:t>.7 MHz</w:t>
      </w:r>
      <w:r>
        <w:rPr>
          <w:sz w:val="20"/>
          <w:szCs w:val="22"/>
        </w:rPr>
        <w:t>)</w:t>
      </w:r>
      <w:r w:rsidR="00811175">
        <w:rPr>
          <w:sz w:val="20"/>
          <w:szCs w:val="22"/>
        </w:rPr>
        <w:t xml:space="preserve"> so that the fifth order IM </w:t>
      </w:r>
      <w:r w:rsidRPr="00CD459F">
        <w:rPr>
          <w:sz w:val="20"/>
          <w:szCs w:val="22"/>
        </w:rPr>
        <w:t xml:space="preserve">products do not reach the </w:t>
      </w:r>
      <w:r w:rsidR="00E61331">
        <w:rPr>
          <w:sz w:val="20"/>
          <w:szCs w:val="22"/>
        </w:rPr>
        <w:t>outermost 5 MHz of the SEM</w:t>
      </w:r>
      <w:r w:rsidRPr="00CD459F">
        <w:rPr>
          <w:sz w:val="20"/>
          <w:szCs w:val="22"/>
        </w:rPr>
        <w:t>.</w:t>
      </w:r>
      <w:r w:rsidR="00393687">
        <w:rPr>
          <w:sz w:val="20"/>
          <w:szCs w:val="22"/>
        </w:rPr>
        <w:t xml:space="preserve">  </w:t>
      </w:r>
      <w:r w:rsidR="00E61331">
        <w:rPr>
          <w:sz w:val="20"/>
          <w:szCs w:val="22"/>
        </w:rPr>
        <w:t>In</w:t>
      </w:r>
      <w:r w:rsidR="00393687" w:rsidRPr="00CD459F">
        <w:rPr>
          <w:sz w:val="20"/>
          <w:szCs w:val="22"/>
        </w:rPr>
        <w:t xml:space="preserve"> these simulation results, it </w:t>
      </w:r>
      <w:r w:rsidR="00393687">
        <w:rPr>
          <w:sz w:val="20"/>
          <w:szCs w:val="22"/>
        </w:rPr>
        <w:t>can be observed that the largest MPR value needed to meet all emissions requirements</w:t>
      </w:r>
      <w:r w:rsidR="00117F91">
        <w:rPr>
          <w:sz w:val="20"/>
          <w:szCs w:val="22"/>
        </w:rPr>
        <w:t xml:space="preserve"> (over both PA’s)</w:t>
      </w:r>
      <w:r w:rsidR="00393687">
        <w:rPr>
          <w:sz w:val="20"/>
          <w:szCs w:val="22"/>
        </w:rPr>
        <w:t xml:space="preserve"> is </w:t>
      </w:r>
      <w:r w:rsidR="00393687" w:rsidRPr="00CD459F">
        <w:rPr>
          <w:sz w:val="20"/>
          <w:szCs w:val="22"/>
        </w:rPr>
        <w:t>4 dB</w:t>
      </w:r>
      <w:r w:rsidR="002B1197">
        <w:rPr>
          <w:sz w:val="20"/>
          <w:szCs w:val="22"/>
        </w:rPr>
        <w:t>.</w:t>
      </w:r>
    </w:p>
    <w:p w:rsidR="00A51E72" w:rsidRDefault="00A51E72" w:rsidP="005F2E38">
      <w:pPr>
        <w:jc w:val="center"/>
      </w:pPr>
    </w:p>
    <w:p w:rsidR="00A51E72" w:rsidRDefault="00A51E72" w:rsidP="005F2E38">
      <w:pPr>
        <w:jc w:val="center"/>
      </w:pPr>
    </w:p>
    <w:p w:rsidR="00A51E72" w:rsidRDefault="00A51E72" w:rsidP="005F2E38">
      <w:pPr>
        <w:jc w:val="center"/>
      </w:pPr>
    </w:p>
    <w:p w:rsidR="00A51E72" w:rsidRDefault="00A51E72" w:rsidP="005F2E38">
      <w:pPr>
        <w:jc w:val="center"/>
      </w:pPr>
    </w:p>
    <w:p w:rsidR="00A51E72" w:rsidRDefault="00A51E72" w:rsidP="005F2E38">
      <w:pPr>
        <w:jc w:val="center"/>
      </w:pPr>
    </w:p>
    <w:p w:rsidR="00A51E72" w:rsidRDefault="00A51E72" w:rsidP="005F2E38">
      <w:pPr>
        <w:jc w:val="center"/>
      </w:pPr>
    </w:p>
    <w:p w:rsidR="00A51E72" w:rsidRDefault="00A51E72" w:rsidP="005F2E38">
      <w:pPr>
        <w:jc w:val="center"/>
      </w:pPr>
    </w:p>
    <w:p w:rsidR="005F2E38" w:rsidRDefault="002853D1" w:rsidP="005F2E38">
      <w:pPr>
        <w:jc w:val="center"/>
      </w:pPr>
      <w:r>
        <w:pict>
          <v:shape id="_x0000_i1045" type="#_x0000_t75" style="width:5in;height:270.15pt">
            <v:imagedata r:id="rId38" o:title="FJ_2CC_0dB_restriction_64"/>
          </v:shape>
        </w:pict>
      </w:r>
    </w:p>
    <w:p w:rsidR="005F2E38" w:rsidRPr="00CD459F" w:rsidRDefault="005F2E38" w:rsidP="005F2E38">
      <w:pPr>
        <w:pStyle w:val="Caption"/>
        <w:ind w:left="1440" w:hanging="720"/>
        <w:rPr>
          <w:sz w:val="20"/>
        </w:rPr>
      </w:pPr>
      <w:r w:rsidRPr="00CD459F">
        <w:rPr>
          <w:sz w:val="20"/>
        </w:rPr>
        <w:t>Figure 3: MPR ne</w:t>
      </w:r>
      <w:r w:rsidR="00D94AFF">
        <w:rPr>
          <w:sz w:val="20"/>
        </w:rPr>
        <w:t>eded to meet SEM, ACLR, and both spurious requirements</w:t>
      </w:r>
      <w:r w:rsidRPr="00CD459F">
        <w:rPr>
          <w:sz w:val="20"/>
        </w:rPr>
        <w:t xml:space="preserve"> for PA1 for </w:t>
      </w:r>
      <w:r w:rsidR="008F5B8F">
        <w:rPr>
          <w:sz w:val="20"/>
        </w:rPr>
        <w:t>non-contiguous resource</w:t>
      </w:r>
      <w:r w:rsidR="00905470">
        <w:rPr>
          <w:sz w:val="20"/>
        </w:rPr>
        <w:t xml:space="preserve"> </w:t>
      </w:r>
      <w:r w:rsidRPr="00CD459F">
        <w:rPr>
          <w:sz w:val="20"/>
        </w:rPr>
        <w:t xml:space="preserve">allocations for which </w:t>
      </w:r>
      <w:r w:rsidRPr="00CD459F">
        <w:rPr>
          <w:rFonts w:ascii="Symbol" w:hAnsi="Symbol"/>
          <w:sz w:val="20"/>
        </w:rPr>
        <w:t></w:t>
      </w:r>
      <w:r w:rsidRPr="00CD459F">
        <w:rPr>
          <w:sz w:val="20"/>
        </w:rPr>
        <w:t xml:space="preserve"> &lt; 64.7 MHz.</w:t>
      </w:r>
    </w:p>
    <w:p w:rsidR="005F2E38" w:rsidRDefault="005F2E38" w:rsidP="005F2E38">
      <w:pPr>
        <w:jc w:val="center"/>
      </w:pPr>
    </w:p>
    <w:p w:rsidR="00A51E72" w:rsidRDefault="00A51E72" w:rsidP="005F2E38">
      <w:pPr>
        <w:jc w:val="center"/>
      </w:pPr>
    </w:p>
    <w:p w:rsidR="005F2E38" w:rsidRDefault="002853D1" w:rsidP="005F2E38">
      <w:pPr>
        <w:jc w:val="center"/>
      </w:pPr>
      <w:r>
        <w:pict>
          <v:shape id="_x0000_i1046" type="#_x0000_t75" style="width:5in;height:270.15pt">
            <v:imagedata r:id="rId39" o:title="FS_2CC_0dB_restriction_64"/>
          </v:shape>
        </w:pict>
      </w:r>
    </w:p>
    <w:p w:rsidR="005F2E38" w:rsidRDefault="005F2E38" w:rsidP="005F2E38">
      <w:pPr>
        <w:pStyle w:val="Caption"/>
        <w:ind w:left="1440" w:hanging="720"/>
        <w:rPr>
          <w:sz w:val="20"/>
        </w:rPr>
      </w:pPr>
      <w:r w:rsidRPr="00CD459F">
        <w:rPr>
          <w:sz w:val="20"/>
        </w:rPr>
        <w:t xml:space="preserve">Figure 4: MPR needed to meet SEM, ACLR, and </w:t>
      </w:r>
      <w:r w:rsidR="00D94AFF">
        <w:rPr>
          <w:sz w:val="20"/>
        </w:rPr>
        <w:t>both spurious requirements</w:t>
      </w:r>
      <w:r w:rsidRPr="00CD459F">
        <w:rPr>
          <w:sz w:val="20"/>
        </w:rPr>
        <w:t xml:space="preserve"> for PA2 for </w:t>
      </w:r>
      <w:r w:rsidR="008F5B8F">
        <w:rPr>
          <w:sz w:val="20"/>
        </w:rPr>
        <w:t>non-contiguous resource</w:t>
      </w:r>
      <w:r w:rsidR="00905470">
        <w:rPr>
          <w:sz w:val="20"/>
        </w:rPr>
        <w:t xml:space="preserve"> </w:t>
      </w:r>
      <w:r w:rsidRPr="00CD459F">
        <w:rPr>
          <w:sz w:val="20"/>
        </w:rPr>
        <w:t xml:space="preserve">allocations for which </w:t>
      </w:r>
      <w:r w:rsidRPr="00CD459F">
        <w:rPr>
          <w:rFonts w:ascii="Symbol" w:hAnsi="Symbol"/>
          <w:sz w:val="20"/>
        </w:rPr>
        <w:t></w:t>
      </w:r>
      <w:r w:rsidRPr="00CD459F">
        <w:rPr>
          <w:sz w:val="20"/>
        </w:rPr>
        <w:t xml:space="preserve"> &lt; 64.7 MHz.</w:t>
      </w:r>
    </w:p>
    <w:p w:rsidR="005F2E38" w:rsidRDefault="005F2E38" w:rsidP="00B20123">
      <w:pPr>
        <w:rPr>
          <w:sz w:val="20"/>
          <w:szCs w:val="22"/>
        </w:rPr>
      </w:pPr>
    </w:p>
    <w:p w:rsidR="00A51E72" w:rsidRDefault="00A51E72" w:rsidP="00474958">
      <w:pPr>
        <w:jc w:val="center"/>
        <w:rPr>
          <w:sz w:val="20"/>
          <w:szCs w:val="22"/>
        </w:rPr>
      </w:pPr>
    </w:p>
    <w:p w:rsidR="00A51E72" w:rsidRDefault="00A51E72" w:rsidP="00A51E72">
      <w:pPr>
        <w:rPr>
          <w:sz w:val="20"/>
          <w:szCs w:val="22"/>
        </w:rPr>
      </w:pPr>
    </w:p>
    <w:p w:rsidR="005F2E38" w:rsidRDefault="002853D1" w:rsidP="00474958">
      <w:pPr>
        <w:jc w:val="center"/>
        <w:rPr>
          <w:sz w:val="20"/>
          <w:szCs w:val="22"/>
        </w:rPr>
      </w:pPr>
      <w:r w:rsidRPr="00D90972">
        <w:rPr>
          <w:sz w:val="20"/>
          <w:szCs w:val="22"/>
        </w:rPr>
        <w:lastRenderedPageBreak/>
        <w:pict>
          <v:shape id="_x0000_i1047" type="#_x0000_t75" style="width:5in;height:270.15pt">
            <v:imagedata r:id="rId40" o:title="FJ_2CC_0dB_restriction_59"/>
          </v:shape>
        </w:pict>
      </w:r>
    </w:p>
    <w:p w:rsidR="00A51E72" w:rsidRPr="00A51E72" w:rsidRDefault="009C06FF" w:rsidP="00A51E72">
      <w:pPr>
        <w:pStyle w:val="Caption"/>
        <w:ind w:left="1440" w:hanging="720"/>
        <w:rPr>
          <w:sz w:val="20"/>
        </w:rPr>
      </w:pPr>
      <w:r w:rsidRPr="00CD459F">
        <w:rPr>
          <w:sz w:val="20"/>
        </w:rPr>
        <w:t xml:space="preserve">Figure </w:t>
      </w:r>
      <w:r>
        <w:rPr>
          <w:sz w:val="20"/>
        </w:rPr>
        <w:t>5</w:t>
      </w:r>
      <w:r w:rsidRPr="00CD459F">
        <w:rPr>
          <w:sz w:val="20"/>
        </w:rPr>
        <w:t xml:space="preserve">: MPR needed to meet SEM, ACLR, and </w:t>
      </w:r>
      <w:r w:rsidR="00D94AFF">
        <w:rPr>
          <w:sz w:val="20"/>
        </w:rPr>
        <w:t>both spurious requirements</w:t>
      </w:r>
      <w:r w:rsidRPr="00CD459F">
        <w:rPr>
          <w:sz w:val="20"/>
        </w:rPr>
        <w:t xml:space="preserve"> for PA1 for </w:t>
      </w:r>
      <w:r w:rsidR="008F5B8F">
        <w:rPr>
          <w:sz w:val="20"/>
        </w:rPr>
        <w:t>non-contiguous resource</w:t>
      </w:r>
      <w:r w:rsidR="00905470">
        <w:rPr>
          <w:sz w:val="20"/>
        </w:rPr>
        <w:t xml:space="preserve"> </w:t>
      </w:r>
      <w:r w:rsidRPr="00CD459F">
        <w:rPr>
          <w:sz w:val="20"/>
        </w:rPr>
        <w:t xml:space="preserve">allocations for which </w:t>
      </w:r>
      <w:r w:rsidRPr="00CD459F">
        <w:rPr>
          <w:rFonts w:ascii="Symbol" w:hAnsi="Symbol"/>
          <w:sz w:val="20"/>
        </w:rPr>
        <w:t></w:t>
      </w:r>
      <w:r w:rsidRPr="00CD459F">
        <w:rPr>
          <w:sz w:val="20"/>
        </w:rPr>
        <w:t xml:space="preserve"> &lt; </w:t>
      </w:r>
      <w:r>
        <w:rPr>
          <w:sz w:val="20"/>
        </w:rPr>
        <w:t>59</w:t>
      </w:r>
      <w:r w:rsidRPr="00CD459F">
        <w:rPr>
          <w:sz w:val="20"/>
        </w:rPr>
        <w:t>.7 MHz.</w:t>
      </w:r>
    </w:p>
    <w:p w:rsidR="009C06FF" w:rsidRDefault="009C06FF" w:rsidP="00474958">
      <w:pPr>
        <w:jc w:val="center"/>
        <w:rPr>
          <w:sz w:val="20"/>
          <w:szCs w:val="22"/>
        </w:rPr>
      </w:pPr>
    </w:p>
    <w:p w:rsidR="009C06FF" w:rsidRDefault="002853D1" w:rsidP="00474958">
      <w:pPr>
        <w:jc w:val="center"/>
        <w:rPr>
          <w:sz w:val="20"/>
          <w:szCs w:val="22"/>
        </w:rPr>
      </w:pPr>
      <w:r w:rsidRPr="00D90972">
        <w:rPr>
          <w:sz w:val="20"/>
          <w:szCs w:val="22"/>
        </w:rPr>
        <w:pict>
          <v:shape id="_x0000_i1048" type="#_x0000_t75" style="width:5in;height:270.15pt">
            <v:imagedata r:id="rId41" o:title="FS_2CC_0dB_restriction_59"/>
          </v:shape>
        </w:pict>
      </w:r>
    </w:p>
    <w:p w:rsidR="009C06FF" w:rsidRDefault="009C06FF" w:rsidP="009C06FF">
      <w:pPr>
        <w:pStyle w:val="Caption"/>
        <w:ind w:left="1440" w:hanging="720"/>
        <w:rPr>
          <w:sz w:val="20"/>
        </w:rPr>
      </w:pPr>
      <w:r w:rsidRPr="00CD459F">
        <w:rPr>
          <w:sz w:val="20"/>
        </w:rPr>
        <w:t xml:space="preserve">Figure </w:t>
      </w:r>
      <w:r>
        <w:rPr>
          <w:sz w:val="20"/>
        </w:rPr>
        <w:t>6</w:t>
      </w:r>
      <w:r w:rsidRPr="00CD459F">
        <w:rPr>
          <w:sz w:val="20"/>
        </w:rPr>
        <w:t xml:space="preserve">: MPR needed to meet SEM, ACLR, and </w:t>
      </w:r>
      <w:r w:rsidR="00D94AFF">
        <w:rPr>
          <w:sz w:val="20"/>
        </w:rPr>
        <w:t>both spurious requirements</w:t>
      </w:r>
      <w:r w:rsidRPr="00CD459F">
        <w:rPr>
          <w:sz w:val="20"/>
        </w:rPr>
        <w:t xml:space="preserve"> for PA2 for </w:t>
      </w:r>
      <w:r w:rsidR="008F5B8F">
        <w:rPr>
          <w:sz w:val="20"/>
        </w:rPr>
        <w:t>non-contiguous resource</w:t>
      </w:r>
      <w:r w:rsidR="00905470">
        <w:rPr>
          <w:sz w:val="20"/>
        </w:rPr>
        <w:t xml:space="preserve"> </w:t>
      </w:r>
      <w:r w:rsidRPr="00CD459F">
        <w:rPr>
          <w:sz w:val="20"/>
        </w:rPr>
        <w:t xml:space="preserve">allocations for which </w:t>
      </w:r>
      <w:r w:rsidRPr="00CD459F">
        <w:rPr>
          <w:rFonts w:ascii="Symbol" w:hAnsi="Symbol"/>
          <w:sz w:val="20"/>
        </w:rPr>
        <w:t></w:t>
      </w:r>
      <w:r w:rsidRPr="00CD459F">
        <w:rPr>
          <w:sz w:val="20"/>
        </w:rPr>
        <w:t xml:space="preserve"> &lt; </w:t>
      </w:r>
      <w:r>
        <w:rPr>
          <w:sz w:val="20"/>
        </w:rPr>
        <w:t>59</w:t>
      </w:r>
      <w:r w:rsidRPr="00CD459F">
        <w:rPr>
          <w:sz w:val="20"/>
        </w:rPr>
        <w:t>.7 MHz.</w:t>
      </w:r>
    </w:p>
    <w:p w:rsidR="000C613B" w:rsidRDefault="000C613B" w:rsidP="00E35D44">
      <w:pPr>
        <w:rPr>
          <w:sz w:val="20"/>
          <w:szCs w:val="22"/>
        </w:rPr>
      </w:pPr>
    </w:p>
    <w:p w:rsidR="00D17DB0" w:rsidRDefault="00D17DB0" w:rsidP="00D17DB0">
      <w:pPr>
        <w:pStyle w:val="Heading2"/>
      </w:pPr>
      <w:r>
        <w:t xml:space="preserve">Comparisons with other simulation results </w:t>
      </w:r>
    </w:p>
    <w:p w:rsidR="00D17DB0" w:rsidRDefault="00D17DB0" w:rsidP="00D17DB0">
      <w:pPr>
        <w:rPr>
          <w:sz w:val="20"/>
          <w:szCs w:val="22"/>
        </w:rPr>
      </w:pPr>
      <w:r>
        <w:rPr>
          <w:sz w:val="20"/>
          <w:szCs w:val="22"/>
        </w:rPr>
        <w:t>The simulation results presented in RAN4#67bis in [</w:t>
      </w:r>
      <w:r w:rsidR="000E7A23">
        <w:rPr>
          <w:sz w:val="20"/>
          <w:szCs w:val="22"/>
        </w:rPr>
        <w:t>2</w:t>
      </w:r>
      <w:r>
        <w:rPr>
          <w:sz w:val="20"/>
          <w:szCs w:val="22"/>
        </w:rPr>
        <w:t>] show that slightly more MPR is needed than what is presented in this contribution.  In particular, the results in [</w:t>
      </w:r>
      <w:r w:rsidR="000E7A23">
        <w:rPr>
          <w:sz w:val="20"/>
          <w:szCs w:val="22"/>
        </w:rPr>
        <w:t>2</w:t>
      </w:r>
      <w:r>
        <w:rPr>
          <w:sz w:val="20"/>
          <w:szCs w:val="22"/>
        </w:rPr>
        <w:t xml:space="preserve">] show that even when the </w:t>
      </w:r>
      <w:r w:rsidR="00707D47">
        <w:rPr>
          <w:sz w:val="20"/>
          <w:szCs w:val="22"/>
        </w:rPr>
        <w:t>non-contiguous resource allocation</w:t>
      </w:r>
      <w:r>
        <w:rPr>
          <w:sz w:val="20"/>
          <w:szCs w:val="22"/>
        </w:rPr>
        <w:t xml:space="preserve">s are </w:t>
      </w:r>
      <w:r>
        <w:rPr>
          <w:sz w:val="20"/>
          <w:szCs w:val="22"/>
        </w:rPr>
        <w:lastRenderedPageBreak/>
        <w:t xml:space="preserve">constrained so that </w:t>
      </w:r>
      <w:r w:rsidRPr="00CD459F">
        <w:rPr>
          <w:position w:val="-4"/>
          <w:sz w:val="20"/>
          <w:szCs w:val="22"/>
        </w:rPr>
        <w:object w:dxaOrig="220" w:dyaOrig="260">
          <v:shape id="_x0000_i1049" type="#_x0000_t75" style="width:11.5pt;height:13.25pt" o:ole="">
            <v:imagedata r:id="rId10" o:title=""/>
          </v:shape>
          <o:OLEObject Type="Embed" ProgID="Equation.3" ShapeID="_x0000_i1049" DrawAspect="Content" ObjectID="_1442071179" r:id="rId42"/>
        </w:object>
      </w:r>
      <w:r w:rsidRPr="00CD459F">
        <w:rPr>
          <w:sz w:val="20"/>
          <w:szCs w:val="22"/>
        </w:rPr>
        <w:t xml:space="preserve">is less than </w:t>
      </w:r>
      <w:r w:rsidRPr="003D2891">
        <w:rPr>
          <w:position w:val="-14"/>
          <w:sz w:val="20"/>
        </w:rPr>
        <w:object w:dxaOrig="720" w:dyaOrig="380">
          <v:shape id="_x0000_i1050" type="#_x0000_t75" style="width:36.3pt;height:19pt" o:ole="">
            <v:imagedata r:id="rId21" o:title=""/>
          </v:shape>
          <o:OLEObject Type="Embed" ProgID="Equation.DSMT4" ShapeID="_x0000_i1050" DrawAspect="Content" ObjectID="_1442071180" r:id="rId43"/>
        </w:object>
      </w:r>
      <w:r>
        <w:rPr>
          <w:sz w:val="20"/>
        </w:rPr>
        <w:t>, as</w:t>
      </w:r>
      <w:r>
        <w:rPr>
          <w:sz w:val="20"/>
          <w:szCs w:val="22"/>
        </w:rPr>
        <w:t xml:space="preserve"> much as 5.5 dB MPR can still be needed to meet the SEM requirement.   In Figures 7 and 8, results are presented showing the MPR needed to meet the SEM for the two PA models used in this contribution.  The largest MPR needed to meet the SEM was 4.5 dB for PA1 and 4 dB for PA2, so that the overall maximum value was 4.5 dB.  This value is still 1 dB less than the</w:t>
      </w:r>
      <w:r w:rsidR="000E7A23">
        <w:rPr>
          <w:sz w:val="20"/>
          <w:szCs w:val="22"/>
        </w:rPr>
        <w:t xml:space="preserve"> value of 5.5 dB in [3], but this</w:t>
      </w:r>
      <w:r>
        <w:rPr>
          <w:sz w:val="20"/>
          <w:szCs w:val="22"/>
        </w:rPr>
        <w:t xml:space="preserve"> difference is presumably due to</w:t>
      </w:r>
      <w:r w:rsidR="00770035">
        <w:rPr>
          <w:sz w:val="20"/>
          <w:szCs w:val="22"/>
        </w:rPr>
        <w:t xml:space="preserve"> the use of different PA models in this contribution than in [3].</w:t>
      </w:r>
    </w:p>
    <w:p w:rsidR="00D17DB0" w:rsidRDefault="00D17DB0" w:rsidP="00D17DB0">
      <w:pPr>
        <w:rPr>
          <w:sz w:val="20"/>
          <w:szCs w:val="22"/>
        </w:rPr>
      </w:pPr>
    </w:p>
    <w:p w:rsidR="00D17DB0" w:rsidRDefault="00D17DB0" w:rsidP="00D17DB0">
      <w:pPr>
        <w:rPr>
          <w:sz w:val="20"/>
          <w:szCs w:val="22"/>
        </w:rPr>
      </w:pPr>
      <w:r>
        <w:rPr>
          <w:sz w:val="20"/>
          <w:szCs w:val="22"/>
        </w:rPr>
        <w:t xml:space="preserve">We next consider the MPR needed to meet the SEM for </w:t>
      </w:r>
      <w:r w:rsidR="00707D47">
        <w:rPr>
          <w:sz w:val="20"/>
          <w:szCs w:val="22"/>
        </w:rPr>
        <w:t>non-contiguous resource allocation</w:t>
      </w:r>
      <w:r>
        <w:rPr>
          <w:sz w:val="20"/>
          <w:szCs w:val="22"/>
        </w:rPr>
        <w:t xml:space="preserve">s for which </w:t>
      </w:r>
      <w:r w:rsidRPr="00CD459F">
        <w:rPr>
          <w:position w:val="-4"/>
          <w:sz w:val="20"/>
          <w:szCs w:val="22"/>
        </w:rPr>
        <w:object w:dxaOrig="220" w:dyaOrig="260">
          <v:shape id="_x0000_i1051" type="#_x0000_t75" style="width:11.5pt;height:13.25pt" o:ole="">
            <v:imagedata r:id="rId10" o:title=""/>
          </v:shape>
          <o:OLEObject Type="Embed" ProgID="Equation.3" ShapeID="_x0000_i1051" DrawAspect="Content" ObjectID="_1442071181" r:id="rId44"/>
        </w:object>
      </w:r>
      <w:r>
        <w:rPr>
          <w:sz w:val="20"/>
          <w:szCs w:val="22"/>
        </w:rPr>
        <w:t xml:space="preserve"> is constrained to be less then </w:t>
      </w:r>
      <w:r w:rsidRPr="00E50B38">
        <w:rPr>
          <w:position w:val="-14"/>
          <w:sz w:val="20"/>
        </w:rPr>
        <w:object w:dxaOrig="660" w:dyaOrig="380">
          <v:shape id="_x0000_i1052" type="#_x0000_t75" style="width:32.85pt;height:19pt" o:ole="">
            <v:imagedata r:id="rId28" o:title=""/>
          </v:shape>
          <o:OLEObject Type="Embed" ProgID="Equation.DSMT4" ShapeID="_x0000_i1052" DrawAspect="Content" ObjectID="_1442071182" r:id="rId45"/>
        </w:object>
      </w:r>
      <w:r>
        <w:rPr>
          <w:sz w:val="20"/>
        </w:rPr>
        <w:t>, so that the fifth order IM’s do not reach the out</w:t>
      </w:r>
      <w:r w:rsidR="00E61331">
        <w:rPr>
          <w:sz w:val="20"/>
        </w:rPr>
        <w:t>er</w:t>
      </w:r>
      <w:r>
        <w:rPr>
          <w:sz w:val="20"/>
        </w:rPr>
        <w:t>most 5 MHz of the SEM where the emissi</w:t>
      </w:r>
      <w:r w:rsidR="000E7A23">
        <w:rPr>
          <w:sz w:val="20"/>
        </w:rPr>
        <w:t>ons requirement is -25 dBm/MHz.  W</w:t>
      </w:r>
      <w:r w:rsidR="000E7A23">
        <w:rPr>
          <w:sz w:val="20"/>
          <w:szCs w:val="22"/>
        </w:rPr>
        <w:t xml:space="preserve">ith this restriction on </w:t>
      </w:r>
      <w:r w:rsidR="000E7A23" w:rsidRPr="00CD459F">
        <w:rPr>
          <w:position w:val="-4"/>
          <w:sz w:val="20"/>
          <w:szCs w:val="22"/>
        </w:rPr>
        <w:object w:dxaOrig="220" w:dyaOrig="260">
          <v:shape id="_x0000_i1053" type="#_x0000_t75" style="width:11.5pt;height:13.25pt" o:ole="">
            <v:imagedata r:id="rId10" o:title=""/>
          </v:shape>
          <o:OLEObject Type="Embed" ProgID="Equation.3" ShapeID="_x0000_i1053" DrawAspect="Content" ObjectID="_1442071183" r:id="rId46"/>
        </w:object>
      </w:r>
      <w:r w:rsidR="000E7A23">
        <w:rPr>
          <w:sz w:val="20"/>
          <w:szCs w:val="22"/>
        </w:rPr>
        <w:t>, t</w:t>
      </w:r>
      <w:r>
        <w:rPr>
          <w:sz w:val="20"/>
          <w:szCs w:val="22"/>
        </w:rPr>
        <w:t xml:space="preserve">he MPR needed to meet the SEM for </w:t>
      </w:r>
      <w:r w:rsidR="00707D47">
        <w:rPr>
          <w:sz w:val="20"/>
          <w:szCs w:val="22"/>
        </w:rPr>
        <w:t>non-contiguous resource allocation</w:t>
      </w:r>
      <w:r>
        <w:rPr>
          <w:sz w:val="20"/>
          <w:szCs w:val="22"/>
        </w:rPr>
        <w:t xml:space="preserve">s is shown in Figures 9 and 10 for PA’s 1 and 2, respectively.  From these </w:t>
      </w:r>
      <w:r w:rsidR="008F2F4E">
        <w:rPr>
          <w:sz w:val="20"/>
          <w:szCs w:val="22"/>
        </w:rPr>
        <w:t xml:space="preserve">simulation </w:t>
      </w:r>
      <w:r>
        <w:rPr>
          <w:sz w:val="20"/>
          <w:szCs w:val="22"/>
        </w:rPr>
        <w:t>results, it can be observed that the maximum MPR needed to meet the SEM is approximately 3.</w:t>
      </w:r>
      <w:r w:rsidR="00E904D5">
        <w:rPr>
          <w:sz w:val="20"/>
          <w:szCs w:val="22"/>
        </w:rPr>
        <w:t>6</w:t>
      </w:r>
      <w:r>
        <w:rPr>
          <w:sz w:val="20"/>
          <w:szCs w:val="22"/>
        </w:rPr>
        <w:t xml:space="preserve"> dB for both PA1 and PA2.</w:t>
      </w:r>
    </w:p>
    <w:p w:rsidR="00D17DB0" w:rsidRDefault="00D17DB0" w:rsidP="00D17DB0">
      <w:pPr>
        <w:rPr>
          <w:sz w:val="20"/>
          <w:szCs w:val="22"/>
        </w:rPr>
      </w:pPr>
    </w:p>
    <w:p w:rsidR="00D551E1" w:rsidRDefault="002853D1" w:rsidP="00D551E1">
      <w:pPr>
        <w:jc w:val="center"/>
        <w:rPr>
          <w:sz w:val="20"/>
          <w:szCs w:val="22"/>
        </w:rPr>
      </w:pPr>
      <w:r w:rsidRPr="00D90972">
        <w:rPr>
          <w:sz w:val="20"/>
          <w:szCs w:val="22"/>
        </w:rPr>
        <w:pict>
          <v:shape id="_x0000_i1054" type="#_x0000_t75" style="width:5in;height:270.15pt">
            <v:imagedata r:id="rId47" o:title="FJ_2CC_0dB_SEM"/>
          </v:shape>
        </w:pict>
      </w:r>
    </w:p>
    <w:p w:rsidR="00A51E72" w:rsidRDefault="00D551E1" w:rsidP="00A51E72">
      <w:pPr>
        <w:pStyle w:val="Caption"/>
        <w:ind w:left="1440" w:hanging="720"/>
        <w:jc w:val="center"/>
        <w:rPr>
          <w:sz w:val="20"/>
        </w:rPr>
      </w:pPr>
      <w:r w:rsidRPr="00CD459F">
        <w:rPr>
          <w:sz w:val="20"/>
        </w:rPr>
        <w:t xml:space="preserve">Figure </w:t>
      </w:r>
      <w:r>
        <w:rPr>
          <w:sz w:val="20"/>
        </w:rPr>
        <w:t>7</w:t>
      </w:r>
      <w:r w:rsidRPr="00CD459F">
        <w:rPr>
          <w:sz w:val="20"/>
        </w:rPr>
        <w:t xml:space="preserve">: MPR needed to meet SEM for </w:t>
      </w:r>
      <w:r>
        <w:rPr>
          <w:sz w:val="20"/>
        </w:rPr>
        <w:t>PA1</w:t>
      </w:r>
      <w:r w:rsidRPr="00CD459F">
        <w:rPr>
          <w:sz w:val="20"/>
        </w:rPr>
        <w:t>.</w:t>
      </w:r>
    </w:p>
    <w:p w:rsidR="00A51E72" w:rsidRPr="00A51E72" w:rsidRDefault="00A51E72" w:rsidP="00A51E72"/>
    <w:p w:rsidR="00D551E1" w:rsidRDefault="00D551E1" w:rsidP="00D551E1">
      <w:pPr>
        <w:pStyle w:val="Heading1"/>
        <w:spacing w:after="120"/>
        <w:jc w:val="both"/>
        <w:rPr>
          <w:b/>
          <w:color w:val="000000"/>
        </w:rPr>
      </w:pPr>
      <w:r>
        <w:rPr>
          <w:b/>
          <w:color w:val="000000"/>
        </w:rPr>
        <w:t xml:space="preserve">Proposed Modification of </w:t>
      </w:r>
      <w:r w:rsidR="00707D47">
        <w:rPr>
          <w:b/>
          <w:color w:val="000000"/>
        </w:rPr>
        <w:t>Non-Contiguous Resource Allocation</w:t>
      </w:r>
      <w:r>
        <w:rPr>
          <w:b/>
          <w:color w:val="000000"/>
        </w:rPr>
        <w:t xml:space="preserve"> MPR for Contiguous CA</w:t>
      </w:r>
    </w:p>
    <w:p w:rsidR="00D551E1" w:rsidRDefault="00D551E1" w:rsidP="00D551E1">
      <w:pPr>
        <w:rPr>
          <w:sz w:val="20"/>
        </w:rPr>
      </w:pPr>
      <w:r>
        <w:rPr>
          <w:sz w:val="20"/>
          <w:szCs w:val="22"/>
        </w:rPr>
        <w:t xml:space="preserve">Based on the simulation results in Figures 3 and 4 above, it was proposed </w:t>
      </w:r>
      <w:r w:rsidR="00770035">
        <w:rPr>
          <w:sz w:val="20"/>
          <w:szCs w:val="22"/>
        </w:rPr>
        <w:t xml:space="preserve">previously </w:t>
      </w:r>
      <w:r>
        <w:rPr>
          <w:sz w:val="20"/>
          <w:szCs w:val="22"/>
        </w:rPr>
        <w:t xml:space="preserve">that the MPR be limited to 4.5 dB for </w:t>
      </w:r>
      <w:r w:rsidR="00707D47">
        <w:rPr>
          <w:sz w:val="20"/>
          <w:szCs w:val="22"/>
        </w:rPr>
        <w:t>non-contiguous resource allocation</w:t>
      </w:r>
      <w:r w:rsidRPr="00CD459F">
        <w:rPr>
          <w:sz w:val="20"/>
          <w:szCs w:val="22"/>
        </w:rPr>
        <w:t xml:space="preserve">s for which </w:t>
      </w:r>
      <w:r w:rsidRPr="00CD459F">
        <w:rPr>
          <w:position w:val="-4"/>
          <w:sz w:val="20"/>
          <w:szCs w:val="22"/>
        </w:rPr>
        <w:object w:dxaOrig="220" w:dyaOrig="260">
          <v:shape id="_x0000_i1055" type="#_x0000_t75" style="width:11.5pt;height:13.25pt" o:ole="">
            <v:imagedata r:id="rId10" o:title=""/>
          </v:shape>
          <o:OLEObject Type="Embed" ProgID="Equation.3" ShapeID="_x0000_i1055" DrawAspect="Content" ObjectID="_1442071184" r:id="rId48"/>
        </w:object>
      </w:r>
      <w:r w:rsidRPr="00CD459F">
        <w:rPr>
          <w:sz w:val="20"/>
          <w:szCs w:val="22"/>
        </w:rPr>
        <w:t xml:space="preserve">is less than </w:t>
      </w:r>
      <w:r w:rsidRPr="003D2891">
        <w:rPr>
          <w:position w:val="-14"/>
          <w:sz w:val="20"/>
        </w:rPr>
        <w:object w:dxaOrig="720" w:dyaOrig="380">
          <v:shape id="_x0000_i1056" type="#_x0000_t75" style="width:36.3pt;height:19pt" o:ole="">
            <v:imagedata r:id="rId21" o:title=""/>
          </v:shape>
          <o:OLEObject Type="Embed" ProgID="Equation.DSMT4" ShapeID="_x0000_i1056" DrawAspect="Content" ObjectID="_1442071185" r:id="rId49"/>
        </w:object>
      </w:r>
      <w:r w:rsidRPr="00CD459F">
        <w:rPr>
          <w:sz w:val="20"/>
          <w:szCs w:val="22"/>
        </w:rPr>
        <w:t>.</w:t>
      </w:r>
      <w:r>
        <w:rPr>
          <w:sz w:val="20"/>
          <w:szCs w:val="22"/>
        </w:rPr>
        <w:t xml:space="preserve">  </w:t>
      </w:r>
      <w:r>
        <w:rPr>
          <w:sz w:val="20"/>
        </w:rPr>
        <w:t xml:space="preserve">In order to reflect the simulation results in [3], this proposal </w:t>
      </w:r>
      <w:r w:rsidR="00770035">
        <w:rPr>
          <w:sz w:val="20"/>
        </w:rPr>
        <w:t>was modified in [1]</w:t>
      </w:r>
      <w:r>
        <w:rPr>
          <w:sz w:val="20"/>
        </w:rPr>
        <w:t xml:space="preserve"> so that the maximum allowed MPR for these </w:t>
      </w:r>
      <w:r w:rsidR="00707D47">
        <w:rPr>
          <w:sz w:val="20"/>
        </w:rPr>
        <w:t>non-contiguous resource allocation</w:t>
      </w:r>
      <w:r>
        <w:rPr>
          <w:sz w:val="20"/>
        </w:rPr>
        <w:t>s is 5.5 dB</w:t>
      </w:r>
      <w:r w:rsidR="003B147F">
        <w:rPr>
          <w:sz w:val="20"/>
        </w:rPr>
        <w:t xml:space="preserve"> as in the following proposal.</w:t>
      </w:r>
    </w:p>
    <w:p w:rsidR="00392ED1" w:rsidRPr="00CD459F" w:rsidRDefault="00392ED1" w:rsidP="00D551E1">
      <w:pPr>
        <w:rPr>
          <w:sz w:val="20"/>
          <w:szCs w:val="22"/>
        </w:rPr>
      </w:pPr>
    </w:p>
    <w:p w:rsidR="00D551E1" w:rsidRPr="00CD459F" w:rsidRDefault="00D551E1" w:rsidP="00D551E1">
      <w:pPr>
        <w:rPr>
          <w:b/>
          <w:sz w:val="20"/>
          <w:szCs w:val="22"/>
        </w:rPr>
      </w:pPr>
      <w:r w:rsidRPr="00CD459F">
        <w:rPr>
          <w:b/>
          <w:sz w:val="20"/>
          <w:szCs w:val="22"/>
        </w:rPr>
        <w:t>Proposal</w:t>
      </w:r>
      <w:r>
        <w:rPr>
          <w:b/>
          <w:sz w:val="20"/>
          <w:szCs w:val="22"/>
        </w:rPr>
        <w:t xml:space="preserve"> 1</w:t>
      </w:r>
      <w:r w:rsidRPr="00CD459F">
        <w:rPr>
          <w:b/>
          <w:sz w:val="20"/>
          <w:szCs w:val="22"/>
        </w:rPr>
        <w:t xml:space="preserve">: </w:t>
      </w:r>
    </w:p>
    <w:p w:rsidR="00D551E1" w:rsidRPr="00CD459F" w:rsidRDefault="00D551E1" w:rsidP="00D551E1">
      <w:pPr>
        <w:ind w:left="720"/>
        <w:rPr>
          <w:b/>
          <w:sz w:val="20"/>
          <w:szCs w:val="22"/>
        </w:rPr>
      </w:pPr>
      <w:r w:rsidRPr="00CD459F">
        <w:rPr>
          <w:b/>
          <w:sz w:val="20"/>
          <w:szCs w:val="22"/>
        </w:rPr>
        <w:t xml:space="preserve">For contiguous intra-band carrier aggregation of two component carriers, the MPR for any </w:t>
      </w:r>
      <w:r w:rsidR="008F5B8F">
        <w:rPr>
          <w:b/>
          <w:sz w:val="20"/>
          <w:szCs w:val="22"/>
        </w:rPr>
        <w:t>non-contiguous resource</w:t>
      </w:r>
      <w:r w:rsidRPr="00CD459F">
        <w:rPr>
          <w:b/>
          <w:sz w:val="20"/>
          <w:szCs w:val="22"/>
        </w:rPr>
        <w:t xml:space="preserve"> allocation for which </w:t>
      </w:r>
    </w:p>
    <w:p w:rsidR="00D551E1" w:rsidRPr="00CD459F" w:rsidRDefault="00D551E1" w:rsidP="00D551E1">
      <w:pPr>
        <w:ind w:left="720"/>
        <w:jc w:val="center"/>
        <w:rPr>
          <w:b/>
          <w:sz w:val="20"/>
          <w:szCs w:val="22"/>
        </w:rPr>
      </w:pPr>
      <w:r w:rsidRPr="00CD459F">
        <w:rPr>
          <w:position w:val="-24"/>
          <w:sz w:val="20"/>
          <w:szCs w:val="22"/>
        </w:rPr>
        <w:object w:dxaOrig="2380" w:dyaOrig="660">
          <v:shape id="_x0000_i1057" type="#_x0000_t75" style="width:118.65pt;height:34pt" o:ole="">
            <v:imagedata r:id="rId50" o:title=""/>
          </v:shape>
          <o:OLEObject Type="Embed" ProgID="Equation.DSMT4" ShapeID="_x0000_i1057" DrawAspect="Content" ObjectID="_1442071186" r:id="rId51"/>
        </w:object>
      </w:r>
      <w:r w:rsidRPr="00CD459F">
        <w:rPr>
          <w:sz w:val="20"/>
          <w:szCs w:val="22"/>
        </w:rPr>
        <w:t>,</w:t>
      </w:r>
    </w:p>
    <w:p w:rsidR="00D551E1" w:rsidRDefault="00D551E1" w:rsidP="00D551E1">
      <w:pPr>
        <w:ind w:left="720"/>
        <w:rPr>
          <w:b/>
          <w:sz w:val="20"/>
          <w:szCs w:val="22"/>
        </w:rPr>
      </w:pPr>
      <w:r w:rsidRPr="00CD459F">
        <w:rPr>
          <w:b/>
          <w:sz w:val="20"/>
          <w:szCs w:val="22"/>
        </w:rPr>
        <w:t xml:space="preserve">MPR is limited to the minimum of the MPR currently specified in Section 6.2.3A and </w:t>
      </w:r>
      <w:r w:rsidRPr="00DA199B">
        <w:rPr>
          <w:b/>
          <w:sz w:val="20"/>
          <w:szCs w:val="22"/>
        </w:rPr>
        <w:t>5.5</w:t>
      </w:r>
      <w:r w:rsidRPr="00CD459F">
        <w:rPr>
          <w:b/>
          <w:sz w:val="20"/>
          <w:szCs w:val="22"/>
        </w:rPr>
        <w:t xml:space="preserve"> dB.</w:t>
      </w:r>
    </w:p>
    <w:p w:rsidR="00D551E1" w:rsidRDefault="00D551E1" w:rsidP="00D551E1">
      <w:pPr>
        <w:rPr>
          <w:sz w:val="20"/>
          <w:szCs w:val="22"/>
        </w:rPr>
      </w:pPr>
    </w:p>
    <w:p w:rsidR="00D551E1" w:rsidRDefault="002853D1" w:rsidP="00D551E1">
      <w:pPr>
        <w:jc w:val="center"/>
        <w:rPr>
          <w:sz w:val="20"/>
          <w:szCs w:val="22"/>
        </w:rPr>
      </w:pPr>
      <w:r w:rsidRPr="00D90972">
        <w:rPr>
          <w:sz w:val="20"/>
          <w:szCs w:val="22"/>
        </w:rPr>
        <w:lastRenderedPageBreak/>
        <w:pict>
          <v:shape id="_x0000_i1058" type="#_x0000_t75" style="width:5in;height:270.15pt">
            <v:imagedata r:id="rId52" o:title="FS_2CC_0dB_SEM"/>
          </v:shape>
        </w:pict>
      </w:r>
    </w:p>
    <w:p w:rsidR="00D551E1" w:rsidRPr="000C613B" w:rsidRDefault="00D551E1" w:rsidP="00D551E1">
      <w:pPr>
        <w:pStyle w:val="Caption"/>
        <w:ind w:left="1440" w:hanging="720"/>
        <w:jc w:val="center"/>
        <w:rPr>
          <w:sz w:val="20"/>
        </w:rPr>
      </w:pPr>
      <w:r w:rsidRPr="00CD459F">
        <w:rPr>
          <w:sz w:val="20"/>
        </w:rPr>
        <w:t xml:space="preserve">Figure </w:t>
      </w:r>
      <w:r>
        <w:rPr>
          <w:sz w:val="20"/>
        </w:rPr>
        <w:t>8</w:t>
      </w:r>
      <w:r w:rsidRPr="00CD459F">
        <w:rPr>
          <w:sz w:val="20"/>
        </w:rPr>
        <w:t>: MPR needed to meet SEM for PA</w:t>
      </w:r>
      <w:r>
        <w:rPr>
          <w:sz w:val="20"/>
        </w:rPr>
        <w:t>2</w:t>
      </w:r>
      <w:r w:rsidRPr="00CD459F">
        <w:rPr>
          <w:sz w:val="20"/>
        </w:rPr>
        <w:t>.</w:t>
      </w:r>
    </w:p>
    <w:p w:rsidR="00D551E1" w:rsidRDefault="002853D1" w:rsidP="00D551E1">
      <w:pPr>
        <w:jc w:val="center"/>
        <w:rPr>
          <w:sz w:val="20"/>
          <w:szCs w:val="22"/>
        </w:rPr>
      </w:pPr>
      <w:r w:rsidRPr="00D90972">
        <w:rPr>
          <w:sz w:val="20"/>
          <w:szCs w:val="22"/>
        </w:rPr>
        <w:pict>
          <v:shape id="_x0000_i1059" type="#_x0000_t75" style="width:5in;height:270.15pt">
            <v:imagedata r:id="rId53" o:title="FJ_2CC_0dB_SEM_Delta_59"/>
          </v:shape>
        </w:pict>
      </w:r>
    </w:p>
    <w:p w:rsidR="00D551E1" w:rsidRDefault="0083671C" w:rsidP="0083671C">
      <w:pPr>
        <w:jc w:val="center"/>
        <w:rPr>
          <w:sz w:val="20"/>
        </w:rPr>
      </w:pPr>
      <w:r w:rsidRPr="000C613B">
        <w:rPr>
          <w:b/>
          <w:sz w:val="20"/>
        </w:rPr>
        <w:t xml:space="preserve">Figure </w:t>
      </w:r>
      <w:r>
        <w:rPr>
          <w:b/>
          <w:sz w:val="20"/>
        </w:rPr>
        <w:t>9</w:t>
      </w:r>
      <w:r w:rsidRPr="000C613B">
        <w:rPr>
          <w:b/>
          <w:sz w:val="20"/>
        </w:rPr>
        <w:t>: MPR needed to meet SEM for PA</w:t>
      </w:r>
      <w:r>
        <w:rPr>
          <w:b/>
          <w:sz w:val="20"/>
        </w:rPr>
        <w:t>1</w:t>
      </w:r>
      <w:r w:rsidRPr="000C613B">
        <w:rPr>
          <w:b/>
          <w:sz w:val="20"/>
        </w:rPr>
        <w:t xml:space="preserve"> for </w:t>
      </w:r>
      <w:r>
        <w:rPr>
          <w:b/>
          <w:sz w:val="20"/>
        </w:rPr>
        <w:t xml:space="preserve">non-contiguous resource </w:t>
      </w:r>
      <w:r w:rsidRPr="000C613B">
        <w:rPr>
          <w:b/>
          <w:sz w:val="20"/>
        </w:rPr>
        <w:t xml:space="preserve">allocations for which </w:t>
      </w:r>
      <w:r w:rsidRPr="000C613B">
        <w:rPr>
          <w:rFonts w:ascii="Symbol" w:hAnsi="Symbol"/>
          <w:b/>
          <w:sz w:val="20"/>
        </w:rPr>
        <w:t></w:t>
      </w:r>
      <w:r w:rsidRPr="000C613B">
        <w:rPr>
          <w:b/>
          <w:sz w:val="20"/>
        </w:rPr>
        <w:t xml:space="preserve"> &lt; 59.7 MHz</w:t>
      </w:r>
      <w:r w:rsidR="00D551E1" w:rsidRPr="00CD459F">
        <w:rPr>
          <w:sz w:val="20"/>
        </w:rPr>
        <w:t>.</w:t>
      </w:r>
    </w:p>
    <w:p w:rsidR="00A41DB9" w:rsidRDefault="00A41DB9" w:rsidP="0083671C">
      <w:pPr>
        <w:jc w:val="center"/>
        <w:rPr>
          <w:sz w:val="20"/>
        </w:rPr>
      </w:pPr>
    </w:p>
    <w:p w:rsidR="00A41DB9" w:rsidRDefault="00A41DB9" w:rsidP="00A41DB9">
      <w:pPr>
        <w:rPr>
          <w:sz w:val="20"/>
          <w:szCs w:val="22"/>
        </w:rPr>
      </w:pPr>
    </w:p>
    <w:p w:rsidR="00A41DB9" w:rsidRDefault="00A41DB9" w:rsidP="00A41DB9">
      <w:pPr>
        <w:rPr>
          <w:sz w:val="20"/>
        </w:rPr>
      </w:pPr>
      <w:r>
        <w:rPr>
          <w:sz w:val="20"/>
          <w:szCs w:val="22"/>
        </w:rPr>
        <w:t xml:space="preserve">We next consider that MPR can be further reduced if we restrict the set of non-contiguous resource allocations with the requirement that </w:t>
      </w:r>
      <w:r w:rsidRPr="00CD459F">
        <w:rPr>
          <w:position w:val="-4"/>
          <w:sz w:val="20"/>
          <w:szCs w:val="22"/>
        </w:rPr>
        <w:object w:dxaOrig="220" w:dyaOrig="260">
          <v:shape id="_x0000_i1060" type="#_x0000_t75" style="width:11.5pt;height:13.25pt" o:ole="">
            <v:imagedata r:id="rId10" o:title=""/>
          </v:shape>
          <o:OLEObject Type="Embed" ProgID="Equation.3" ShapeID="_x0000_i1060" DrawAspect="Content" ObjectID="_1442071187" r:id="rId54"/>
        </w:object>
      </w:r>
      <w:r>
        <w:rPr>
          <w:sz w:val="20"/>
          <w:szCs w:val="22"/>
        </w:rPr>
        <w:t xml:space="preserve"> be less than </w:t>
      </w:r>
      <w:r w:rsidRPr="00E50B38">
        <w:rPr>
          <w:position w:val="-14"/>
          <w:sz w:val="20"/>
        </w:rPr>
        <w:object w:dxaOrig="660" w:dyaOrig="380">
          <v:shape id="_x0000_i1061" type="#_x0000_t75" style="width:32.85pt;height:19pt" o:ole="">
            <v:imagedata r:id="rId28" o:title=""/>
          </v:shape>
          <o:OLEObject Type="Embed" ProgID="Equation.DSMT4" ShapeID="_x0000_i1061" DrawAspect="Content" ObjectID="_1442071188" r:id="rId55"/>
        </w:object>
      </w:r>
      <w:r>
        <w:rPr>
          <w:sz w:val="20"/>
        </w:rPr>
        <w:t xml:space="preserve">.  </w:t>
      </w:r>
      <w:r>
        <w:rPr>
          <w:sz w:val="20"/>
          <w:szCs w:val="22"/>
        </w:rPr>
        <w:t>Based on the fact that MPR</w:t>
      </w:r>
      <w:r>
        <w:rPr>
          <w:sz w:val="20"/>
        </w:rPr>
        <w:t xml:space="preserve"> was reduced from a maximum of 4.5 dB in Figures 3 and 4 to a maximum of 4 dB in Figures 5 and 6, we propose that MPR be limited to 4.5 dB for non-contiguous resource allocations for which </w:t>
      </w:r>
      <w:r w:rsidRPr="00CD459F">
        <w:rPr>
          <w:position w:val="-4"/>
          <w:sz w:val="20"/>
          <w:szCs w:val="22"/>
        </w:rPr>
        <w:object w:dxaOrig="220" w:dyaOrig="260">
          <v:shape id="_x0000_i1062" type="#_x0000_t75" style="width:11.5pt;height:13.25pt" o:ole="">
            <v:imagedata r:id="rId10" o:title=""/>
          </v:shape>
          <o:OLEObject Type="Embed" ProgID="Equation.3" ShapeID="_x0000_i1062" DrawAspect="Content" ObjectID="_1442071189" r:id="rId56"/>
        </w:object>
      </w:r>
      <w:r>
        <w:rPr>
          <w:sz w:val="20"/>
          <w:szCs w:val="22"/>
        </w:rPr>
        <w:t xml:space="preserve"> is less than </w:t>
      </w:r>
      <w:r w:rsidRPr="00E50B38">
        <w:rPr>
          <w:position w:val="-14"/>
          <w:sz w:val="20"/>
        </w:rPr>
        <w:object w:dxaOrig="660" w:dyaOrig="380">
          <v:shape id="_x0000_i1063" type="#_x0000_t75" style="width:32.85pt;height:19pt" o:ole="">
            <v:imagedata r:id="rId28" o:title=""/>
          </v:shape>
          <o:OLEObject Type="Embed" ProgID="Equation.DSMT4" ShapeID="_x0000_i1063" DrawAspect="Content" ObjectID="_1442071190" r:id="rId57"/>
        </w:object>
      </w:r>
      <w:r>
        <w:rPr>
          <w:sz w:val="20"/>
        </w:rPr>
        <w:t xml:space="preserve"> as in </w:t>
      </w:r>
      <w:r w:rsidR="00875EDA">
        <w:rPr>
          <w:sz w:val="20"/>
        </w:rPr>
        <w:t>the following proposal.</w:t>
      </w:r>
    </w:p>
    <w:p w:rsidR="00A41DB9" w:rsidRPr="0083671C" w:rsidRDefault="00A41DB9" w:rsidP="00A41DB9">
      <w:pPr>
        <w:rPr>
          <w:b/>
          <w:sz w:val="20"/>
          <w:szCs w:val="22"/>
        </w:rPr>
      </w:pPr>
    </w:p>
    <w:p w:rsidR="00D551E1" w:rsidRPr="000C613B" w:rsidRDefault="002853D1" w:rsidP="00D551E1">
      <w:pPr>
        <w:pStyle w:val="Caption"/>
        <w:ind w:left="1440" w:hanging="720"/>
        <w:jc w:val="center"/>
        <w:rPr>
          <w:sz w:val="20"/>
        </w:rPr>
      </w:pPr>
      <w:r w:rsidRPr="00D90972">
        <w:rPr>
          <w:sz w:val="20"/>
        </w:rPr>
        <w:lastRenderedPageBreak/>
        <w:pict>
          <v:shape id="_x0000_i1064" type="#_x0000_t75" style="width:5in;height:270.15pt">
            <v:imagedata r:id="rId58" o:title="FS_2CC_0dB_SEM_Delta_59"/>
          </v:shape>
        </w:pict>
      </w:r>
      <w:r w:rsidR="00D551E1" w:rsidRPr="00CD459F">
        <w:rPr>
          <w:sz w:val="20"/>
        </w:rPr>
        <w:t>.</w:t>
      </w:r>
    </w:p>
    <w:p w:rsidR="00D551E1" w:rsidRPr="000C613B" w:rsidRDefault="00D551E1" w:rsidP="00D551E1">
      <w:pPr>
        <w:jc w:val="center"/>
        <w:rPr>
          <w:b/>
          <w:sz w:val="20"/>
          <w:szCs w:val="22"/>
        </w:rPr>
      </w:pPr>
      <w:r w:rsidRPr="000C613B">
        <w:rPr>
          <w:b/>
          <w:sz w:val="20"/>
        </w:rPr>
        <w:t xml:space="preserve">Figure 10: MPR needed to meet SEM for PA2 for </w:t>
      </w:r>
      <w:r w:rsidR="008F5B8F">
        <w:rPr>
          <w:b/>
          <w:sz w:val="20"/>
        </w:rPr>
        <w:t>non-contiguous resource</w:t>
      </w:r>
      <w:r w:rsidR="00905470">
        <w:rPr>
          <w:b/>
          <w:sz w:val="20"/>
        </w:rPr>
        <w:t xml:space="preserve"> </w:t>
      </w:r>
      <w:r w:rsidRPr="000C613B">
        <w:rPr>
          <w:b/>
          <w:sz w:val="20"/>
        </w:rPr>
        <w:t xml:space="preserve">allocations for which </w:t>
      </w:r>
      <w:r w:rsidRPr="000C613B">
        <w:rPr>
          <w:rFonts w:ascii="Symbol" w:hAnsi="Symbol"/>
          <w:b/>
          <w:sz w:val="20"/>
        </w:rPr>
        <w:t></w:t>
      </w:r>
      <w:r w:rsidRPr="000C613B">
        <w:rPr>
          <w:b/>
          <w:sz w:val="20"/>
        </w:rPr>
        <w:t xml:space="preserve"> &lt; 59.7 MHz.</w:t>
      </w:r>
    </w:p>
    <w:p w:rsidR="00450EA9" w:rsidRDefault="00450EA9" w:rsidP="00605CD0">
      <w:pPr>
        <w:rPr>
          <w:sz w:val="20"/>
          <w:szCs w:val="22"/>
        </w:rPr>
      </w:pPr>
    </w:p>
    <w:p w:rsidR="00605CD0" w:rsidRDefault="00605CD0" w:rsidP="00605CD0">
      <w:pPr>
        <w:rPr>
          <w:sz w:val="20"/>
        </w:rPr>
      </w:pPr>
    </w:p>
    <w:p w:rsidR="00A41DB9" w:rsidRDefault="00A41DB9" w:rsidP="00605CD0">
      <w:pPr>
        <w:rPr>
          <w:sz w:val="20"/>
        </w:rPr>
      </w:pPr>
    </w:p>
    <w:p w:rsidR="00605CD0" w:rsidRPr="00CD459F" w:rsidRDefault="00605CD0" w:rsidP="00605CD0">
      <w:pPr>
        <w:rPr>
          <w:b/>
          <w:sz w:val="20"/>
          <w:szCs w:val="22"/>
        </w:rPr>
      </w:pPr>
      <w:r w:rsidRPr="00CD459F">
        <w:rPr>
          <w:b/>
          <w:sz w:val="20"/>
          <w:szCs w:val="22"/>
        </w:rPr>
        <w:t>Proposal</w:t>
      </w:r>
      <w:r>
        <w:rPr>
          <w:b/>
          <w:sz w:val="20"/>
          <w:szCs w:val="22"/>
        </w:rPr>
        <w:t xml:space="preserve"> 2</w:t>
      </w:r>
      <w:r w:rsidRPr="00CD459F">
        <w:rPr>
          <w:b/>
          <w:sz w:val="20"/>
          <w:szCs w:val="22"/>
        </w:rPr>
        <w:t xml:space="preserve">: </w:t>
      </w:r>
    </w:p>
    <w:p w:rsidR="00605CD0" w:rsidRPr="00CD459F" w:rsidRDefault="00605CD0" w:rsidP="00605CD0">
      <w:pPr>
        <w:ind w:left="720"/>
        <w:rPr>
          <w:b/>
          <w:sz w:val="20"/>
          <w:szCs w:val="22"/>
        </w:rPr>
      </w:pPr>
      <w:r w:rsidRPr="00CD459F">
        <w:rPr>
          <w:b/>
          <w:sz w:val="20"/>
          <w:szCs w:val="22"/>
        </w:rPr>
        <w:t xml:space="preserve">For contiguous intra-band carrier aggregation of two component carriers, the MPR for any </w:t>
      </w:r>
      <w:r w:rsidR="008F5B8F">
        <w:rPr>
          <w:b/>
          <w:sz w:val="20"/>
          <w:szCs w:val="22"/>
        </w:rPr>
        <w:t>non-contiguous resource</w:t>
      </w:r>
      <w:r w:rsidRPr="00CD459F">
        <w:rPr>
          <w:b/>
          <w:sz w:val="20"/>
          <w:szCs w:val="22"/>
        </w:rPr>
        <w:t xml:space="preserve"> allocation for which </w:t>
      </w:r>
    </w:p>
    <w:p w:rsidR="00605CD0" w:rsidRPr="00CD459F" w:rsidRDefault="00605CD0" w:rsidP="00605CD0">
      <w:pPr>
        <w:ind w:left="720"/>
        <w:jc w:val="center"/>
        <w:rPr>
          <w:b/>
          <w:sz w:val="20"/>
          <w:szCs w:val="22"/>
        </w:rPr>
      </w:pPr>
      <w:r w:rsidRPr="00CD459F">
        <w:rPr>
          <w:position w:val="-24"/>
          <w:sz w:val="20"/>
          <w:szCs w:val="22"/>
        </w:rPr>
        <w:object w:dxaOrig="1760" w:dyaOrig="620">
          <v:shape id="_x0000_i1065" type="#_x0000_t75" style="width:87.55pt;height:30.55pt" o:ole="">
            <v:imagedata r:id="rId59" o:title=""/>
          </v:shape>
          <o:OLEObject Type="Embed" ProgID="Equation.DSMT4" ShapeID="_x0000_i1065" DrawAspect="Content" ObjectID="_1442071191" r:id="rId60"/>
        </w:object>
      </w:r>
      <w:r w:rsidRPr="00CD459F">
        <w:rPr>
          <w:sz w:val="20"/>
          <w:szCs w:val="22"/>
        </w:rPr>
        <w:t>,</w:t>
      </w:r>
    </w:p>
    <w:p w:rsidR="00605CD0" w:rsidRDefault="00605CD0" w:rsidP="00605CD0">
      <w:pPr>
        <w:ind w:firstLine="720"/>
        <w:rPr>
          <w:sz w:val="20"/>
          <w:szCs w:val="22"/>
        </w:rPr>
      </w:pPr>
      <w:r w:rsidRPr="00CD459F">
        <w:rPr>
          <w:b/>
          <w:sz w:val="20"/>
          <w:szCs w:val="22"/>
        </w:rPr>
        <w:t xml:space="preserve">MPR is limited to the minimum of the MPR currently specified in Section 6.2.3A and </w:t>
      </w:r>
      <w:r w:rsidRPr="00D176E9">
        <w:rPr>
          <w:b/>
          <w:sz w:val="20"/>
          <w:szCs w:val="22"/>
        </w:rPr>
        <w:t>4.5</w:t>
      </w:r>
      <w:r w:rsidRPr="00CD459F">
        <w:rPr>
          <w:b/>
          <w:sz w:val="20"/>
          <w:szCs w:val="22"/>
        </w:rPr>
        <w:t xml:space="preserve"> dB.</w:t>
      </w:r>
    </w:p>
    <w:p w:rsidR="001C1702" w:rsidRDefault="001C1702" w:rsidP="00A4577E">
      <w:pPr>
        <w:rPr>
          <w:sz w:val="20"/>
          <w:szCs w:val="22"/>
        </w:rPr>
      </w:pPr>
    </w:p>
    <w:p w:rsidR="00770035" w:rsidRPr="00CD459F" w:rsidRDefault="00770035" w:rsidP="00770035">
      <w:pPr>
        <w:rPr>
          <w:sz w:val="20"/>
          <w:szCs w:val="22"/>
        </w:rPr>
      </w:pPr>
      <w:r>
        <w:rPr>
          <w:sz w:val="20"/>
        </w:rPr>
        <w:t>Proposal 2</w:t>
      </w:r>
      <w:r w:rsidR="00FB5C78">
        <w:rPr>
          <w:sz w:val="20"/>
        </w:rPr>
        <w:t xml:space="preserve"> is illustrated in Figure 12</w:t>
      </w:r>
      <w:r>
        <w:rPr>
          <w:sz w:val="20"/>
        </w:rPr>
        <w:t xml:space="preserve"> </w:t>
      </w:r>
      <w:r>
        <w:rPr>
          <w:sz w:val="20"/>
          <w:szCs w:val="22"/>
        </w:rPr>
        <w:t>and can</w:t>
      </w:r>
      <w:r w:rsidRPr="00CD459F">
        <w:rPr>
          <w:sz w:val="20"/>
          <w:szCs w:val="22"/>
        </w:rPr>
        <w:t xml:space="preserve"> be captured in the Section 6.2.3A of the TS 36.101 specification with the following text:</w:t>
      </w:r>
    </w:p>
    <w:p w:rsidR="00770035" w:rsidRDefault="00770035" w:rsidP="00770035">
      <w:pPr>
        <w:rPr>
          <w:sz w:val="22"/>
          <w:szCs w:val="22"/>
        </w:rPr>
      </w:pPr>
    </w:p>
    <w:p w:rsidR="00770035" w:rsidRPr="00DA199B" w:rsidRDefault="00770035" w:rsidP="00770035">
      <w:pPr>
        <w:ind w:left="720"/>
        <w:rPr>
          <w:i/>
          <w:sz w:val="20"/>
          <w:szCs w:val="22"/>
        </w:rPr>
      </w:pPr>
      <w:r w:rsidRPr="00DA199B">
        <w:rPr>
          <w:i/>
          <w:sz w:val="20"/>
          <w:szCs w:val="22"/>
        </w:rPr>
        <w:t xml:space="preserve">If the </w:t>
      </w:r>
      <w:r>
        <w:rPr>
          <w:i/>
          <w:sz w:val="20"/>
          <w:szCs w:val="22"/>
        </w:rPr>
        <w:t>non-contiguous resource allocation</w:t>
      </w:r>
      <w:r w:rsidRPr="00DA199B">
        <w:rPr>
          <w:i/>
          <w:sz w:val="20"/>
          <w:szCs w:val="22"/>
        </w:rPr>
        <w:t xml:space="preserve"> is such that</w:t>
      </w:r>
    </w:p>
    <w:p w:rsidR="00770035" w:rsidRPr="00DA199B" w:rsidRDefault="00770035" w:rsidP="00770035">
      <w:pPr>
        <w:jc w:val="center"/>
        <w:rPr>
          <w:i/>
          <w:sz w:val="20"/>
          <w:szCs w:val="22"/>
        </w:rPr>
      </w:pPr>
      <w:r w:rsidRPr="00DA199B">
        <w:rPr>
          <w:i/>
          <w:position w:val="-24"/>
          <w:sz w:val="20"/>
          <w:szCs w:val="22"/>
        </w:rPr>
        <w:object w:dxaOrig="9160" w:dyaOrig="620">
          <v:shape id="_x0000_i1066" type="#_x0000_t75" style="width:457.9pt;height:31.7pt" o:ole="">
            <v:imagedata r:id="rId61" o:title=""/>
          </v:shape>
          <o:OLEObject Type="Embed" ProgID="Equation.DSMT4" ShapeID="_x0000_i1066" DrawAspect="Content" ObjectID="_1442071192" r:id="rId62"/>
        </w:object>
      </w:r>
    </w:p>
    <w:p w:rsidR="00770035" w:rsidRDefault="00770035" w:rsidP="00770035">
      <w:pPr>
        <w:rPr>
          <w:i/>
          <w:sz w:val="20"/>
          <w:szCs w:val="22"/>
        </w:rPr>
      </w:pPr>
    </w:p>
    <w:p w:rsidR="00770035" w:rsidRDefault="00770035" w:rsidP="00770035">
      <w:pPr>
        <w:ind w:firstLine="720"/>
        <w:rPr>
          <w:i/>
          <w:sz w:val="20"/>
          <w:szCs w:val="22"/>
        </w:rPr>
      </w:pPr>
      <w:r w:rsidRPr="00DA199B">
        <w:rPr>
          <w:rFonts w:hint="eastAsia"/>
          <w:i/>
          <w:sz w:val="20"/>
          <w:szCs w:val="22"/>
        </w:rPr>
        <w:t xml:space="preserve">the allowed Maximum Power Reduction (MPR) for the maximum output power in table 6.2.2A-1, is </w:t>
      </w:r>
      <w:r w:rsidRPr="00DA199B">
        <w:rPr>
          <w:i/>
          <w:sz w:val="20"/>
          <w:szCs w:val="22"/>
        </w:rPr>
        <w:t>specified</w:t>
      </w:r>
      <w:r w:rsidRPr="00DA199B">
        <w:rPr>
          <w:rFonts w:hint="eastAsia"/>
          <w:i/>
          <w:sz w:val="20"/>
          <w:szCs w:val="22"/>
        </w:rPr>
        <w:t xml:space="preserve"> as </w:t>
      </w:r>
    </w:p>
    <w:p w:rsidR="00770035" w:rsidRPr="00DA199B" w:rsidRDefault="00770035" w:rsidP="00770035">
      <w:pPr>
        <w:ind w:firstLine="720"/>
        <w:rPr>
          <w:i/>
          <w:sz w:val="20"/>
          <w:szCs w:val="22"/>
        </w:rPr>
      </w:pPr>
    </w:p>
    <w:p w:rsidR="00770035" w:rsidRPr="00DA199B" w:rsidRDefault="00770035" w:rsidP="00770035">
      <w:pPr>
        <w:ind w:left="720"/>
        <w:jc w:val="center"/>
        <w:rPr>
          <w:i/>
          <w:sz w:val="20"/>
          <w:szCs w:val="22"/>
        </w:rPr>
      </w:pPr>
      <w:r w:rsidRPr="00DA199B">
        <w:rPr>
          <w:rFonts w:hint="eastAsia"/>
          <w:i/>
          <w:sz w:val="20"/>
          <w:szCs w:val="22"/>
        </w:rPr>
        <w:t>MPR = CEIL {</w:t>
      </w:r>
      <w:r w:rsidRPr="00DA199B">
        <w:rPr>
          <w:i/>
          <w:sz w:val="20"/>
          <w:szCs w:val="22"/>
        </w:rPr>
        <w:t>min(</w:t>
      </w:r>
      <w:r w:rsidRPr="00DA199B">
        <w:rPr>
          <w:rFonts w:hint="eastAsia"/>
          <w:i/>
          <w:sz w:val="20"/>
          <w:szCs w:val="22"/>
        </w:rPr>
        <w:t>M</w:t>
      </w:r>
      <w:r w:rsidRPr="00DA199B">
        <w:rPr>
          <w:rFonts w:hint="eastAsia"/>
          <w:i/>
          <w:sz w:val="20"/>
          <w:szCs w:val="22"/>
          <w:vertAlign w:val="subscript"/>
        </w:rPr>
        <w:t>A</w:t>
      </w:r>
      <w:r w:rsidRPr="00DA199B">
        <w:rPr>
          <w:rFonts w:hint="eastAsia"/>
          <w:i/>
          <w:sz w:val="20"/>
          <w:szCs w:val="22"/>
        </w:rPr>
        <w:t>,</w:t>
      </w:r>
      <w:r w:rsidRPr="00DA199B">
        <w:rPr>
          <w:i/>
          <w:sz w:val="20"/>
          <w:szCs w:val="22"/>
        </w:rPr>
        <w:t xml:space="preserve"> </w:t>
      </w:r>
      <w:r>
        <w:rPr>
          <w:i/>
          <w:sz w:val="20"/>
          <w:szCs w:val="22"/>
        </w:rPr>
        <w:t>4</w:t>
      </w:r>
      <w:r w:rsidRPr="00DA199B">
        <w:rPr>
          <w:i/>
          <w:sz w:val="20"/>
          <w:szCs w:val="22"/>
        </w:rPr>
        <w:t>.5),</w:t>
      </w:r>
      <w:r w:rsidRPr="00DA199B">
        <w:rPr>
          <w:rFonts w:hint="eastAsia"/>
          <w:i/>
          <w:sz w:val="20"/>
          <w:szCs w:val="22"/>
        </w:rPr>
        <w:t xml:space="preserve"> 0.5}</w:t>
      </w:r>
      <w:r w:rsidRPr="00DA199B">
        <w:rPr>
          <w:i/>
          <w:sz w:val="20"/>
          <w:szCs w:val="22"/>
        </w:rPr>
        <w:t>.</w:t>
      </w:r>
    </w:p>
    <w:p w:rsidR="00770035" w:rsidRDefault="00770035" w:rsidP="006129E8">
      <w:pPr>
        <w:rPr>
          <w:sz w:val="20"/>
        </w:rPr>
      </w:pPr>
    </w:p>
    <w:p w:rsidR="000753CE" w:rsidRDefault="00770035" w:rsidP="006129E8">
      <w:pPr>
        <w:rPr>
          <w:sz w:val="20"/>
        </w:rPr>
      </w:pPr>
      <w:r>
        <w:rPr>
          <w:sz w:val="20"/>
          <w:szCs w:val="22"/>
        </w:rPr>
        <w:t>It can be noted that there is</w:t>
      </w:r>
      <w:r w:rsidR="00FA4E75">
        <w:rPr>
          <w:sz w:val="20"/>
          <w:szCs w:val="22"/>
        </w:rPr>
        <w:t xml:space="preserve"> a </w:t>
      </w:r>
      <w:r w:rsidR="00875EDA">
        <w:rPr>
          <w:sz w:val="20"/>
          <w:szCs w:val="22"/>
        </w:rPr>
        <w:t>trade-off</w:t>
      </w:r>
      <w:r w:rsidR="00FA4E75">
        <w:rPr>
          <w:sz w:val="20"/>
          <w:szCs w:val="22"/>
        </w:rPr>
        <w:t xml:space="preserve"> between Proposals 1 and 2 above.  Proposal 1 applies to a larger set of </w:t>
      </w:r>
      <w:r w:rsidR="00707D47">
        <w:rPr>
          <w:sz w:val="20"/>
          <w:szCs w:val="22"/>
        </w:rPr>
        <w:t>non-contiguous resource allocation</w:t>
      </w:r>
      <w:r w:rsidR="00FA4E75">
        <w:rPr>
          <w:sz w:val="20"/>
          <w:szCs w:val="22"/>
        </w:rPr>
        <w:t xml:space="preserve">s but allows 5.5 dB of MPR, while Proposal 2 applies to a </w:t>
      </w:r>
      <w:r w:rsidR="001D6E85">
        <w:rPr>
          <w:sz w:val="20"/>
          <w:szCs w:val="22"/>
        </w:rPr>
        <w:t xml:space="preserve">slightly </w:t>
      </w:r>
      <w:r w:rsidR="00FA4E75">
        <w:rPr>
          <w:sz w:val="20"/>
          <w:szCs w:val="22"/>
        </w:rPr>
        <w:t xml:space="preserve">smaller set of </w:t>
      </w:r>
      <w:r w:rsidR="00707D47">
        <w:rPr>
          <w:sz w:val="20"/>
          <w:szCs w:val="22"/>
        </w:rPr>
        <w:t>non-contiguous resource allocation</w:t>
      </w:r>
      <w:r w:rsidR="00FA4E75">
        <w:rPr>
          <w:sz w:val="20"/>
          <w:szCs w:val="22"/>
        </w:rPr>
        <w:t xml:space="preserve">s, but allows only 4.5 dB of MPR.  </w:t>
      </w:r>
      <w:r w:rsidR="00563247">
        <w:rPr>
          <w:sz w:val="20"/>
          <w:szCs w:val="22"/>
        </w:rPr>
        <w:t>The scheduler constraints associated with Proposals 1 and 2 are illustrated in Figure 11</w:t>
      </w:r>
      <w:r w:rsidR="008D0F8C">
        <w:rPr>
          <w:sz w:val="20"/>
          <w:szCs w:val="22"/>
        </w:rPr>
        <w:t xml:space="preserve"> for two 20 MHz component carriers</w:t>
      </w:r>
      <w:r w:rsidR="00563247">
        <w:rPr>
          <w:sz w:val="20"/>
          <w:szCs w:val="22"/>
        </w:rPr>
        <w:t xml:space="preserve">.  In </w:t>
      </w:r>
      <w:r w:rsidR="008B6742">
        <w:rPr>
          <w:sz w:val="20"/>
          <w:szCs w:val="22"/>
        </w:rPr>
        <w:t>Figure 11</w:t>
      </w:r>
      <w:r w:rsidR="00563247">
        <w:rPr>
          <w:sz w:val="20"/>
          <w:szCs w:val="22"/>
        </w:rPr>
        <w:t xml:space="preserve">, </w:t>
      </w:r>
      <w:r w:rsidR="00563247" w:rsidRPr="001D6E85">
        <w:rPr>
          <w:i/>
          <w:sz w:val="20"/>
          <w:szCs w:val="22"/>
        </w:rPr>
        <w:t>RB_min</w:t>
      </w:r>
      <w:r w:rsidR="00563247">
        <w:rPr>
          <w:sz w:val="20"/>
          <w:szCs w:val="22"/>
        </w:rPr>
        <w:t xml:space="preserve"> and </w:t>
      </w:r>
      <w:r w:rsidR="00563247" w:rsidRPr="001D6E85">
        <w:rPr>
          <w:i/>
          <w:sz w:val="20"/>
          <w:szCs w:val="22"/>
        </w:rPr>
        <w:t>RB_max</w:t>
      </w:r>
      <w:r w:rsidR="00563247" w:rsidRPr="001D6E85">
        <w:rPr>
          <w:sz w:val="20"/>
          <w:szCs w:val="22"/>
        </w:rPr>
        <w:t xml:space="preserve"> </w:t>
      </w:r>
      <w:r w:rsidR="001D6E85">
        <w:rPr>
          <w:sz w:val="20"/>
          <w:szCs w:val="22"/>
        </w:rPr>
        <w:t>denote</w:t>
      </w:r>
      <w:r w:rsidR="00563247">
        <w:rPr>
          <w:sz w:val="20"/>
          <w:szCs w:val="22"/>
        </w:rPr>
        <w:t xml:space="preserve"> the smallest and largest </w:t>
      </w:r>
      <w:r w:rsidR="00581CEC">
        <w:rPr>
          <w:sz w:val="20"/>
          <w:szCs w:val="22"/>
        </w:rPr>
        <w:t xml:space="preserve">indices </w:t>
      </w:r>
      <w:r w:rsidR="00217BCD">
        <w:rPr>
          <w:sz w:val="20"/>
          <w:szCs w:val="22"/>
        </w:rPr>
        <w:t>of the</w:t>
      </w:r>
      <w:r w:rsidR="00581CEC">
        <w:rPr>
          <w:sz w:val="20"/>
          <w:szCs w:val="22"/>
        </w:rPr>
        <w:t xml:space="preserve"> RB’s </w:t>
      </w:r>
      <w:r w:rsidR="00217BCD">
        <w:rPr>
          <w:sz w:val="20"/>
          <w:szCs w:val="22"/>
        </w:rPr>
        <w:t xml:space="preserve">of a </w:t>
      </w:r>
      <w:r w:rsidR="00707D47">
        <w:rPr>
          <w:sz w:val="20"/>
          <w:szCs w:val="22"/>
        </w:rPr>
        <w:t>non-contiguous resource allocation</w:t>
      </w:r>
      <w:r w:rsidR="00217BCD">
        <w:rPr>
          <w:sz w:val="20"/>
          <w:szCs w:val="22"/>
        </w:rPr>
        <w:t xml:space="preserve"> </w:t>
      </w:r>
      <w:r w:rsidR="001D6E85">
        <w:rPr>
          <w:sz w:val="20"/>
          <w:szCs w:val="22"/>
        </w:rPr>
        <w:t>that meet the given constraint (</w:t>
      </w:r>
      <w:r w:rsidR="00581CEC">
        <w:rPr>
          <w:sz w:val="20"/>
          <w:szCs w:val="22"/>
        </w:rPr>
        <w:t xml:space="preserve">either </w:t>
      </w:r>
      <w:r w:rsidR="00581CEC" w:rsidRPr="003D2891">
        <w:rPr>
          <w:position w:val="-14"/>
          <w:sz w:val="20"/>
        </w:rPr>
        <w:object w:dxaOrig="720" w:dyaOrig="380">
          <v:shape id="_x0000_i1067" type="#_x0000_t75" style="width:36.3pt;height:19pt" o:ole="">
            <v:imagedata r:id="rId21" o:title=""/>
          </v:shape>
          <o:OLEObject Type="Embed" ProgID="Equation.DSMT4" ShapeID="_x0000_i1067" DrawAspect="Content" ObjectID="_1442071193" r:id="rId63"/>
        </w:object>
      </w:r>
      <w:r w:rsidR="00581CEC">
        <w:rPr>
          <w:sz w:val="20"/>
        </w:rPr>
        <w:t xml:space="preserve"> or </w:t>
      </w:r>
      <w:r w:rsidR="00581CEC" w:rsidRPr="00E50B38">
        <w:rPr>
          <w:position w:val="-14"/>
          <w:sz w:val="20"/>
        </w:rPr>
        <w:object w:dxaOrig="660" w:dyaOrig="380">
          <v:shape id="_x0000_i1068" type="#_x0000_t75" style="width:32.85pt;height:19pt" o:ole="">
            <v:imagedata r:id="rId28" o:title=""/>
          </v:shape>
          <o:OLEObject Type="Embed" ProgID="Equation.DSMT4" ShapeID="_x0000_i1068" DrawAspect="Content" ObjectID="_1442071194" r:id="rId64"/>
        </w:object>
      </w:r>
      <w:r w:rsidR="001D6E85">
        <w:rPr>
          <w:sz w:val="20"/>
        </w:rPr>
        <w:t xml:space="preserve">) </w:t>
      </w:r>
      <w:r w:rsidR="00581CEC">
        <w:rPr>
          <w:sz w:val="20"/>
        </w:rPr>
        <w:t xml:space="preserve"> on </w:t>
      </w:r>
      <w:r w:rsidR="00581CEC" w:rsidRPr="00CD459F">
        <w:rPr>
          <w:position w:val="-4"/>
          <w:sz w:val="20"/>
          <w:szCs w:val="22"/>
        </w:rPr>
        <w:object w:dxaOrig="220" w:dyaOrig="260">
          <v:shape id="_x0000_i1069" type="#_x0000_t75" style="width:11.5pt;height:13.25pt" o:ole="">
            <v:imagedata r:id="rId10" o:title=""/>
          </v:shape>
          <o:OLEObject Type="Embed" ProgID="Equation.3" ShapeID="_x0000_i1069" DrawAspect="Content" ObjectID="_1442071195" r:id="rId65"/>
        </w:object>
      </w:r>
      <w:r w:rsidR="00EA3DFC">
        <w:rPr>
          <w:sz w:val="20"/>
          <w:szCs w:val="22"/>
        </w:rPr>
        <w:t xml:space="preserve"> as a function of </w:t>
      </w:r>
      <w:r w:rsidR="00EA3DFC" w:rsidRPr="001D6E85">
        <w:rPr>
          <w:i/>
          <w:sz w:val="20"/>
          <w:szCs w:val="22"/>
        </w:rPr>
        <w:t>RB_min</w:t>
      </w:r>
      <w:r w:rsidR="00EA3DFC">
        <w:rPr>
          <w:sz w:val="20"/>
          <w:szCs w:val="22"/>
        </w:rPr>
        <w:t xml:space="preserve"> </w:t>
      </w:r>
      <w:r w:rsidR="00EA3DFC" w:rsidRPr="00EA3DFC">
        <w:rPr>
          <w:sz w:val="20"/>
          <w:szCs w:val="22"/>
        </w:rPr>
        <w:t>(vertical axis)</w:t>
      </w:r>
      <w:r w:rsidR="00581CEC" w:rsidRPr="00EA3DFC">
        <w:rPr>
          <w:sz w:val="20"/>
          <w:szCs w:val="22"/>
        </w:rPr>
        <w:t>.</w:t>
      </w:r>
      <w:r w:rsidR="00581CEC">
        <w:rPr>
          <w:sz w:val="20"/>
          <w:szCs w:val="22"/>
        </w:rPr>
        <w:t xml:space="preserve">  </w:t>
      </w:r>
      <w:r w:rsidR="00EA3DFC">
        <w:rPr>
          <w:sz w:val="20"/>
          <w:szCs w:val="22"/>
        </w:rPr>
        <w:t>For a</w:t>
      </w:r>
      <w:r w:rsidR="00C9093B">
        <w:rPr>
          <w:sz w:val="20"/>
          <w:szCs w:val="22"/>
        </w:rPr>
        <w:t xml:space="preserve"> </w:t>
      </w:r>
      <w:r w:rsidR="00707D47">
        <w:rPr>
          <w:sz w:val="20"/>
          <w:szCs w:val="22"/>
        </w:rPr>
        <w:t>non-contiguous resource allocation</w:t>
      </w:r>
      <w:r w:rsidR="00C9093B">
        <w:rPr>
          <w:sz w:val="20"/>
          <w:szCs w:val="22"/>
        </w:rPr>
        <w:t xml:space="preserve"> for which the minimum index of the allocated RB’s is </w:t>
      </w:r>
      <w:r w:rsidR="00C9093B" w:rsidRPr="001D6E85">
        <w:rPr>
          <w:i/>
          <w:sz w:val="20"/>
          <w:szCs w:val="22"/>
        </w:rPr>
        <w:t>RB_min</w:t>
      </w:r>
      <w:r w:rsidR="00C9093B">
        <w:rPr>
          <w:sz w:val="20"/>
          <w:szCs w:val="22"/>
        </w:rPr>
        <w:t xml:space="preserve">, the constraint </w:t>
      </w:r>
      <w:r w:rsidR="00C9093B" w:rsidRPr="00E50B38">
        <w:rPr>
          <w:position w:val="-14"/>
          <w:sz w:val="20"/>
        </w:rPr>
        <w:object w:dxaOrig="1100" w:dyaOrig="380">
          <v:shape id="_x0000_i1070" type="#_x0000_t75" style="width:54.7pt;height:19pt" o:ole="">
            <v:imagedata r:id="rId66" o:title=""/>
          </v:shape>
          <o:OLEObject Type="Embed" ProgID="Equation.DSMT4" ShapeID="_x0000_i1070" DrawAspect="Content" ObjectID="_1442071196" r:id="rId67"/>
        </w:object>
      </w:r>
      <w:r w:rsidR="00C9093B">
        <w:rPr>
          <w:sz w:val="20"/>
        </w:rPr>
        <w:t xml:space="preserve"> is satisfied so long as the maximum index of the allocated RB’s is less than </w:t>
      </w:r>
      <w:r w:rsidR="002A23AD">
        <w:rPr>
          <w:sz w:val="20"/>
        </w:rPr>
        <w:t xml:space="preserve">value on the line labelled as </w:t>
      </w:r>
      <w:r w:rsidR="002A23AD" w:rsidRPr="001D6E85">
        <w:rPr>
          <w:i/>
          <w:sz w:val="20"/>
        </w:rPr>
        <w:t>RB_max_spurious</w:t>
      </w:r>
      <w:r w:rsidR="002A23AD">
        <w:rPr>
          <w:sz w:val="20"/>
        </w:rPr>
        <w:t xml:space="preserve">.  Similarly, </w:t>
      </w:r>
      <w:r w:rsidR="002A23AD">
        <w:rPr>
          <w:sz w:val="20"/>
          <w:szCs w:val="22"/>
        </w:rPr>
        <w:t xml:space="preserve">the constraint </w:t>
      </w:r>
      <w:r w:rsidR="002A23AD" w:rsidRPr="00E50B38">
        <w:rPr>
          <w:position w:val="-14"/>
          <w:sz w:val="20"/>
        </w:rPr>
        <w:object w:dxaOrig="1040" w:dyaOrig="380">
          <v:shape id="_x0000_i1071" type="#_x0000_t75" style="width:51.85pt;height:19pt" o:ole="">
            <v:imagedata r:id="rId68" o:title=""/>
          </v:shape>
          <o:OLEObject Type="Embed" ProgID="Equation.DSMT4" ShapeID="_x0000_i1071" DrawAspect="Content" ObjectID="_1442071197" r:id="rId69"/>
        </w:object>
      </w:r>
      <w:r w:rsidR="002A23AD">
        <w:rPr>
          <w:sz w:val="20"/>
        </w:rPr>
        <w:t xml:space="preserve"> is satisfied so long as the maximum index of the allocated RB’s is less than value on the line labelled as </w:t>
      </w:r>
      <w:r w:rsidR="002A23AD" w:rsidRPr="001D6E85">
        <w:rPr>
          <w:i/>
          <w:sz w:val="20"/>
        </w:rPr>
        <w:t>RB_max_</w:t>
      </w:r>
      <w:r w:rsidR="00B836A8" w:rsidRPr="001D6E85">
        <w:rPr>
          <w:i/>
          <w:sz w:val="20"/>
        </w:rPr>
        <w:t>SEM,5</w:t>
      </w:r>
      <w:r w:rsidR="00B836A8">
        <w:rPr>
          <w:sz w:val="20"/>
        </w:rPr>
        <w:t>.</w:t>
      </w:r>
    </w:p>
    <w:p w:rsidR="00EA3DFC" w:rsidRDefault="00EA3DFC" w:rsidP="006129E8">
      <w:pPr>
        <w:rPr>
          <w:sz w:val="20"/>
        </w:rPr>
      </w:pPr>
    </w:p>
    <w:p w:rsidR="00C9093B" w:rsidRDefault="00C34BD1" w:rsidP="00281E50">
      <w:pPr>
        <w:rPr>
          <w:sz w:val="20"/>
        </w:rPr>
      </w:pPr>
      <w:r>
        <w:rPr>
          <w:sz w:val="20"/>
        </w:rPr>
        <w:lastRenderedPageBreak/>
        <w:t>Two examples are shown in Figure 11</w:t>
      </w:r>
      <w:r w:rsidR="00FB5C78">
        <w:rPr>
          <w:sz w:val="20"/>
        </w:rPr>
        <w:t xml:space="preserve"> (note that </w:t>
      </w:r>
      <w:r w:rsidR="00770035" w:rsidRPr="00770035">
        <w:rPr>
          <w:sz w:val="20"/>
          <w:highlight w:val="yellow"/>
        </w:rPr>
        <w:t>corrections</w:t>
      </w:r>
      <w:r w:rsidR="00770035">
        <w:rPr>
          <w:sz w:val="20"/>
        </w:rPr>
        <w:t xml:space="preserve"> have</w:t>
      </w:r>
      <w:r w:rsidR="00FB5C78">
        <w:rPr>
          <w:sz w:val="20"/>
        </w:rPr>
        <w:t xml:space="preserve"> been made </w:t>
      </w:r>
      <w:r w:rsidR="00770035">
        <w:rPr>
          <w:sz w:val="20"/>
        </w:rPr>
        <w:t>relative to</w:t>
      </w:r>
      <w:r w:rsidR="00FB5C78">
        <w:rPr>
          <w:sz w:val="20"/>
        </w:rPr>
        <w:t xml:space="preserve"> Figure 11 in [1]</w:t>
      </w:r>
      <w:r w:rsidR="00875EDA">
        <w:rPr>
          <w:sz w:val="20"/>
        </w:rPr>
        <w:t xml:space="preserve"> and to one of the examples</w:t>
      </w:r>
      <w:r w:rsidR="00770035">
        <w:rPr>
          <w:sz w:val="20"/>
        </w:rPr>
        <w:t>)</w:t>
      </w:r>
      <w:r>
        <w:rPr>
          <w:sz w:val="20"/>
        </w:rPr>
        <w:t xml:space="preserve">.  In </w:t>
      </w:r>
      <w:r w:rsidR="001D6E85">
        <w:rPr>
          <w:sz w:val="20"/>
        </w:rPr>
        <w:t xml:space="preserve">the </w:t>
      </w:r>
      <w:r w:rsidR="00281E50">
        <w:rPr>
          <w:sz w:val="20"/>
        </w:rPr>
        <w:t xml:space="preserve">first </w:t>
      </w:r>
      <w:r w:rsidR="000753CE">
        <w:rPr>
          <w:sz w:val="20"/>
        </w:rPr>
        <w:t>example</w:t>
      </w:r>
      <w:r>
        <w:rPr>
          <w:sz w:val="20"/>
        </w:rPr>
        <w:t xml:space="preserve"> is illustrated with the dashed horizontal line at the level of</w:t>
      </w:r>
      <w:r w:rsidR="00B836A8">
        <w:rPr>
          <w:sz w:val="20"/>
        </w:rPr>
        <w:t xml:space="preserve"> </w:t>
      </w:r>
      <w:r w:rsidR="00B836A8" w:rsidRPr="000753CE">
        <w:rPr>
          <w:i/>
          <w:sz w:val="20"/>
        </w:rPr>
        <w:t>RB_min</w:t>
      </w:r>
      <w:r w:rsidR="00B836A8">
        <w:rPr>
          <w:sz w:val="20"/>
        </w:rPr>
        <w:t xml:space="preserve"> </w:t>
      </w:r>
      <w:r>
        <w:rPr>
          <w:sz w:val="20"/>
        </w:rPr>
        <w:t xml:space="preserve">equal to </w:t>
      </w:r>
      <w:r w:rsidR="00281E50">
        <w:rPr>
          <w:sz w:val="20"/>
        </w:rPr>
        <w:t>3</w:t>
      </w:r>
      <w:r w:rsidR="00B836A8">
        <w:rPr>
          <w:sz w:val="20"/>
        </w:rPr>
        <w:t xml:space="preserve">0.  For a </w:t>
      </w:r>
      <w:r w:rsidR="00707D47">
        <w:rPr>
          <w:sz w:val="20"/>
        </w:rPr>
        <w:t>non-contiguous resource allocation</w:t>
      </w:r>
      <w:r w:rsidR="00B836A8">
        <w:rPr>
          <w:sz w:val="20"/>
        </w:rPr>
        <w:t xml:space="preserve"> with this value for </w:t>
      </w:r>
      <w:r w:rsidR="00B836A8" w:rsidRPr="000753CE">
        <w:rPr>
          <w:i/>
          <w:sz w:val="20"/>
        </w:rPr>
        <w:t>RB_min</w:t>
      </w:r>
      <w:r w:rsidR="00B836A8">
        <w:rPr>
          <w:sz w:val="20"/>
        </w:rPr>
        <w:t xml:space="preserve">, the condition </w:t>
      </w:r>
      <w:r w:rsidR="00B836A8" w:rsidRPr="00E50B38">
        <w:rPr>
          <w:position w:val="-14"/>
          <w:sz w:val="20"/>
        </w:rPr>
        <w:object w:dxaOrig="1100" w:dyaOrig="380">
          <v:shape id="_x0000_i1072" type="#_x0000_t75" style="width:54.7pt;height:19pt" o:ole="">
            <v:imagedata r:id="rId66" o:title=""/>
          </v:shape>
          <o:OLEObject Type="Embed" ProgID="Equation.DSMT4" ShapeID="_x0000_i1072" DrawAspect="Content" ObjectID="_1442071198" r:id="rId70"/>
        </w:object>
      </w:r>
      <w:r w:rsidR="00B836A8">
        <w:rPr>
          <w:sz w:val="20"/>
        </w:rPr>
        <w:t xml:space="preserve"> is satisfied so long as </w:t>
      </w:r>
      <w:r w:rsidR="00B836A8" w:rsidRPr="000753CE">
        <w:rPr>
          <w:i/>
          <w:sz w:val="20"/>
        </w:rPr>
        <w:t>RB_max</w:t>
      </w:r>
      <w:r w:rsidR="00B836A8">
        <w:rPr>
          <w:sz w:val="20"/>
        </w:rPr>
        <w:t xml:space="preserve"> is less than or equal to </w:t>
      </w:r>
      <w:r w:rsidR="00281E50" w:rsidRPr="00625AFD">
        <w:rPr>
          <w:sz w:val="20"/>
          <w:highlight w:val="yellow"/>
        </w:rPr>
        <w:t>16</w:t>
      </w:r>
      <w:r w:rsidR="00625AFD" w:rsidRPr="00625AFD">
        <w:rPr>
          <w:sz w:val="20"/>
          <w:highlight w:val="yellow"/>
        </w:rPr>
        <w:t>1</w:t>
      </w:r>
      <w:r w:rsidR="00B836A8">
        <w:rPr>
          <w:sz w:val="20"/>
        </w:rPr>
        <w:t xml:space="preserve">, and </w:t>
      </w:r>
      <w:r w:rsidR="00B836A8" w:rsidRPr="00E50B38">
        <w:rPr>
          <w:position w:val="-14"/>
          <w:sz w:val="20"/>
        </w:rPr>
        <w:object w:dxaOrig="1040" w:dyaOrig="380">
          <v:shape id="_x0000_i1073" type="#_x0000_t75" style="width:51.85pt;height:19pt" o:ole="">
            <v:imagedata r:id="rId68" o:title=""/>
          </v:shape>
          <o:OLEObject Type="Embed" ProgID="Equation.DSMT4" ShapeID="_x0000_i1073" DrawAspect="Content" ObjectID="_1442071199" r:id="rId71"/>
        </w:object>
      </w:r>
      <w:r w:rsidR="00B836A8">
        <w:rPr>
          <w:sz w:val="20"/>
        </w:rPr>
        <w:t xml:space="preserve"> is satisfied so long as </w:t>
      </w:r>
      <w:r w:rsidR="00B836A8" w:rsidRPr="000753CE">
        <w:rPr>
          <w:i/>
          <w:sz w:val="20"/>
        </w:rPr>
        <w:t>RB_max</w:t>
      </w:r>
      <w:r w:rsidR="00B836A8">
        <w:rPr>
          <w:sz w:val="20"/>
        </w:rPr>
        <w:t xml:space="preserve"> is less than or equal to </w:t>
      </w:r>
      <w:r w:rsidR="00281E50" w:rsidRPr="00625AFD">
        <w:rPr>
          <w:sz w:val="20"/>
          <w:highlight w:val="yellow"/>
        </w:rPr>
        <w:t>1</w:t>
      </w:r>
      <w:r w:rsidR="00625AFD" w:rsidRPr="00625AFD">
        <w:rPr>
          <w:sz w:val="20"/>
          <w:highlight w:val="yellow"/>
        </w:rPr>
        <w:t>47</w:t>
      </w:r>
      <w:r w:rsidR="00B836A8">
        <w:rPr>
          <w:sz w:val="20"/>
        </w:rPr>
        <w:t xml:space="preserve">.  </w:t>
      </w:r>
      <w:r>
        <w:rPr>
          <w:sz w:val="20"/>
        </w:rPr>
        <w:t>The</w:t>
      </w:r>
      <w:r w:rsidR="00281E50">
        <w:rPr>
          <w:sz w:val="20"/>
        </w:rPr>
        <w:t xml:space="preserve"> second </w:t>
      </w:r>
      <w:r w:rsidR="00875EDA">
        <w:rPr>
          <w:sz w:val="20"/>
        </w:rPr>
        <w:t xml:space="preserve">example </w:t>
      </w:r>
      <w:r>
        <w:rPr>
          <w:sz w:val="20"/>
        </w:rPr>
        <w:t>is illustrated with the horizontal line at the level of</w:t>
      </w:r>
      <w:r w:rsidR="00281E50">
        <w:rPr>
          <w:sz w:val="20"/>
        </w:rPr>
        <w:t xml:space="preserve"> </w:t>
      </w:r>
      <w:r w:rsidR="00281E50" w:rsidRPr="00281E50">
        <w:rPr>
          <w:i/>
          <w:sz w:val="20"/>
        </w:rPr>
        <w:t>RB_min</w:t>
      </w:r>
      <w:r w:rsidR="00281E50">
        <w:rPr>
          <w:sz w:val="20"/>
        </w:rPr>
        <w:t xml:space="preserve"> </w:t>
      </w:r>
      <w:r>
        <w:rPr>
          <w:sz w:val="20"/>
        </w:rPr>
        <w:t xml:space="preserve">equal to </w:t>
      </w:r>
      <w:r w:rsidR="00281E50">
        <w:rPr>
          <w:sz w:val="20"/>
        </w:rPr>
        <w:t xml:space="preserve">60. For a </w:t>
      </w:r>
      <w:r w:rsidR="00707D47">
        <w:rPr>
          <w:sz w:val="20"/>
        </w:rPr>
        <w:t>non-contiguous resource allocation</w:t>
      </w:r>
      <w:r w:rsidR="00281E50">
        <w:rPr>
          <w:sz w:val="20"/>
        </w:rPr>
        <w:t xml:space="preserve"> with this value for </w:t>
      </w:r>
      <w:r w:rsidR="00281E50" w:rsidRPr="000753CE">
        <w:rPr>
          <w:i/>
          <w:sz w:val="20"/>
        </w:rPr>
        <w:t>RB_min</w:t>
      </w:r>
      <w:r w:rsidR="00281E50">
        <w:rPr>
          <w:sz w:val="20"/>
        </w:rPr>
        <w:t xml:space="preserve">, the condition </w:t>
      </w:r>
      <w:r w:rsidR="00281E50" w:rsidRPr="00E50B38">
        <w:rPr>
          <w:position w:val="-14"/>
          <w:sz w:val="20"/>
        </w:rPr>
        <w:object w:dxaOrig="1100" w:dyaOrig="380">
          <v:shape id="_x0000_i1074" type="#_x0000_t75" style="width:54.7pt;height:19pt" o:ole="">
            <v:imagedata r:id="rId66" o:title=""/>
          </v:shape>
          <o:OLEObject Type="Embed" ProgID="Equation.DSMT4" ShapeID="_x0000_i1074" DrawAspect="Content" ObjectID="_1442071200" r:id="rId72"/>
        </w:object>
      </w:r>
      <w:r w:rsidR="00281E50">
        <w:rPr>
          <w:sz w:val="20"/>
        </w:rPr>
        <w:t xml:space="preserve"> is satisfied so long as </w:t>
      </w:r>
      <w:r w:rsidR="00281E50" w:rsidRPr="000753CE">
        <w:rPr>
          <w:i/>
          <w:sz w:val="20"/>
        </w:rPr>
        <w:t>RB_max</w:t>
      </w:r>
      <w:r w:rsidR="00281E50">
        <w:rPr>
          <w:sz w:val="20"/>
        </w:rPr>
        <w:t xml:space="preserve"> is less than or equal to 183, and </w:t>
      </w:r>
      <w:r w:rsidR="00281E50" w:rsidRPr="00E50B38">
        <w:rPr>
          <w:position w:val="-14"/>
          <w:sz w:val="20"/>
        </w:rPr>
        <w:object w:dxaOrig="1040" w:dyaOrig="380">
          <v:shape id="_x0000_i1075" type="#_x0000_t75" style="width:51.85pt;height:19pt" o:ole="">
            <v:imagedata r:id="rId68" o:title=""/>
          </v:shape>
          <o:OLEObject Type="Embed" ProgID="Equation.DSMT4" ShapeID="_x0000_i1075" DrawAspect="Content" ObjectID="_1442071201" r:id="rId73"/>
        </w:object>
      </w:r>
      <w:r w:rsidR="00281E50">
        <w:rPr>
          <w:sz w:val="20"/>
        </w:rPr>
        <w:t xml:space="preserve"> is satisfied so long as </w:t>
      </w:r>
      <w:r w:rsidR="00281E50" w:rsidRPr="000753CE">
        <w:rPr>
          <w:i/>
          <w:sz w:val="20"/>
        </w:rPr>
        <w:t>RB_max</w:t>
      </w:r>
      <w:r w:rsidR="00281E50">
        <w:rPr>
          <w:sz w:val="20"/>
        </w:rPr>
        <w:t xml:space="preserve"> is less than or equal to 174.  From these two examples, it can be seen that the scheduler has</w:t>
      </w:r>
      <w:r w:rsidR="00B836A8">
        <w:rPr>
          <w:sz w:val="20"/>
        </w:rPr>
        <w:t xml:space="preserve"> a great deal of flexibility in scheduling the RB’</w:t>
      </w:r>
      <w:r w:rsidR="001D1CE3">
        <w:rPr>
          <w:sz w:val="20"/>
        </w:rPr>
        <w:t xml:space="preserve">s in a manner such that </w:t>
      </w:r>
      <w:r w:rsidR="00281E50">
        <w:rPr>
          <w:sz w:val="20"/>
        </w:rPr>
        <w:t>a</w:t>
      </w:r>
      <w:r w:rsidR="001D1CE3">
        <w:rPr>
          <w:sz w:val="20"/>
        </w:rPr>
        <w:t xml:space="preserve"> reduced MPR applies for smaller allocations</w:t>
      </w:r>
      <w:r>
        <w:rPr>
          <w:sz w:val="20"/>
        </w:rPr>
        <w:t xml:space="preserve">, especially given that the scheduler can adjust the range by its selection of </w:t>
      </w:r>
      <w:r w:rsidR="00F22C53" w:rsidRPr="000753CE">
        <w:rPr>
          <w:i/>
          <w:sz w:val="20"/>
        </w:rPr>
        <w:t>RB_min</w:t>
      </w:r>
      <w:r w:rsidR="001D1CE3">
        <w:rPr>
          <w:sz w:val="20"/>
        </w:rPr>
        <w:t>.</w:t>
      </w:r>
      <w:r w:rsidR="00FB5C78">
        <w:rPr>
          <w:sz w:val="20"/>
        </w:rPr>
        <w:t xml:space="preserve">  In particular, it can be seen that regardless of the value of </w:t>
      </w:r>
      <w:r w:rsidR="00FB5C78" w:rsidRPr="00770035">
        <w:rPr>
          <w:i/>
          <w:sz w:val="20"/>
        </w:rPr>
        <w:t>RB_min</w:t>
      </w:r>
      <w:r w:rsidR="00FB5C78">
        <w:rPr>
          <w:sz w:val="20"/>
        </w:rPr>
        <w:t xml:space="preserve">, there is always a span of at least 102 RBs in which resources can be allocated non-contiguously such that </w:t>
      </w:r>
      <w:r w:rsidR="00FB5C78" w:rsidRPr="00E50B38">
        <w:rPr>
          <w:position w:val="-14"/>
          <w:sz w:val="20"/>
        </w:rPr>
        <w:object w:dxaOrig="1040" w:dyaOrig="380">
          <v:shape id="_x0000_i1076" type="#_x0000_t75" style="width:51.85pt;height:19pt" o:ole="">
            <v:imagedata r:id="rId68" o:title=""/>
          </v:shape>
          <o:OLEObject Type="Embed" ProgID="Equation.DSMT4" ShapeID="_x0000_i1076" DrawAspect="Content" ObjectID="_1442071202" r:id="rId74"/>
        </w:object>
      </w:r>
      <w:r w:rsidR="00FB5C78">
        <w:rPr>
          <w:sz w:val="20"/>
        </w:rPr>
        <w:t>.</w:t>
      </w:r>
    </w:p>
    <w:p w:rsidR="001D1CE3" w:rsidRDefault="001D1CE3" w:rsidP="006129E8">
      <w:pPr>
        <w:rPr>
          <w:sz w:val="20"/>
        </w:rPr>
      </w:pPr>
    </w:p>
    <w:p w:rsidR="005047B1" w:rsidRDefault="00D90972" w:rsidP="005047B1">
      <w:pPr>
        <w:jc w:val="center"/>
      </w:pPr>
      <w:r>
        <w:pict>
          <v:shape id="_x0000_i1077" type="#_x0000_t75" style="width:303.55pt;height:252.85pt">
            <v:imagedata r:id="rId75" o:title=""/>
          </v:shape>
        </w:pict>
      </w:r>
    </w:p>
    <w:p w:rsidR="005047B1" w:rsidRDefault="005047B1" w:rsidP="005047B1">
      <w:pPr>
        <w:jc w:val="center"/>
      </w:pPr>
    </w:p>
    <w:p w:rsidR="005047B1" w:rsidRPr="005047B1" w:rsidRDefault="005047B1" w:rsidP="005047B1">
      <w:pPr>
        <w:jc w:val="center"/>
        <w:rPr>
          <w:b/>
          <w:sz w:val="20"/>
          <w:szCs w:val="22"/>
        </w:rPr>
      </w:pPr>
      <w:r w:rsidRPr="000C613B">
        <w:rPr>
          <w:b/>
          <w:sz w:val="20"/>
        </w:rPr>
        <w:t>Figure 1</w:t>
      </w:r>
      <w:r>
        <w:rPr>
          <w:b/>
          <w:sz w:val="20"/>
        </w:rPr>
        <w:t>1</w:t>
      </w:r>
      <w:r w:rsidRPr="000C613B">
        <w:rPr>
          <w:b/>
          <w:sz w:val="20"/>
        </w:rPr>
        <w:t xml:space="preserve">: </w:t>
      </w:r>
      <w:r>
        <w:rPr>
          <w:b/>
          <w:sz w:val="20"/>
        </w:rPr>
        <w:t>Region</w:t>
      </w:r>
      <w:r w:rsidR="005A6553">
        <w:rPr>
          <w:b/>
          <w:sz w:val="20"/>
        </w:rPr>
        <w:t>s</w:t>
      </w:r>
      <w:r>
        <w:rPr>
          <w:b/>
          <w:sz w:val="20"/>
        </w:rPr>
        <w:t xml:space="preserve"> in which </w:t>
      </w:r>
      <w:r w:rsidR="00707D47">
        <w:rPr>
          <w:b/>
          <w:sz w:val="20"/>
        </w:rPr>
        <w:t>non-contiguous resource allocations</w:t>
      </w:r>
      <w:r>
        <w:rPr>
          <w:b/>
          <w:sz w:val="20"/>
        </w:rPr>
        <w:t xml:space="preserve"> can be scheduled with reduced MPR.  </w:t>
      </w:r>
      <w:r w:rsidRPr="000753CE">
        <w:rPr>
          <w:b/>
          <w:i/>
          <w:sz w:val="20"/>
        </w:rPr>
        <w:t>RB_max</w:t>
      </w:r>
      <w:r>
        <w:rPr>
          <w:b/>
          <w:sz w:val="20"/>
        </w:rPr>
        <w:t xml:space="preserve"> for the </w:t>
      </w:r>
      <w:r w:rsidR="00707D47">
        <w:rPr>
          <w:b/>
          <w:sz w:val="20"/>
        </w:rPr>
        <w:t>non-contiguous resource allocation</w:t>
      </w:r>
      <w:r>
        <w:rPr>
          <w:b/>
          <w:sz w:val="20"/>
        </w:rPr>
        <w:t xml:space="preserve"> is shown as a function of </w:t>
      </w:r>
      <w:r w:rsidRPr="000753CE">
        <w:rPr>
          <w:b/>
          <w:i/>
          <w:sz w:val="20"/>
        </w:rPr>
        <w:t>RB_min</w:t>
      </w:r>
      <w:r>
        <w:rPr>
          <w:b/>
          <w:sz w:val="20"/>
        </w:rPr>
        <w:t xml:space="preserve"> for the two fifth-order IM constraints </w:t>
      </w:r>
      <w:r w:rsidRPr="00E50B38">
        <w:rPr>
          <w:position w:val="-14"/>
          <w:sz w:val="20"/>
        </w:rPr>
        <w:object w:dxaOrig="1100" w:dyaOrig="380">
          <v:shape id="_x0000_i1078" type="#_x0000_t75" style="width:54.7pt;height:19pt" o:ole="">
            <v:imagedata r:id="rId76" o:title=""/>
          </v:shape>
          <o:OLEObject Type="Embed" ProgID="Equation.DSMT4" ShapeID="_x0000_i1078" DrawAspect="Content" ObjectID="_1442071203" r:id="rId77"/>
        </w:object>
      </w:r>
      <w:r>
        <w:rPr>
          <w:sz w:val="20"/>
        </w:rPr>
        <w:t xml:space="preserve"> </w:t>
      </w:r>
      <w:r w:rsidRPr="005047B1">
        <w:rPr>
          <w:b/>
          <w:sz w:val="20"/>
        </w:rPr>
        <w:t>and</w:t>
      </w:r>
      <w:r>
        <w:rPr>
          <w:sz w:val="20"/>
        </w:rPr>
        <w:t xml:space="preserve"> </w:t>
      </w:r>
      <w:r w:rsidRPr="00E50B38">
        <w:rPr>
          <w:position w:val="-14"/>
          <w:sz w:val="20"/>
        </w:rPr>
        <w:object w:dxaOrig="1040" w:dyaOrig="380">
          <v:shape id="_x0000_i1079" type="#_x0000_t75" style="width:51.85pt;height:19pt" o:ole="">
            <v:imagedata r:id="rId78" o:title=""/>
          </v:shape>
          <o:OLEObject Type="Embed" ProgID="Equation.DSMT4" ShapeID="_x0000_i1079" DrawAspect="Content" ObjectID="_1442071204" r:id="rId79"/>
        </w:object>
      </w:r>
      <w:r w:rsidR="00625AFD">
        <w:rPr>
          <w:sz w:val="20"/>
        </w:rPr>
        <w:t xml:space="preserve"> </w:t>
      </w:r>
      <w:r w:rsidR="00625AFD" w:rsidRPr="00625AFD">
        <w:rPr>
          <w:b/>
          <w:sz w:val="20"/>
        </w:rPr>
        <w:t xml:space="preserve">(revised from </w:t>
      </w:r>
      <w:r w:rsidR="00707D47">
        <w:rPr>
          <w:b/>
          <w:sz w:val="20"/>
        </w:rPr>
        <w:t xml:space="preserve">Figure 11 of </w:t>
      </w:r>
      <w:r w:rsidR="00625AFD">
        <w:rPr>
          <w:b/>
          <w:sz w:val="20"/>
        </w:rPr>
        <w:t>[1])</w:t>
      </w:r>
      <w:r w:rsidRPr="00625AFD">
        <w:rPr>
          <w:b/>
          <w:sz w:val="20"/>
        </w:rPr>
        <w:t>.</w:t>
      </w:r>
    </w:p>
    <w:p w:rsidR="002376EB" w:rsidRDefault="002376EB" w:rsidP="005047B1">
      <w:pPr>
        <w:rPr>
          <w:sz w:val="20"/>
        </w:rPr>
      </w:pPr>
    </w:p>
    <w:p w:rsidR="005047B1" w:rsidRDefault="005047B1" w:rsidP="005047B1">
      <w:pPr>
        <w:rPr>
          <w:sz w:val="20"/>
        </w:rPr>
      </w:pPr>
      <w:r>
        <w:rPr>
          <w:sz w:val="20"/>
        </w:rPr>
        <w:t xml:space="preserve">A final alternative is to combine Proposals 1 and 2 into a Proposal 3 in which MPR is limited to 4.5 dB for </w:t>
      </w:r>
      <w:r w:rsidRPr="00E50B38">
        <w:rPr>
          <w:position w:val="-14"/>
          <w:sz w:val="20"/>
        </w:rPr>
        <w:object w:dxaOrig="1040" w:dyaOrig="380">
          <v:shape id="_x0000_i1080" type="#_x0000_t75" style="width:51.85pt;height:19pt" o:ole="">
            <v:imagedata r:id="rId68" o:title=""/>
          </v:shape>
          <o:OLEObject Type="Embed" ProgID="Equation.DSMT4" ShapeID="_x0000_i1080" DrawAspect="Content" ObjectID="_1442071205" r:id="rId80"/>
        </w:object>
      </w:r>
      <w:r>
        <w:rPr>
          <w:sz w:val="20"/>
        </w:rPr>
        <w:t xml:space="preserve">, but is limited to 5.5 dB for </w:t>
      </w:r>
      <w:r w:rsidR="00D70492" w:rsidRPr="00E50B38">
        <w:rPr>
          <w:position w:val="-14"/>
          <w:sz w:val="20"/>
        </w:rPr>
        <w:object w:dxaOrig="1939" w:dyaOrig="380">
          <v:shape id="_x0000_i1081" type="#_x0000_t75" style="width:96.75pt;height:19pt" o:ole="">
            <v:imagedata r:id="rId81" o:title=""/>
          </v:shape>
          <o:OLEObject Type="Embed" ProgID="Equation.DSMT4" ShapeID="_x0000_i1081" DrawAspect="Content" ObjectID="_1442071206" r:id="rId82"/>
        </w:object>
      </w:r>
      <w:r>
        <w:rPr>
          <w:sz w:val="20"/>
        </w:rPr>
        <w:t>.</w:t>
      </w:r>
    </w:p>
    <w:p w:rsidR="00281E50" w:rsidRDefault="00281E50" w:rsidP="005047B1">
      <w:pPr>
        <w:rPr>
          <w:sz w:val="20"/>
        </w:rPr>
      </w:pPr>
    </w:p>
    <w:p w:rsidR="001D1CE3" w:rsidRPr="00CD459F" w:rsidRDefault="001D1CE3" w:rsidP="005047B1">
      <w:pPr>
        <w:rPr>
          <w:b/>
          <w:sz w:val="20"/>
          <w:szCs w:val="22"/>
        </w:rPr>
      </w:pPr>
      <w:r w:rsidRPr="00CD459F">
        <w:rPr>
          <w:b/>
          <w:sz w:val="20"/>
          <w:szCs w:val="22"/>
        </w:rPr>
        <w:t>Proposal</w:t>
      </w:r>
      <w:r>
        <w:rPr>
          <w:b/>
          <w:sz w:val="20"/>
          <w:szCs w:val="22"/>
        </w:rPr>
        <w:t xml:space="preserve"> </w:t>
      </w:r>
      <w:r w:rsidR="00BC01A5">
        <w:rPr>
          <w:b/>
          <w:sz w:val="20"/>
          <w:szCs w:val="22"/>
        </w:rPr>
        <w:t>3</w:t>
      </w:r>
      <w:r w:rsidRPr="00CD459F">
        <w:rPr>
          <w:b/>
          <w:sz w:val="20"/>
          <w:szCs w:val="22"/>
        </w:rPr>
        <w:t>:</w:t>
      </w:r>
    </w:p>
    <w:p w:rsidR="00E70237" w:rsidRDefault="00E70237" w:rsidP="00E70237">
      <w:pPr>
        <w:ind w:left="720"/>
        <w:rPr>
          <w:b/>
          <w:sz w:val="20"/>
          <w:szCs w:val="22"/>
        </w:rPr>
      </w:pPr>
      <w:r w:rsidRPr="00CD459F">
        <w:rPr>
          <w:b/>
          <w:sz w:val="20"/>
          <w:szCs w:val="22"/>
        </w:rPr>
        <w:t>For contiguous intra-band carrier aggregation of two comp</w:t>
      </w:r>
      <w:r w:rsidR="008F5B8F">
        <w:rPr>
          <w:b/>
          <w:sz w:val="20"/>
          <w:szCs w:val="22"/>
        </w:rPr>
        <w:t>onent carriers, the MPR for any non-contiguous resource</w:t>
      </w:r>
      <w:r w:rsidRPr="00CD459F">
        <w:rPr>
          <w:b/>
          <w:sz w:val="20"/>
          <w:szCs w:val="22"/>
        </w:rPr>
        <w:t xml:space="preserve"> allocation for which </w:t>
      </w:r>
    </w:p>
    <w:p w:rsidR="00E70237" w:rsidRPr="00CD459F" w:rsidRDefault="00E70237" w:rsidP="00E70237">
      <w:pPr>
        <w:ind w:left="720"/>
        <w:jc w:val="center"/>
        <w:rPr>
          <w:b/>
          <w:sz w:val="20"/>
          <w:szCs w:val="22"/>
        </w:rPr>
      </w:pPr>
      <w:r w:rsidRPr="00CD459F">
        <w:rPr>
          <w:position w:val="-24"/>
          <w:sz w:val="20"/>
          <w:szCs w:val="22"/>
        </w:rPr>
        <w:object w:dxaOrig="1820" w:dyaOrig="660">
          <v:shape id="_x0000_i1082" type="#_x0000_t75" style="width:91pt;height:34pt" o:ole="">
            <v:imagedata r:id="rId83" o:title=""/>
          </v:shape>
          <o:OLEObject Type="Embed" ProgID="Equation.DSMT4" ShapeID="_x0000_i1082" DrawAspect="Content" ObjectID="_1442071207" r:id="rId84"/>
        </w:object>
      </w:r>
      <w:r w:rsidRPr="00CD459F">
        <w:rPr>
          <w:sz w:val="20"/>
          <w:szCs w:val="22"/>
        </w:rPr>
        <w:t>,</w:t>
      </w:r>
    </w:p>
    <w:p w:rsidR="00E70237" w:rsidRPr="00CD459F" w:rsidRDefault="00E70237" w:rsidP="00E70237">
      <w:pPr>
        <w:ind w:left="720"/>
        <w:rPr>
          <w:b/>
          <w:sz w:val="20"/>
          <w:szCs w:val="22"/>
        </w:rPr>
      </w:pPr>
      <w:r w:rsidRPr="00CD459F">
        <w:rPr>
          <w:b/>
          <w:sz w:val="20"/>
          <w:szCs w:val="22"/>
        </w:rPr>
        <w:t xml:space="preserve">MPR is limited to the minimum of the MPR currently specified in Section 6.2.3A and </w:t>
      </w:r>
      <w:r w:rsidRPr="005A6553">
        <w:rPr>
          <w:b/>
          <w:sz w:val="20"/>
          <w:szCs w:val="22"/>
        </w:rPr>
        <w:t>4.5</w:t>
      </w:r>
      <w:r w:rsidRPr="00CD459F">
        <w:rPr>
          <w:b/>
          <w:sz w:val="20"/>
          <w:szCs w:val="22"/>
        </w:rPr>
        <w:t xml:space="preserve"> dB.</w:t>
      </w:r>
      <w:r>
        <w:rPr>
          <w:b/>
          <w:sz w:val="20"/>
          <w:szCs w:val="22"/>
        </w:rPr>
        <w:t xml:space="preserve">  </w:t>
      </w:r>
      <w:r w:rsidRPr="00CD459F">
        <w:rPr>
          <w:b/>
          <w:sz w:val="20"/>
          <w:szCs w:val="22"/>
        </w:rPr>
        <w:t xml:space="preserve">For any </w:t>
      </w:r>
      <w:r w:rsidR="008F5B8F">
        <w:rPr>
          <w:b/>
          <w:sz w:val="20"/>
          <w:szCs w:val="22"/>
        </w:rPr>
        <w:t>non-contiguous resource</w:t>
      </w:r>
      <w:r w:rsidRPr="00CD459F">
        <w:rPr>
          <w:b/>
          <w:sz w:val="20"/>
          <w:szCs w:val="22"/>
        </w:rPr>
        <w:t xml:space="preserve"> allocation for which </w:t>
      </w:r>
    </w:p>
    <w:p w:rsidR="00E70237" w:rsidRPr="00CD459F" w:rsidRDefault="00E70237" w:rsidP="00E70237">
      <w:pPr>
        <w:ind w:left="720"/>
        <w:jc w:val="center"/>
        <w:rPr>
          <w:b/>
          <w:sz w:val="20"/>
          <w:szCs w:val="22"/>
        </w:rPr>
      </w:pPr>
      <w:r w:rsidRPr="00CD459F">
        <w:rPr>
          <w:position w:val="-24"/>
          <w:sz w:val="20"/>
          <w:szCs w:val="22"/>
        </w:rPr>
        <w:object w:dxaOrig="3980" w:dyaOrig="660">
          <v:shape id="_x0000_i1083" type="#_x0000_t75" style="width:198.15pt;height:34pt" o:ole="">
            <v:imagedata r:id="rId85" o:title=""/>
          </v:shape>
          <o:OLEObject Type="Embed" ProgID="Equation.DSMT4" ShapeID="_x0000_i1083" DrawAspect="Content" ObjectID="_1442071208" r:id="rId86"/>
        </w:object>
      </w:r>
      <w:r w:rsidRPr="00CD459F">
        <w:rPr>
          <w:sz w:val="20"/>
          <w:szCs w:val="22"/>
        </w:rPr>
        <w:t>,</w:t>
      </w:r>
    </w:p>
    <w:p w:rsidR="00E70237" w:rsidRDefault="00E70237" w:rsidP="00E70237">
      <w:pPr>
        <w:ind w:left="720"/>
        <w:rPr>
          <w:b/>
          <w:sz w:val="20"/>
          <w:szCs w:val="22"/>
        </w:rPr>
      </w:pPr>
      <w:r w:rsidRPr="00CD459F">
        <w:rPr>
          <w:b/>
          <w:sz w:val="20"/>
          <w:szCs w:val="22"/>
        </w:rPr>
        <w:t xml:space="preserve">MPR is limited to the minimum of the MPR currently specified in Section 6.2.3A and </w:t>
      </w:r>
      <w:r w:rsidRPr="005A6553">
        <w:rPr>
          <w:b/>
          <w:sz w:val="20"/>
          <w:szCs w:val="22"/>
        </w:rPr>
        <w:t>5.5</w:t>
      </w:r>
      <w:r w:rsidRPr="00CD459F">
        <w:rPr>
          <w:b/>
          <w:sz w:val="20"/>
          <w:szCs w:val="22"/>
        </w:rPr>
        <w:t xml:space="preserve"> dB.</w:t>
      </w:r>
    </w:p>
    <w:p w:rsidR="000733C9" w:rsidRDefault="000733C9" w:rsidP="000733C9">
      <w:pPr>
        <w:jc w:val="center"/>
        <w:rPr>
          <w:sz w:val="20"/>
        </w:rPr>
      </w:pPr>
    </w:p>
    <w:p w:rsidR="001D1CE3" w:rsidRDefault="00BC01A5" w:rsidP="006129E8">
      <w:pPr>
        <w:rPr>
          <w:sz w:val="20"/>
        </w:rPr>
      </w:pPr>
      <w:r>
        <w:rPr>
          <w:sz w:val="20"/>
        </w:rPr>
        <w:lastRenderedPageBreak/>
        <w:t>Proposal 3 can be captured in the specification in the following manner:</w:t>
      </w:r>
    </w:p>
    <w:p w:rsidR="00C9093B" w:rsidRDefault="00C9093B" w:rsidP="006129E8">
      <w:pPr>
        <w:rPr>
          <w:sz w:val="20"/>
          <w:szCs w:val="22"/>
        </w:rPr>
      </w:pPr>
    </w:p>
    <w:p w:rsidR="000733C9" w:rsidRPr="00D416CB" w:rsidRDefault="00C9093B" w:rsidP="00D416CB">
      <w:pPr>
        <w:ind w:left="720"/>
        <w:rPr>
          <w:i/>
          <w:sz w:val="20"/>
          <w:szCs w:val="22"/>
        </w:rPr>
      </w:pPr>
      <w:r>
        <w:rPr>
          <w:sz w:val="20"/>
          <w:szCs w:val="22"/>
        </w:rPr>
        <w:t xml:space="preserve"> </w:t>
      </w:r>
      <w:r w:rsidR="000733C9" w:rsidRPr="00D416CB">
        <w:rPr>
          <w:i/>
          <w:sz w:val="20"/>
          <w:szCs w:val="22"/>
        </w:rPr>
        <w:t xml:space="preserve">Let </w:t>
      </w:r>
      <w:r w:rsidR="000733C9" w:rsidRPr="00D416CB">
        <w:rPr>
          <w:i/>
          <w:position w:val="-4"/>
          <w:sz w:val="20"/>
        </w:rPr>
        <w:object w:dxaOrig="220" w:dyaOrig="260">
          <v:shape id="_x0000_i1084" type="#_x0000_t75" style="width:11.5pt;height:13.25pt" o:ole="">
            <v:imagedata r:id="rId87" o:title=""/>
          </v:shape>
          <o:OLEObject Type="Embed" ProgID="Equation.DSMT4" ShapeID="_x0000_i1084" DrawAspect="Content" ObjectID="_1442071209" r:id="rId88"/>
        </w:object>
      </w:r>
      <w:r w:rsidR="000733C9" w:rsidRPr="00D416CB">
        <w:rPr>
          <w:i/>
          <w:sz w:val="20"/>
        </w:rPr>
        <w:t xml:space="preserve"> be defined as</w:t>
      </w:r>
    </w:p>
    <w:p w:rsidR="000733C9" w:rsidRPr="00D416CB" w:rsidRDefault="00E70237" w:rsidP="00D416CB">
      <w:pPr>
        <w:ind w:left="720"/>
        <w:jc w:val="center"/>
        <w:rPr>
          <w:i/>
          <w:sz w:val="20"/>
          <w:szCs w:val="22"/>
        </w:rPr>
      </w:pPr>
      <w:r w:rsidRPr="00D416CB">
        <w:rPr>
          <w:i/>
          <w:position w:val="-20"/>
          <w:sz w:val="20"/>
          <w:szCs w:val="22"/>
        </w:rPr>
        <w:object w:dxaOrig="8020" w:dyaOrig="520">
          <v:shape id="_x0000_i1085" type="#_x0000_t75" style="width:401.45pt;height:26.5pt" o:ole="">
            <v:imagedata r:id="rId89" o:title=""/>
          </v:shape>
          <o:OLEObject Type="Embed" ProgID="Equation.DSMT4" ShapeID="_x0000_i1085" DrawAspect="Content" ObjectID="_1442071210" r:id="rId90"/>
        </w:object>
      </w:r>
    </w:p>
    <w:p w:rsidR="00E70237" w:rsidRPr="00D416CB" w:rsidRDefault="00E70237" w:rsidP="00D416CB">
      <w:pPr>
        <w:ind w:left="720"/>
        <w:rPr>
          <w:i/>
          <w:sz w:val="20"/>
          <w:szCs w:val="22"/>
        </w:rPr>
      </w:pPr>
      <w:r w:rsidRPr="00D416CB">
        <w:rPr>
          <w:i/>
          <w:sz w:val="20"/>
          <w:szCs w:val="22"/>
        </w:rPr>
        <w:t xml:space="preserve">If the </w:t>
      </w:r>
      <w:r w:rsidR="008F5B8F">
        <w:rPr>
          <w:i/>
          <w:sz w:val="20"/>
          <w:szCs w:val="22"/>
        </w:rPr>
        <w:t>non-contiguous resource</w:t>
      </w:r>
      <w:r w:rsidRPr="00D416CB">
        <w:rPr>
          <w:i/>
          <w:sz w:val="20"/>
          <w:szCs w:val="22"/>
        </w:rPr>
        <w:t xml:space="preserve"> allocation is such that</w:t>
      </w:r>
    </w:p>
    <w:p w:rsidR="00E70237" w:rsidRPr="00D416CB" w:rsidRDefault="00E70237" w:rsidP="00D416CB">
      <w:pPr>
        <w:ind w:left="720"/>
        <w:jc w:val="center"/>
        <w:rPr>
          <w:b/>
          <w:i/>
          <w:sz w:val="20"/>
          <w:szCs w:val="22"/>
        </w:rPr>
      </w:pPr>
      <w:r w:rsidRPr="00D416CB">
        <w:rPr>
          <w:i/>
          <w:position w:val="-24"/>
          <w:sz w:val="20"/>
          <w:szCs w:val="22"/>
        </w:rPr>
        <w:object w:dxaOrig="1820" w:dyaOrig="660">
          <v:shape id="_x0000_i1086" type="#_x0000_t75" style="width:91pt;height:34pt" o:ole="">
            <v:imagedata r:id="rId83" o:title=""/>
          </v:shape>
          <o:OLEObject Type="Embed" ProgID="Equation.DSMT4" ShapeID="_x0000_i1086" DrawAspect="Content" ObjectID="_1442071211" r:id="rId91"/>
        </w:object>
      </w:r>
      <w:r w:rsidRPr="00D416CB">
        <w:rPr>
          <w:i/>
          <w:sz w:val="20"/>
          <w:szCs w:val="22"/>
        </w:rPr>
        <w:t>,</w:t>
      </w:r>
    </w:p>
    <w:p w:rsidR="00E70237" w:rsidRPr="00D416CB" w:rsidRDefault="00E70237" w:rsidP="00D416CB">
      <w:pPr>
        <w:ind w:left="720"/>
        <w:rPr>
          <w:i/>
          <w:sz w:val="20"/>
          <w:szCs w:val="22"/>
        </w:rPr>
      </w:pPr>
      <w:r w:rsidRPr="00D416CB">
        <w:rPr>
          <w:rFonts w:hint="eastAsia"/>
          <w:i/>
          <w:sz w:val="20"/>
          <w:szCs w:val="22"/>
        </w:rPr>
        <w:t xml:space="preserve">the allowed Maximum Power Reduction (MPR) for the maximum output power in table 6.2.2A-1, is </w:t>
      </w:r>
      <w:r w:rsidRPr="00D416CB">
        <w:rPr>
          <w:i/>
          <w:sz w:val="20"/>
          <w:szCs w:val="22"/>
        </w:rPr>
        <w:t>specified</w:t>
      </w:r>
      <w:r w:rsidRPr="00D416CB">
        <w:rPr>
          <w:rFonts w:hint="eastAsia"/>
          <w:i/>
          <w:sz w:val="20"/>
          <w:szCs w:val="22"/>
        </w:rPr>
        <w:t xml:space="preserve"> as </w:t>
      </w:r>
    </w:p>
    <w:p w:rsidR="00E70237" w:rsidRPr="00D416CB" w:rsidRDefault="00E70237" w:rsidP="00D416CB">
      <w:pPr>
        <w:ind w:left="720"/>
        <w:jc w:val="center"/>
        <w:rPr>
          <w:i/>
          <w:sz w:val="20"/>
          <w:szCs w:val="22"/>
        </w:rPr>
      </w:pPr>
    </w:p>
    <w:p w:rsidR="00E70237" w:rsidRPr="00D416CB" w:rsidRDefault="00E70237" w:rsidP="00D416CB">
      <w:pPr>
        <w:ind w:left="720"/>
        <w:jc w:val="center"/>
        <w:rPr>
          <w:i/>
          <w:sz w:val="20"/>
          <w:szCs w:val="22"/>
        </w:rPr>
      </w:pPr>
      <w:r w:rsidRPr="00D416CB">
        <w:rPr>
          <w:rFonts w:hint="eastAsia"/>
          <w:i/>
          <w:sz w:val="20"/>
          <w:szCs w:val="22"/>
        </w:rPr>
        <w:t>MPR = CEIL {</w:t>
      </w:r>
      <w:r w:rsidRPr="00D416CB">
        <w:rPr>
          <w:i/>
          <w:sz w:val="20"/>
          <w:szCs w:val="22"/>
        </w:rPr>
        <w:t>min(</w:t>
      </w:r>
      <w:r w:rsidRPr="00D416CB">
        <w:rPr>
          <w:rFonts w:hint="eastAsia"/>
          <w:i/>
          <w:sz w:val="20"/>
          <w:szCs w:val="22"/>
        </w:rPr>
        <w:t>M</w:t>
      </w:r>
      <w:r w:rsidRPr="00D416CB">
        <w:rPr>
          <w:rFonts w:hint="eastAsia"/>
          <w:i/>
          <w:sz w:val="20"/>
          <w:szCs w:val="22"/>
          <w:vertAlign w:val="subscript"/>
        </w:rPr>
        <w:t>A</w:t>
      </w:r>
      <w:r w:rsidRPr="00D416CB">
        <w:rPr>
          <w:rFonts w:hint="eastAsia"/>
          <w:i/>
          <w:sz w:val="20"/>
          <w:szCs w:val="22"/>
        </w:rPr>
        <w:t>,</w:t>
      </w:r>
      <w:r w:rsidRPr="00D416CB">
        <w:rPr>
          <w:i/>
          <w:sz w:val="20"/>
          <w:szCs w:val="22"/>
        </w:rPr>
        <w:t xml:space="preserve"> 4.5),</w:t>
      </w:r>
      <w:r w:rsidRPr="00D416CB">
        <w:rPr>
          <w:rFonts w:hint="eastAsia"/>
          <w:i/>
          <w:sz w:val="20"/>
          <w:szCs w:val="22"/>
        </w:rPr>
        <w:t xml:space="preserve"> 0.5}</w:t>
      </w:r>
      <w:r w:rsidRPr="00D416CB">
        <w:rPr>
          <w:i/>
          <w:sz w:val="20"/>
          <w:szCs w:val="22"/>
        </w:rPr>
        <w:t>.</w:t>
      </w:r>
    </w:p>
    <w:p w:rsidR="00E70237" w:rsidRPr="00D416CB" w:rsidRDefault="00E70237" w:rsidP="00D416CB">
      <w:pPr>
        <w:ind w:left="720"/>
        <w:jc w:val="center"/>
        <w:rPr>
          <w:i/>
          <w:sz w:val="20"/>
          <w:szCs w:val="22"/>
        </w:rPr>
      </w:pPr>
    </w:p>
    <w:p w:rsidR="00E70237" w:rsidRPr="00D416CB" w:rsidRDefault="00E70237" w:rsidP="00D416CB">
      <w:pPr>
        <w:ind w:left="720"/>
        <w:rPr>
          <w:i/>
          <w:sz w:val="20"/>
          <w:szCs w:val="22"/>
        </w:rPr>
      </w:pPr>
      <w:r w:rsidRPr="00D416CB">
        <w:rPr>
          <w:i/>
          <w:sz w:val="20"/>
          <w:szCs w:val="22"/>
        </w:rPr>
        <w:t xml:space="preserve">If the </w:t>
      </w:r>
      <w:r w:rsidR="008F5B8F">
        <w:rPr>
          <w:i/>
          <w:sz w:val="20"/>
          <w:szCs w:val="22"/>
        </w:rPr>
        <w:t>non-contiguous resource</w:t>
      </w:r>
      <w:r w:rsidRPr="00D416CB">
        <w:rPr>
          <w:i/>
          <w:sz w:val="20"/>
          <w:szCs w:val="22"/>
        </w:rPr>
        <w:t xml:space="preserve"> allocation is such that</w:t>
      </w:r>
    </w:p>
    <w:p w:rsidR="00E70237" w:rsidRPr="00D416CB" w:rsidRDefault="00E70237" w:rsidP="00D416CB">
      <w:pPr>
        <w:ind w:left="720"/>
        <w:rPr>
          <w:i/>
          <w:sz w:val="20"/>
          <w:szCs w:val="22"/>
        </w:rPr>
      </w:pPr>
    </w:p>
    <w:p w:rsidR="00E70237" w:rsidRPr="00D416CB" w:rsidRDefault="00E70237" w:rsidP="00D416CB">
      <w:pPr>
        <w:ind w:left="720"/>
        <w:jc w:val="center"/>
        <w:rPr>
          <w:b/>
          <w:i/>
          <w:sz w:val="20"/>
          <w:szCs w:val="22"/>
        </w:rPr>
      </w:pPr>
      <w:r w:rsidRPr="00D416CB">
        <w:rPr>
          <w:i/>
          <w:position w:val="-24"/>
          <w:sz w:val="20"/>
          <w:szCs w:val="22"/>
        </w:rPr>
        <w:object w:dxaOrig="3980" w:dyaOrig="660">
          <v:shape id="_x0000_i1087" type="#_x0000_t75" style="width:198.15pt;height:34pt" o:ole="">
            <v:imagedata r:id="rId85" o:title=""/>
          </v:shape>
          <o:OLEObject Type="Embed" ProgID="Equation.DSMT4" ShapeID="_x0000_i1087" DrawAspect="Content" ObjectID="_1442071212" r:id="rId92"/>
        </w:object>
      </w:r>
      <w:r w:rsidRPr="00D416CB">
        <w:rPr>
          <w:i/>
          <w:sz w:val="20"/>
          <w:szCs w:val="22"/>
        </w:rPr>
        <w:t>,</w:t>
      </w:r>
    </w:p>
    <w:p w:rsidR="00E70237" w:rsidRPr="00D416CB" w:rsidRDefault="00E70237" w:rsidP="00D416CB">
      <w:pPr>
        <w:ind w:left="720"/>
        <w:rPr>
          <w:i/>
          <w:sz w:val="20"/>
          <w:szCs w:val="22"/>
        </w:rPr>
      </w:pPr>
      <w:r w:rsidRPr="00D416CB">
        <w:rPr>
          <w:rFonts w:hint="eastAsia"/>
          <w:i/>
          <w:sz w:val="20"/>
          <w:szCs w:val="22"/>
        </w:rPr>
        <w:t xml:space="preserve">the allowed Maximum Power Reduction (MPR) for the maximum output power in table 6.2.2A-1, is </w:t>
      </w:r>
      <w:r w:rsidRPr="00D416CB">
        <w:rPr>
          <w:i/>
          <w:sz w:val="20"/>
          <w:szCs w:val="22"/>
        </w:rPr>
        <w:t>specified</w:t>
      </w:r>
      <w:r w:rsidRPr="00D416CB">
        <w:rPr>
          <w:rFonts w:hint="eastAsia"/>
          <w:i/>
          <w:sz w:val="20"/>
          <w:szCs w:val="22"/>
        </w:rPr>
        <w:t xml:space="preserve"> as </w:t>
      </w:r>
    </w:p>
    <w:p w:rsidR="00E70237" w:rsidRPr="00D416CB" w:rsidRDefault="00E70237" w:rsidP="00D416CB">
      <w:pPr>
        <w:jc w:val="center"/>
        <w:rPr>
          <w:i/>
          <w:sz w:val="20"/>
          <w:szCs w:val="22"/>
        </w:rPr>
      </w:pPr>
    </w:p>
    <w:p w:rsidR="00E70237" w:rsidRDefault="00E70237" w:rsidP="00D416CB">
      <w:pPr>
        <w:jc w:val="center"/>
        <w:rPr>
          <w:i/>
          <w:sz w:val="20"/>
          <w:szCs w:val="22"/>
        </w:rPr>
      </w:pPr>
      <w:r w:rsidRPr="00D416CB">
        <w:rPr>
          <w:rFonts w:hint="eastAsia"/>
          <w:i/>
          <w:sz w:val="20"/>
          <w:szCs w:val="22"/>
        </w:rPr>
        <w:t>MPR = CEIL {</w:t>
      </w:r>
      <w:r w:rsidRPr="00D416CB">
        <w:rPr>
          <w:i/>
          <w:sz w:val="20"/>
          <w:szCs w:val="22"/>
        </w:rPr>
        <w:t>min(</w:t>
      </w:r>
      <w:r w:rsidRPr="00D416CB">
        <w:rPr>
          <w:rFonts w:hint="eastAsia"/>
          <w:i/>
          <w:sz w:val="20"/>
          <w:szCs w:val="22"/>
        </w:rPr>
        <w:t>M</w:t>
      </w:r>
      <w:r w:rsidRPr="00D416CB">
        <w:rPr>
          <w:rFonts w:hint="eastAsia"/>
          <w:i/>
          <w:sz w:val="20"/>
          <w:szCs w:val="22"/>
          <w:vertAlign w:val="subscript"/>
        </w:rPr>
        <w:t>A</w:t>
      </w:r>
      <w:r w:rsidRPr="00D416CB">
        <w:rPr>
          <w:rFonts w:hint="eastAsia"/>
          <w:i/>
          <w:sz w:val="20"/>
          <w:szCs w:val="22"/>
        </w:rPr>
        <w:t>,</w:t>
      </w:r>
      <w:r w:rsidRPr="00D416CB">
        <w:rPr>
          <w:i/>
          <w:sz w:val="20"/>
          <w:szCs w:val="22"/>
        </w:rPr>
        <w:t xml:space="preserve"> 5.5),</w:t>
      </w:r>
      <w:r w:rsidRPr="00D416CB">
        <w:rPr>
          <w:rFonts w:hint="eastAsia"/>
          <w:i/>
          <w:sz w:val="20"/>
          <w:szCs w:val="22"/>
        </w:rPr>
        <w:t xml:space="preserve"> 0.5}</w:t>
      </w:r>
    </w:p>
    <w:p w:rsidR="00770035" w:rsidRPr="00D416CB" w:rsidRDefault="00770035" w:rsidP="00D416CB">
      <w:pPr>
        <w:jc w:val="center"/>
        <w:rPr>
          <w:i/>
          <w:sz w:val="20"/>
          <w:szCs w:val="22"/>
        </w:rPr>
      </w:pPr>
    </w:p>
    <w:p w:rsidR="00770035" w:rsidRDefault="00770035" w:rsidP="00770035">
      <w:pPr>
        <w:pStyle w:val="Heading1"/>
        <w:spacing w:after="120"/>
        <w:jc w:val="both"/>
        <w:rPr>
          <w:b/>
          <w:color w:val="000000"/>
        </w:rPr>
      </w:pPr>
      <w:r>
        <w:rPr>
          <w:b/>
          <w:color w:val="000000"/>
        </w:rPr>
        <w:t>Benefits of MPR Reduction for Smaller Allocations</w:t>
      </w:r>
    </w:p>
    <w:p w:rsidR="00770035" w:rsidRDefault="00770035" w:rsidP="00770035">
      <w:pPr>
        <w:rPr>
          <w:sz w:val="20"/>
          <w:szCs w:val="22"/>
        </w:rPr>
      </w:pPr>
      <w:r>
        <w:rPr>
          <w:sz w:val="20"/>
          <w:szCs w:val="22"/>
        </w:rPr>
        <w:t>The benefit of reducing the MPR for allocation ratios for which the fifth order intermodulation products do not reach the spurious domain and/or the outermost 5 MHz of the SEM depends on multiple factors including the loading of the two component carriers and the behavior of the scheduler.  If the system is lightly loaded, then the primary benefit of uplink carrier aggregation is the increase in the peak data rate and there may not be much benefit to reducing MPR for smaller allocation ratios.  Conversely, if the system has significant loading, the primary benefit of carrier aggregation may depend on the use of non-contiguous resource allocations with small allocation ratios.  In this second scenario, the benefits of carrier aggregation include:</w:t>
      </w:r>
    </w:p>
    <w:p w:rsidR="00770035" w:rsidRDefault="00770035" w:rsidP="00770035">
      <w:pPr>
        <w:rPr>
          <w:sz w:val="20"/>
          <w:szCs w:val="22"/>
        </w:rPr>
      </w:pPr>
    </w:p>
    <w:p w:rsidR="00770035" w:rsidRPr="00520AA2" w:rsidRDefault="00770035" w:rsidP="00770035">
      <w:pPr>
        <w:numPr>
          <w:ilvl w:val="0"/>
          <w:numId w:val="31"/>
        </w:numPr>
        <w:rPr>
          <w:sz w:val="20"/>
          <w:szCs w:val="22"/>
        </w:rPr>
      </w:pPr>
      <w:r w:rsidRPr="00C51190">
        <w:rPr>
          <w:b/>
          <w:sz w:val="20"/>
          <w:szCs w:val="22"/>
        </w:rPr>
        <w:t>load balancing</w:t>
      </w:r>
      <w:r>
        <w:rPr>
          <w:sz w:val="20"/>
          <w:szCs w:val="22"/>
        </w:rPr>
        <w:t xml:space="preserve"> between the two component carriers;</w:t>
      </w:r>
    </w:p>
    <w:p w:rsidR="00770035" w:rsidRDefault="00770035" w:rsidP="00770035">
      <w:pPr>
        <w:numPr>
          <w:ilvl w:val="0"/>
          <w:numId w:val="31"/>
        </w:numPr>
        <w:rPr>
          <w:sz w:val="20"/>
          <w:szCs w:val="22"/>
        </w:rPr>
      </w:pPr>
      <w:r w:rsidRPr="00C51190">
        <w:rPr>
          <w:b/>
          <w:sz w:val="20"/>
          <w:szCs w:val="22"/>
        </w:rPr>
        <w:t xml:space="preserve">an increase in average </w:t>
      </w:r>
      <w:r>
        <w:rPr>
          <w:b/>
          <w:sz w:val="20"/>
          <w:szCs w:val="22"/>
        </w:rPr>
        <w:t xml:space="preserve">user </w:t>
      </w:r>
      <w:r w:rsidRPr="00C51190">
        <w:rPr>
          <w:b/>
          <w:sz w:val="20"/>
          <w:szCs w:val="22"/>
        </w:rPr>
        <w:t>throughput</w:t>
      </w:r>
      <w:r>
        <w:rPr>
          <w:sz w:val="20"/>
          <w:szCs w:val="22"/>
        </w:rPr>
        <w:t xml:space="preserve"> of the CA-capable UE resulting from the scheduling of these UE’s on unused resources on the secondary component carrier;</w:t>
      </w:r>
    </w:p>
    <w:p w:rsidR="00770035" w:rsidRDefault="00770035" w:rsidP="00770035">
      <w:pPr>
        <w:numPr>
          <w:ilvl w:val="0"/>
          <w:numId w:val="31"/>
        </w:numPr>
        <w:rPr>
          <w:sz w:val="20"/>
          <w:szCs w:val="22"/>
        </w:rPr>
      </w:pPr>
      <w:r w:rsidRPr="00C51190">
        <w:rPr>
          <w:b/>
          <w:sz w:val="20"/>
          <w:szCs w:val="22"/>
        </w:rPr>
        <w:t>an increase in system throughput</w:t>
      </w:r>
      <w:r>
        <w:rPr>
          <w:sz w:val="20"/>
          <w:szCs w:val="22"/>
        </w:rPr>
        <w:t xml:space="preserve"> due to the fact that idle resources on either component carrier can be allocated to any CA-capable UE.</w:t>
      </w:r>
    </w:p>
    <w:p w:rsidR="00770035" w:rsidRDefault="00770035" w:rsidP="00770035">
      <w:pPr>
        <w:ind w:left="1080"/>
        <w:rPr>
          <w:sz w:val="20"/>
          <w:szCs w:val="22"/>
        </w:rPr>
      </w:pPr>
    </w:p>
    <w:p w:rsidR="00770035" w:rsidRDefault="00770035" w:rsidP="00770035">
      <w:pPr>
        <w:rPr>
          <w:sz w:val="20"/>
          <w:szCs w:val="22"/>
        </w:rPr>
      </w:pPr>
      <w:r>
        <w:rPr>
          <w:sz w:val="20"/>
          <w:szCs w:val="22"/>
        </w:rPr>
        <w:t>In this latter scenario in which the network is congested, smaller allocations become more significant as they can help to increase both the average user throughput and the average system throughput.</w:t>
      </w:r>
    </w:p>
    <w:p w:rsidR="00E74340" w:rsidRDefault="00E74340" w:rsidP="00770035">
      <w:pPr>
        <w:rPr>
          <w:sz w:val="20"/>
          <w:szCs w:val="22"/>
        </w:rPr>
      </w:pPr>
    </w:p>
    <w:p w:rsidR="00A41DB9" w:rsidRDefault="00A41DB9" w:rsidP="00770035">
      <w:pPr>
        <w:rPr>
          <w:sz w:val="20"/>
          <w:szCs w:val="22"/>
        </w:rPr>
      </w:pPr>
      <w:r>
        <w:rPr>
          <w:sz w:val="20"/>
          <w:szCs w:val="22"/>
        </w:rPr>
        <w:t xml:space="preserve">It can be argued that the </w:t>
      </w:r>
      <w:r w:rsidR="00E4658A">
        <w:rPr>
          <w:sz w:val="20"/>
          <w:szCs w:val="22"/>
        </w:rPr>
        <w:t xml:space="preserve">large </w:t>
      </w:r>
      <w:r>
        <w:rPr>
          <w:sz w:val="20"/>
          <w:szCs w:val="22"/>
        </w:rPr>
        <w:t xml:space="preserve">MPR </w:t>
      </w:r>
      <w:r w:rsidR="005C7030">
        <w:rPr>
          <w:sz w:val="20"/>
          <w:szCs w:val="22"/>
        </w:rPr>
        <w:t>associated with</w:t>
      </w:r>
      <w:r>
        <w:rPr>
          <w:sz w:val="20"/>
          <w:szCs w:val="22"/>
        </w:rPr>
        <w:t xml:space="preserve"> small non-contiguous resource allocations can be reduced by simply assigning contiguous resource allocations in combination with the MPR specified in Table 6.2.3A-1.  However, the requirement to schedule contiguous resources across the boundary between carriers is much more restrictive from a scheduling perspective than what has been proposed in this contribution (e.g., any contiguous resource allocation with allocation ratio less than 0.22 will automatically have the property that the fifth order </w:t>
      </w:r>
      <w:r w:rsidR="005C7030">
        <w:rPr>
          <w:sz w:val="20"/>
          <w:szCs w:val="22"/>
        </w:rPr>
        <w:t>IM</w:t>
      </w:r>
      <w:r>
        <w:rPr>
          <w:sz w:val="20"/>
          <w:szCs w:val="22"/>
        </w:rPr>
        <w:t xml:space="preserve"> products do not reach the spurious domain or the outermost 5 MHz of the SEM).  Furthermore, the scheduling of contiguous resource allocations </w:t>
      </w:r>
      <w:r w:rsidR="00631550">
        <w:rPr>
          <w:sz w:val="20"/>
          <w:szCs w:val="22"/>
        </w:rPr>
        <w:t xml:space="preserve">across the boundary between component carriers </w:t>
      </w:r>
      <w:r>
        <w:rPr>
          <w:sz w:val="20"/>
          <w:szCs w:val="22"/>
        </w:rPr>
        <w:t xml:space="preserve">will be complicated by the existence of PUCCH resources at the edges of each of the component carriers, and the number of such PUCCH resources is </w:t>
      </w:r>
      <w:r w:rsidR="005C7030">
        <w:rPr>
          <w:sz w:val="20"/>
          <w:szCs w:val="22"/>
        </w:rPr>
        <w:t xml:space="preserve">both </w:t>
      </w:r>
      <w:r>
        <w:rPr>
          <w:sz w:val="20"/>
          <w:szCs w:val="22"/>
        </w:rPr>
        <w:t>variable and configured by the network.  As currently specified, it seems that (in the absence of PUCCH over</w:t>
      </w:r>
      <w:r w:rsidR="00631550">
        <w:rPr>
          <w:sz w:val="20"/>
          <w:szCs w:val="22"/>
        </w:rPr>
        <w:t>-</w:t>
      </w:r>
      <w:r>
        <w:rPr>
          <w:sz w:val="20"/>
          <w:szCs w:val="22"/>
        </w:rPr>
        <w:t xml:space="preserve">provisioning) no user in either cell can be actively transmitting on a PUCCH resource when </w:t>
      </w:r>
      <w:r w:rsidR="005C7030">
        <w:rPr>
          <w:sz w:val="20"/>
          <w:szCs w:val="22"/>
        </w:rPr>
        <w:t xml:space="preserve">a </w:t>
      </w:r>
      <w:r>
        <w:rPr>
          <w:sz w:val="20"/>
          <w:szCs w:val="22"/>
        </w:rPr>
        <w:t>contiguous resource allocation</w:t>
      </w:r>
      <w:r w:rsidR="005C7030">
        <w:rPr>
          <w:sz w:val="20"/>
          <w:szCs w:val="22"/>
        </w:rPr>
        <w:t xml:space="preserve"> is </w:t>
      </w:r>
      <w:r>
        <w:rPr>
          <w:sz w:val="20"/>
          <w:szCs w:val="22"/>
        </w:rPr>
        <w:t>scheduled across the boundary</w:t>
      </w:r>
      <w:r w:rsidR="00631550">
        <w:rPr>
          <w:sz w:val="20"/>
          <w:szCs w:val="22"/>
        </w:rPr>
        <w:t xml:space="preserve"> between the component carriers</w:t>
      </w:r>
      <w:r>
        <w:rPr>
          <w:sz w:val="20"/>
          <w:szCs w:val="22"/>
        </w:rPr>
        <w:t xml:space="preserve">.  Another possible drawback with the use of contiguous resource allocations is that the </w:t>
      </w:r>
      <w:r w:rsidRPr="00CD459F">
        <w:rPr>
          <w:sz w:val="20"/>
          <w:szCs w:val="22"/>
        </w:rPr>
        <w:t>eNB generally attempts to schedule the UE on frequency resources with the best instantaneous propagation characteristics.  If the eNB schedules the non-</w:t>
      </w:r>
      <w:r>
        <w:rPr>
          <w:sz w:val="20"/>
          <w:szCs w:val="22"/>
        </w:rPr>
        <w:t>carrier aggregation</w:t>
      </w:r>
      <w:r w:rsidRPr="00CD459F">
        <w:rPr>
          <w:sz w:val="20"/>
          <w:szCs w:val="22"/>
        </w:rPr>
        <w:t xml:space="preserve"> UE’s first on the best available frequency resources, the remaining resources allocated to the </w:t>
      </w:r>
      <w:r>
        <w:rPr>
          <w:sz w:val="20"/>
          <w:szCs w:val="22"/>
        </w:rPr>
        <w:t>carrier aggregation</w:t>
      </w:r>
      <w:r w:rsidR="005C7030">
        <w:rPr>
          <w:sz w:val="20"/>
          <w:szCs w:val="22"/>
        </w:rPr>
        <w:t xml:space="preserve"> </w:t>
      </w:r>
      <w:r w:rsidRPr="00CD459F">
        <w:rPr>
          <w:sz w:val="20"/>
          <w:szCs w:val="22"/>
        </w:rPr>
        <w:t>capable UE may not be contiguous with the second carrier so that the tables</w:t>
      </w:r>
      <w:r w:rsidR="005C7030">
        <w:rPr>
          <w:sz w:val="20"/>
          <w:szCs w:val="22"/>
        </w:rPr>
        <w:t xml:space="preserve"> specifying the MPR allowed for contiguous</w:t>
      </w:r>
      <w:r>
        <w:rPr>
          <w:sz w:val="20"/>
          <w:szCs w:val="22"/>
        </w:rPr>
        <w:t xml:space="preserve"> resource allocation</w:t>
      </w:r>
      <w:r w:rsidRPr="00CD459F">
        <w:rPr>
          <w:sz w:val="20"/>
          <w:szCs w:val="22"/>
        </w:rPr>
        <w:t xml:space="preserve">s do not apply.  </w:t>
      </w:r>
      <w:r>
        <w:rPr>
          <w:sz w:val="20"/>
          <w:szCs w:val="22"/>
        </w:rPr>
        <w:t>Thus,</w:t>
      </w:r>
      <w:r w:rsidRPr="00CD459F">
        <w:rPr>
          <w:sz w:val="20"/>
          <w:szCs w:val="22"/>
        </w:rPr>
        <w:t xml:space="preserve"> </w:t>
      </w:r>
      <w:r>
        <w:rPr>
          <w:sz w:val="20"/>
          <w:szCs w:val="22"/>
        </w:rPr>
        <w:t>if contiguous resource allocation</w:t>
      </w:r>
      <w:r w:rsidR="005C7030">
        <w:rPr>
          <w:sz w:val="20"/>
          <w:szCs w:val="22"/>
        </w:rPr>
        <w:t>s</w:t>
      </w:r>
      <w:r w:rsidRPr="00CD459F">
        <w:rPr>
          <w:sz w:val="20"/>
          <w:szCs w:val="22"/>
        </w:rPr>
        <w:t xml:space="preserve"> </w:t>
      </w:r>
      <w:r w:rsidR="005C7030">
        <w:rPr>
          <w:sz w:val="20"/>
          <w:szCs w:val="22"/>
        </w:rPr>
        <w:t xml:space="preserve">are needed in order to minimize the MPR allowed for the carrier aggregation UE, </w:t>
      </w:r>
      <w:r w:rsidRPr="00CD459F">
        <w:rPr>
          <w:sz w:val="20"/>
          <w:szCs w:val="22"/>
        </w:rPr>
        <w:t xml:space="preserve">the </w:t>
      </w:r>
      <w:r>
        <w:rPr>
          <w:sz w:val="20"/>
          <w:szCs w:val="22"/>
        </w:rPr>
        <w:t xml:space="preserve">eNB may be significantly constrained with respect to its ability to schedule the non-carrier aggregation UE’s on the best available frequency resources.  </w:t>
      </w:r>
    </w:p>
    <w:p w:rsidR="00E74340" w:rsidRDefault="00D90972" w:rsidP="00E70237">
      <w:pPr>
        <w:jc w:val="center"/>
        <w:rPr>
          <w:sz w:val="20"/>
          <w:szCs w:val="22"/>
        </w:rPr>
      </w:pPr>
      <w:r w:rsidRPr="00D90972">
        <w:rPr>
          <w:sz w:val="20"/>
          <w:szCs w:val="22"/>
        </w:rPr>
        <w:lastRenderedPageBreak/>
        <w:pict>
          <v:shape id="_x0000_i1088" type="#_x0000_t75" style="width:5in;height:270.15pt">
            <v:imagedata r:id="rId93" o:title="proposal3"/>
          </v:shape>
        </w:pict>
      </w:r>
    </w:p>
    <w:p w:rsidR="00DC11E2" w:rsidRDefault="00DC11E2" w:rsidP="00E70237">
      <w:pPr>
        <w:jc w:val="center"/>
        <w:rPr>
          <w:sz w:val="20"/>
          <w:szCs w:val="22"/>
        </w:rPr>
      </w:pPr>
      <w:r w:rsidRPr="000C613B">
        <w:rPr>
          <w:b/>
          <w:sz w:val="20"/>
        </w:rPr>
        <w:t>Figure 1</w:t>
      </w:r>
      <w:r>
        <w:rPr>
          <w:b/>
          <w:sz w:val="20"/>
        </w:rPr>
        <w:t>2</w:t>
      </w:r>
      <w:r w:rsidRPr="000C613B">
        <w:rPr>
          <w:b/>
          <w:sz w:val="20"/>
        </w:rPr>
        <w:t xml:space="preserve">: </w:t>
      </w:r>
      <w:r>
        <w:rPr>
          <w:b/>
          <w:sz w:val="20"/>
        </w:rPr>
        <w:t xml:space="preserve">Illustration of proposed MPR mask for Proposal </w:t>
      </w:r>
      <w:r w:rsidR="00625AFD">
        <w:rPr>
          <w:b/>
          <w:sz w:val="20"/>
        </w:rPr>
        <w:t>2</w:t>
      </w:r>
      <w:r>
        <w:rPr>
          <w:b/>
          <w:sz w:val="20"/>
        </w:rPr>
        <w:t>.</w:t>
      </w:r>
    </w:p>
    <w:p w:rsidR="001B57BF" w:rsidRDefault="001B57BF" w:rsidP="009D7442">
      <w:pPr>
        <w:rPr>
          <w:sz w:val="20"/>
          <w:szCs w:val="22"/>
        </w:rPr>
      </w:pPr>
    </w:p>
    <w:p w:rsidR="00072E0C" w:rsidRDefault="00072E0C" w:rsidP="009D7442">
      <w:pPr>
        <w:rPr>
          <w:sz w:val="20"/>
          <w:szCs w:val="22"/>
        </w:rPr>
      </w:pPr>
    </w:p>
    <w:p w:rsidR="00072E0C" w:rsidRDefault="00072E0C" w:rsidP="009D7442">
      <w:pPr>
        <w:rPr>
          <w:sz w:val="20"/>
          <w:szCs w:val="22"/>
        </w:rPr>
      </w:pPr>
      <w:r>
        <w:rPr>
          <w:sz w:val="20"/>
          <w:szCs w:val="22"/>
        </w:rPr>
        <w:t xml:space="preserve">The impact of reducing the MPR for smaller allocations on the cumulative distribution function of both the MPR and the excess MPR (MPR allowed in excess of what is needed) has been discussed previously in </w:t>
      </w:r>
      <w:r w:rsidR="00A51E72">
        <w:rPr>
          <w:sz w:val="20"/>
          <w:szCs w:val="22"/>
        </w:rPr>
        <w:t>[4</w:t>
      </w:r>
      <w:r>
        <w:rPr>
          <w:sz w:val="20"/>
          <w:szCs w:val="22"/>
        </w:rPr>
        <w:t>].</w:t>
      </w:r>
    </w:p>
    <w:p w:rsidR="006812DE" w:rsidRPr="00CB7A85" w:rsidRDefault="006812DE" w:rsidP="006812DE">
      <w:pPr>
        <w:pStyle w:val="Heading1"/>
        <w:spacing w:after="120"/>
        <w:jc w:val="both"/>
        <w:rPr>
          <w:b/>
          <w:color w:val="000000"/>
        </w:rPr>
      </w:pPr>
      <w:r>
        <w:rPr>
          <w:b/>
          <w:color w:val="000000"/>
        </w:rPr>
        <w:t>Conclusion</w:t>
      </w:r>
    </w:p>
    <w:p w:rsidR="00FB161F" w:rsidRDefault="006812DE" w:rsidP="00634182">
      <w:pPr>
        <w:rPr>
          <w:sz w:val="20"/>
          <w:szCs w:val="22"/>
        </w:rPr>
      </w:pPr>
      <w:r w:rsidRPr="00CD459F">
        <w:rPr>
          <w:sz w:val="20"/>
          <w:szCs w:val="22"/>
        </w:rPr>
        <w:t xml:space="preserve">For contiguous intra-band carrier aggregation of two component carriers, simulation results have been presented indicating that the MPR can be limited to </w:t>
      </w:r>
      <w:r w:rsidR="00072E0C">
        <w:rPr>
          <w:sz w:val="20"/>
          <w:szCs w:val="22"/>
        </w:rPr>
        <w:t xml:space="preserve">5.5 </w:t>
      </w:r>
      <w:r w:rsidRPr="00CD459F">
        <w:rPr>
          <w:sz w:val="20"/>
          <w:szCs w:val="22"/>
        </w:rPr>
        <w:t xml:space="preserve">dB for </w:t>
      </w:r>
      <w:r w:rsidR="00707D47">
        <w:rPr>
          <w:sz w:val="20"/>
          <w:szCs w:val="22"/>
        </w:rPr>
        <w:t>non-contiguous resource allocation</w:t>
      </w:r>
      <w:r w:rsidRPr="00CD459F">
        <w:rPr>
          <w:sz w:val="20"/>
          <w:szCs w:val="22"/>
        </w:rPr>
        <w:t xml:space="preserve">s for which the fifth order </w:t>
      </w:r>
      <w:r w:rsidR="00072E0C">
        <w:rPr>
          <w:sz w:val="20"/>
          <w:szCs w:val="22"/>
        </w:rPr>
        <w:t>IM</w:t>
      </w:r>
      <w:r w:rsidRPr="00CD459F">
        <w:rPr>
          <w:sz w:val="20"/>
          <w:szCs w:val="22"/>
        </w:rPr>
        <w:t xml:space="preserve"> products do not reach the spurious domain</w:t>
      </w:r>
      <w:r w:rsidR="00072E0C">
        <w:rPr>
          <w:sz w:val="20"/>
          <w:szCs w:val="22"/>
        </w:rPr>
        <w:t xml:space="preserve"> and to 4.5 dB for </w:t>
      </w:r>
      <w:r w:rsidR="00707D47">
        <w:rPr>
          <w:sz w:val="20"/>
          <w:szCs w:val="22"/>
        </w:rPr>
        <w:t>non-contiguous resource allocation</w:t>
      </w:r>
      <w:r w:rsidR="00072E0C">
        <w:rPr>
          <w:sz w:val="20"/>
          <w:szCs w:val="22"/>
        </w:rPr>
        <w:t>s for which the fifth order IM products do not reach the out</w:t>
      </w:r>
      <w:r w:rsidR="00E61331">
        <w:rPr>
          <w:sz w:val="20"/>
          <w:szCs w:val="22"/>
        </w:rPr>
        <w:t>er</w:t>
      </w:r>
      <w:r w:rsidR="00072E0C">
        <w:rPr>
          <w:sz w:val="20"/>
          <w:szCs w:val="22"/>
        </w:rPr>
        <w:t>most 5 MHz of the SEM</w:t>
      </w:r>
      <w:r w:rsidRPr="00CD459F">
        <w:rPr>
          <w:sz w:val="20"/>
          <w:szCs w:val="22"/>
        </w:rPr>
        <w:t xml:space="preserve">.  Thus, for these </w:t>
      </w:r>
      <w:r w:rsidR="00707D47">
        <w:rPr>
          <w:sz w:val="20"/>
          <w:szCs w:val="22"/>
        </w:rPr>
        <w:t>non-contiguous resource allocation</w:t>
      </w:r>
      <w:r w:rsidRPr="00CD459F">
        <w:rPr>
          <w:sz w:val="20"/>
          <w:szCs w:val="22"/>
        </w:rPr>
        <w:t xml:space="preserve">s, MPR can be limited to the minimum of the MPR currently specified in </w:t>
      </w:r>
      <w:r w:rsidR="00072E0C">
        <w:rPr>
          <w:sz w:val="20"/>
          <w:szCs w:val="22"/>
        </w:rPr>
        <w:t xml:space="preserve">Section 6.2.3A of TS 36.101 and </w:t>
      </w:r>
      <w:r w:rsidR="00634182">
        <w:rPr>
          <w:sz w:val="20"/>
          <w:szCs w:val="22"/>
        </w:rPr>
        <w:t>5.5 dB and 4.5 dB, respectively</w:t>
      </w:r>
      <w:r w:rsidR="00072E0C">
        <w:rPr>
          <w:sz w:val="20"/>
          <w:szCs w:val="22"/>
        </w:rPr>
        <w:t>, depending on the distance of the fifth order IM’</w:t>
      </w:r>
      <w:r w:rsidR="00634182">
        <w:rPr>
          <w:sz w:val="20"/>
          <w:szCs w:val="22"/>
        </w:rPr>
        <w:t xml:space="preserve">s </w:t>
      </w:r>
      <w:r w:rsidR="00245DBC">
        <w:rPr>
          <w:sz w:val="20"/>
          <w:szCs w:val="22"/>
        </w:rPr>
        <w:t xml:space="preserve">furthest </w:t>
      </w:r>
      <w:r w:rsidR="00634182">
        <w:rPr>
          <w:sz w:val="20"/>
          <w:szCs w:val="22"/>
        </w:rPr>
        <w:t>from the</w:t>
      </w:r>
      <w:r w:rsidR="00072E0C">
        <w:rPr>
          <w:sz w:val="20"/>
          <w:szCs w:val="22"/>
        </w:rPr>
        <w:t xml:space="preserve"> center of the aggregated carrier.</w:t>
      </w:r>
      <w:r w:rsidRPr="00CD459F">
        <w:rPr>
          <w:sz w:val="20"/>
          <w:szCs w:val="22"/>
        </w:rPr>
        <w:t xml:space="preserve">  </w:t>
      </w:r>
    </w:p>
    <w:p w:rsidR="00FB161F" w:rsidRDefault="00FB161F" w:rsidP="00634182">
      <w:pPr>
        <w:rPr>
          <w:sz w:val="20"/>
          <w:szCs w:val="22"/>
        </w:rPr>
      </w:pPr>
    </w:p>
    <w:p w:rsidR="00FB161F" w:rsidRDefault="00FB161F" w:rsidP="00634182">
      <w:pPr>
        <w:rPr>
          <w:sz w:val="20"/>
          <w:szCs w:val="22"/>
        </w:rPr>
      </w:pPr>
      <w:r>
        <w:rPr>
          <w:sz w:val="20"/>
          <w:szCs w:val="22"/>
        </w:rPr>
        <w:t xml:space="preserve">In order to limit </w:t>
      </w:r>
      <w:r w:rsidR="000906E3">
        <w:rPr>
          <w:sz w:val="20"/>
          <w:szCs w:val="22"/>
        </w:rPr>
        <w:t>the complexity of the MPR specification</w:t>
      </w:r>
      <w:r w:rsidR="005C7030">
        <w:rPr>
          <w:sz w:val="20"/>
          <w:szCs w:val="22"/>
        </w:rPr>
        <w:t xml:space="preserve"> for intra-band contiguous </w:t>
      </w:r>
      <w:r w:rsidR="00245DBC">
        <w:rPr>
          <w:sz w:val="20"/>
          <w:szCs w:val="22"/>
        </w:rPr>
        <w:t>carrier aggregation</w:t>
      </w:r>
      <w:r>
        <w:rPr>
          <w:sz w:val="20"/>
          <w:szCs w:val="22"/>
        </w:rPr>
        <w:t>,</w:t>
      </w:r>
      <w:r w:rsidR="000906E3">
        <w:rPr>
          <w:sz w:val="20"/>
          <w:szCs w:val="22"/>
        </w:rPr>
        <w:t xml:space="preserve"> it is recommended that </w:t>
      </w:r>
      <w:r w:rsidRPr="00FB161F">
        <w:rPr>
          <w:b/>
          <w:sz w:val="20"/>
          <w:szCs w:val="22"/>
        </w:rPr>
        <w:t>Proposal 2</w:t>
      </w:r>
      <w:r>
        <w:rPr>
          <w:sz w:val="20"/>
          <w:szCs w:val="22"/>
        </w:rPr>
        <w:t xml:space="preserve"> </w:t>
      </w:r>
      <w:r w:rsidR="000906E3">
        <w:rPr>
          <w:sz w:val="20"/>
          <w:szCs w:val="22"/>
        </w:rPr>
        <w:t xml:space="preserve">above be adopted.  This proposal yields most of the benefit of Proposal 3, but with reduced complexity.  From Figure </w:t>
      </w:r>
      <w:r w:rsidR="00245DBC">
        <w:rPr>
          <w:sz w:val="20"/>
          <w:szCs w:val="22"/>
        </w:rPr>
        <w:t>11</w:t>
      </w:r>
      <w:r w:rsidR="000906E3">
        <w:rPr>
          <w:sz w:val="20"/>
          <w:szCs w:val="22"/>
        </w:rPr>
        <w:t xml:space="preserve">, it can be observed that smaller </w:t>
      </w:r>
      <w:r w:rsidR="00707D47">
        <w:rPr>
          <w:sz w:val="20"/>
          <w:szCs w:val="22"/>
        </w:rPr>
        <w:t>non-contiguous resource allocation</w:t>
      </w:r>
      <w:r w:rsidR="000906E3">
        <w:rPr>
          <w:sz w:val="20"/>
          <w:szCs w:val="22"/>
        </w:rPr>
        <w:t>s can readily be scheduled so that the fifth order IM</w:t>
      </w:r>
      <w:r w:rsidR="005C7030">
        <w:rPr>
          <w:sz w:val="20"/>
          <w:szCs w:val="22"/>
        </w:rPr>
        <w:t>’s</w:t>
      </w:r>
      <w:r w:rsidR="000906E3">
        <w:rPr>
          <w:sz w:val="20"/>
          <w:szCs w:val="22"/>
        </w:rPr>
        <w:t xml:space="preserve"> does not reach the outermost 5 MHz of the SEM </w:t>
      </w:r>
      <w:r w:rsidR="00905470">
        <w:rPr>
          <w:sz w:val="20"/>
          <w:szCs w:val="22"/>
        </w:rPr>
        <w:t>and</w:t>
      </w:r>
      <w:r w:rsidR="000906E3">
        <w:rPr>
          <w:sz w:val="20"/>
          <w:szCs w:val="22"/>
        </w:rPr>
        <w:t xml:space="preserve"> the reduced MPR limit </w:t>
      </w:r>
      <w:r w:rsidR="005C7030">
        <w:rPr>
          <w:sz w:val="20"/>
          <w:szCs w:val="22"/>
        </w:rPr>
        <w:t xml:space="preserve">of 4.5 dB </w:t>
      </w:r>
      <w:r w:rsidR="000906E3">
        <w:rPr>
          <w:sz w:val="20"/>
          <w:szCs w:val="22"/>
        </w:rPr>
        <w:t>applies.</w:t>
      </w:r>
    </w:p>
    <w:p w:rsidR="00634182" w:rsidRPr="00634182" w:rsidRDefault="00634182" w:rsidP="00634182">
      <w:pPr>
        <w:rPr>
          <w:sz w:val="20"/>
          <w:szCs w:val="22"/>
        </w:rPr>
      </w:pPr>
    </w:p>
    <w:p w:rsidR="001B57BF" w:rsidRPr="003D1980" w:rsidRDefault="001B57BF" w:rsidP="001B57BF">
      <w:pPr>
        <w:pStyle w:val="Heading1"/>
        <w:numPr>
          <w:ilvl w:val="0"/>
          <w:numId w:val="0"/>
        </w:numPr>
        <w:spacing w:before="0" w:after="120"/>
        <w:jc w:val="both"/>
        <w:rPr>
          <w:b/>
          <w:color w:val="000000"/>
        </w:rPr>
      </w:pPr>
      <w:r w:rsidRPr="003D1980">
        <w:rPr>
          <w:b/>
          <w:color w:val="000000"/>
        </w:rPr>
        <w:t>References</w:t>
      </w:r>
    </w:p>
    <w:p w:rsidR="001B57BF" w:rsidRDefault="001B57BF" w:rsidP="001B57BF">
      <w:pPr>
        <w:pStyle w:val="11BodyText"/>
        <w:numPr>
          <w:ilvl w:val="0"/>
          <w:numId w:val="5"/>
        </w:numPr>
        <w:rPr>
          <w:rFonts w:ascii="Times New Roman" w:hAnsi="Times New Roman"/>
          <w:bCs/>
          <w:lang w:val="en-US"/>
        </w:rPr>
      </w:pPr>
      <w:bookmarkStart w:id="1" w:name="_Ref314747495"/>
      <w:r w:rsidRPr="00CD459F">
        <w:rPr>
          <w:rFonts w:ascii="Times New Roman" w:hAnsi="Times New Roman"/>
          <w:bCs/>
          <w:lang w:val="en-US"/>
        </w:rPr>
        <w:t>R4-13</w:t>
      </w:r>
      <w:r w:rsidR="00625AFD">
        <w:rPr>
          <w:rFonts w:ascii="Times New Roman" w:hAnsi="Times New Roman"/>
          <w:bCs/>
          <w:lang w:val="en-US"/>
        </w:rPr>
        <w:t>4089, MPR Reduction for CA Multi-Cluster Transmissions, Motorola Mobility, RAN4 #68</w:t>
      </w:r>
      <w:r w:rsidRPr="00CD459F">
        <w:rPr>
          <w:rFonts w:ascii="Times New Roman" w:hAnsi="Times New Roman"/>
          <w:bCs/>
          <w:lang w:val="en-US"/>
        </w:rPr>
        <w:t xml:space="preserve">, </w:t>
      </w:r>
      <w:r w:rsidR="00625AFD">
        <w:rPr>
          <w:rFonts w:ascii="Times New Roman" w:hAnsi="Times New Roman"/>
          <w:bCs/>
          <w:lang w:val="en-US"/>
        </w:rPr>
        <w:t>August</w:t>
      </w:r>
      <w:r w:rsidRPr="00CD459F">
        <w:rPr>
          <w:rFonts w:ascii="Times New Roman" w:hAnsi="Times New Roman"/>
          <w:bCs/>
          <w:lang w:val="en-US"/>
        </w:rPr>
        <w:t xml:space="preserve"> 2013.</w:t>
      </w:r>
    </w:p>
    <w:p w:rsidR="00420020" w:rsidRPr="00420020" w:rsidRDefault="00420020" w:rsidP="00420020">
      <w:pPr>
        <w:pStyle w:val="11BodyText"/>
        <w:numPr>
          <w:ilvl w:val="0"/>
          <w:numId w:val="5"/>
        </w:numPr>
        <w:rPr>
          <w:rFonts w:ascii="Times New Roman" w:hAnsi="Times New Roman"/>
          <w:bCs/>
          <w:lang w:val="en-US"/>
        </w:rPr>
      </w:pPr>
      <w:r>
        <w:rPr>
          <w:rFonts w:ascii="Times New Roman" w:hAnsi="Times New Roman"/>
          <w:bCs/>
          <w:lang w:val="en-US"/>
        </w:rPr>
        <w:t>R4-132125 Contiguous intraband CA MPR reduction, Nokia Corporation, RAN4 #67, Fukuoka, Japan, May 2013.</w:t>
      </w:r>
    </w:p>
    <w:p w:rsidR="00682702" w:rsidRDefault="001B57BF" w:rsidP="00420020">
      <w:pPr>
        <w:pStyle w:val="11BodyText"/>
        <w:numPr>
          <w:ilvl w:val="0"/>
          <w:numId w:val="5"/>
        </w:numPr>
        <w:rPr>
          <w:rFonts w:ascii="Times New Roman" w:hAnsi="Times New Roman"/>
          <w:bCs/>
          <w:lang w:val="en-US"/>
        </w:rPr>
      </w:pPr>
      <w:r w:rsidRPr="00CD459F">
        <w:rPr>
          <w:rFonts w:ascii="Times New Roman" w:hAnsi="Times New Roman"/>
          <w:bCs/>
          <w:lang w:val="en-US"/>
        </w:rPr>
        <w:t>3GPP TS 36.101V11.</w:t>
      </w:r>
      <w:r w:rsidR="00625AFD">
        <w:rPr>
          <w:rFonts w:ascii="Times New Roman" w:hAnsi="Times New Roman"/>
          <w:bCs/>
          <w:lang w:val="en-US"/>
        </w:rPr>
        <w:t>6</w:t>
      </w:r>
      <w:r w:rsidRPr="00CD459F">
        <w:rPr>
          <w:rFonts w:ascii="Times New Roman" w:hAnsi="Times New Roman"/>
          <w:bCs/>
          <w:lang w:val="en-US"/>
        </w:rPr>
        <w:t>.0</w:t>
      </w:r>
      <w:bookmarkEnd w:id="1"/>
    </w:p>
    <w:p w:rsidR="00A41DB9" w:rsidRPr="00420020" w:rsidRDefault="00A41DB9" w:rsidP="00420020">
      <w:pPr>
        <w:pStyle w:val="11BodyText"/>
        <w:numPr>
          <w:ilvl w:val="0"/>
          <w:numId w:val="5"/>
        </w:numPr>
        <w:rPr>
          <w:rFonts w:ascii="Times New Roman" w:hAnsi="Times New Roman"/>
          <w:bCs/>
          <w:lang w:val="en-US"/>
        </w:rPr>
      </w:pPr>
      <w:r>
        <w:rPr>
          <w:rFonts w:ascii="Times New Roman" w:hAnsi="Times New Roman"/>
          <w:bCs/>
          <w:lang w:val="en-US"/>
        </w:rPr>
        <w:t>R4-132755 Reducing MPR for CA Multi-Cluster Transmissions, Motorola Mobility, RAN4 #67, Fukuoka, Japan, May 2013</w:t>
      </w:r>
    </w:p>
    <w:sectPr w:rsidR="00A41DB9" w:rsidRPr="00420020" w:rsidSect="00CA686D">
      <w:footerReference w:type="default" r:id="rId94"/>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0BB4" w:rsidRDefault="00C70BB4">
      <w:r>
        <w:separator/>
      </w:r>
    </w:p>
  </w:endnote>
  <w:endnote w:type="continuationSeparator" w:id="0">
    <w:p w:rsidR="00C70BB4" w:rsidRDefault="00C70B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5.0.0">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B8F" w:rsidRDefault="008F5B8F">
    <w:pPr>
      <w:pStyle w:val="Footer"/>
      <w:jc w:val="center"/>
    </w:pPr>
    <w:r>
      <w:rPr>
        <w:rStyle w:val="PageNumber"/>
        <w:rFonts w:eastAsia="MS Gothic"/>
      </w:rPr>
      <w:t xml:space="preserve">- </w:t>
    </w:r>
    <w:r w:rsidR="00D90972">
      <w:rPr>
        <w:rStyle w:val="PageNumber"/>
        <w:rFonts w:eastAsia="MS Gothic"/>
      </w:rPr>
      <w:fldChar w:fldCharType="begin"/>
    </w:r>
    <w:r>
      <w:rPr>
        <w:rStyle w:val="PageNumber"/>
        <w:rFonts w:eastAsia="MS Gothic"/>
      </w:rPr>
      <w:instrText xml:space="preserve"> PAGE </w:instrText>
    </w:r>
    <w:r w:rsidR="00D90972">
      <w:rPr>
        <w:rStyle w:val="PageNumber"/>
        <w:rFonts w:eastAsia="MS Gothic"/>
      </w:rPr>
      <w:fldChar w:fldCharType="separate"/>
    </w:r>
    <w:r w:rsidR="00DC6918">
      <w:rPr>
        <w:rStyle w:val="PageNumber"/>
        <w:rFonts w:eastAsia="MS Gothic"/>
        <w:noProof/>
      </w:rPr>
      <w:t>11</w:t>
    </w:r>
    <w:r w:rsidR="00D90972">
      <w:rPr>
        <w:rStyle w:val="PageNumber"/>
        <w:rFonts w:eastAsia="MS Gothic"/>
      </w:rPr>
      <w:fldChar w:fldCharType="end"/>
    </w:r>
    <w:r>
      <w:rPr>
        <w:rStyle w:val="PageNumber"/>
        <w:rFonts w:eastAsia="MS Gothic"/>
      </w:rPr>
      <w:t>/</w:t>
    </w:r>
    <w:r w:rsidR="00D90972">
      <w:rPr>
        <w:rStyle w:val="PageNumber"/>
        <w:rFonts w:eastAsia="MS Gothic"/>
      </w:rPr>
      <w:fldChar w:fldCharType="begin"/>
    </w:r>
    <w:r>
      <w:rPr>
        <w:rStyle w:val="PageNumber"/>
        <w:rFonts w:eastAsia="MS Gothic"/>
      </w:rPr>
      <w:instrText xml:space="preserve"> NUMPAGES </w:instrText>
    </w:r>
    <w:r w:rsidR="00D90972">
      <w:rPr>
        <w:rStyle w:val="PageNumber"/>
        <w:rFonts w:eastAsia="MS Gothic"/>
      </w:rPr>
      <w:fldChar w:fldCharType="separate"/>
    </w:r>
    <w:r w:rsidR="00DC6918">
      <w:rPr>
        <w:rStyle w:val="PageNumber"/>
        <w:rFonts w:eastAsia="MS Gothic"/>
        <w:noProof/>
      </w:rPr>
      <w:t>12</w:t>
    </w:r>
    <w:r w:rsidR="00D90972">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0BB4" w:rsidRDefault="00C70BB4">
      <w:r>
        <w:separator/>
      </w:r>
    </w:p>
  </w:footnote>
  <w:footnote w:type="continuationSeparator" w:id="0">
    <w:p w:rsidR="00C70BB4" w:rsidRDefault="00C70B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716127C"/>
    <w:multiLevelType w:val="hybridMultilevel"/>
    <w:tmpl w:val="9FA05A64"/>
    <w:lvl w:ilvl="0" w:tplc="EC76E8C6">
      <w:start w:val="1"/>
      <w:numFmt w:val="low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763D6"/>
    <w:multiLevelType w:val="hybridMultilevel"/>
    <w:tmpl w:val="B3484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5373C8"/>
    <w:multiLevelType w:val="hybridMultilevel"/>
    <w:tmpl w:val="2FF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6">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F32579"/>
    <w:multiLevelType w:val="hybridMultilevel"/>
    <w:tmpl w:val="E6C6E3E6"/>
    <w:lvl w:ilvl="0" w:tplc="3010618E">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4">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4224228F"/>
    <w:multiLevelType w:val="hybridMultilevel"/>
    <w:tmpl w:val="085CF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4DD25A1"/>
    <w:multiLevelType w:val="hybridMultilevel"/>
    <w:tmpl w:val="7E98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137942"/>
    <w:multiLevelType w:val="hybridMultilevel"/>
    <w:tmpl w:val="06D099DC"/>
    <w:lvl w:ilvl="0" w:tplc="F19801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6">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387"/>
        </w:tabs>
        <w:ind w:left="387" w:hanging="567"/>
      </w:pPr>
    </w:lvl>
    <w:lvl w:ilvl="2">
      <w:start w:val="1"/>
      <w:numFmt w:val="decimal"/>
      <w:pStyle w:val="Heading3"/>
      <w:lvlText w:val="%1.%2.%3."/>
      <w:lvlJc w:val="left"/>
      <w:pPr>
        <w:tabs>
          <w:tab w:val="num" w:pos="529"/>
        </w:tabs>
        <w:ind w:left="529" w:hanging="709"/>
      </w:pPr>
    </w:lvl>
    <w:lvl w:ilvl="3">
      <w:start w:val="1"/>
      <w:numFmt w:val="decimal"/>
      <w:pStyle w:val="Heading4"/>
      <w:lvlText w:val="%1.%2.%3.%4."/>
      <w:lvlJc w:val="left"/>
      <w:pPr>
        <w:tabs>
          <w:tab w:val="num" w:pos="671"/>
        </w:tabs>
        <w:ind w:left="671" w:hanging="851"/>
      </w:pPr>
    </w:lvl>
    <w:lvl w:ilvl="4">
      <w:start w:val="1"/>
      <w:numFmt w:val="decimal"/>
      <w:lvlText w:val="%1.%2.%3.%4.%5."/>
      <w:lvlJc w:val="left"/>
      <w:pPr>
        <w:tabs>
          <w:tab w:val="num" w:pos="812"/>
        </w:tabs>
        <w:ind w:left="812" w:hanging="992"/>
      </w:pPr>
    </w:lvl>
    <w:lvl w:ilvl="5">
      <w:start w:val="1"/>
      <w:numFmt w:val="decimal"/>
      <w:lvlText w:val="%1.%2.%3.%4.%5.%6."/>
      <w:lvlJc w:val="left"/>
      <w:pPr>
        <w:tabs>
          <w:tab w:val="num" w:pos="954"/>
        </w:tabs>
        <w:ind w:left="954" w:hanging="1134"/>
      </w:pPr>
    </w:lvl>
    <w:lvl w:ilvl="6">
      <w:start w:val="1"/>
      <w:numFmt w:val="decimal"/>
      <w:lvlText w:val="%1.%2.%3.%4.%5.%6.%7."/>
      <w:lvlJc w:val="left"/>
      <w:pPr>
        <w:tabs>
          <w:tab w:val="num" w:pos="1096"/>
        </w:tabs>
        <w:ind w:left="1096" w:hanging="1276"/>
      </w:pPr>
    </w:lvl>
    <w:lvl w:ilvl="7">
      <w:start w:val="1"/>
      <w:numFmt w:val="decimal"/>
      <w:lvlText w:val="%1.%2.%3.%4.%5.%6.%7.%8."/>
      <w:lvlJc w:val="left"/>
      <w:pPr>
        <w:tabs>
          <w:tab w:val="num" w:pos="1238"/>
        </w:tabs>
        <w:ind w:left="1238" w:hanging="1418"/>
      </w:pPr>
    </w:lvl>
    <w:lvl w:ilvl="8">
      <w:start w:val="1"/>
      <w:numFmt w:val="decimal"/>
      <w:lvlText w:val="%1.%2.%3.%4.%5.%6.%7.%8.%9."/>
      <w:lvlJc w:val="left"/>
      <w:pPr>
        <w:tabs>
          <w:tab w:val="num" w:pos="1379"/>
        </w:tabs>
        <w:ind w:left="1379" w:hanging="1559"/>
      </w:pPr>
    </w:lvl>
  </w:abstractNum>
  <w:abstractNum w:abstractNumId="27">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4"/>
  </w:num>
  <w:num w:numId="3">
    <w:abstractNumId w:val="26"/>
  </w:num>
  <w:num w:numId="4">
    <w:abstractNumId w:val="12"/>
  </w:num>
  <w:num w:numId="5">
    <w:abstractNumId w:val="8"/>
  </w:num>
  <w:num w:numId="6">
    <w:abstractNumId w:val="29"/>
  </w:num>
  <w:num w:numId="7">
    <w:abstractNumId w:val="5"/>
  </w:num>
  <w:num w:numId="8">
    <w:abstractNumId w:val="25"/>
  </w:num>
  <w:num w:numId="9">
    <w:abstractNumId w:val="13"/>
  </w:num>
  <w:num w:numId="10">
    <w:abstractNumId w:val="20"/>
  </w:num>
  <w:num w:numId="11">
    <w:abstractNumId w:val="26"/>
  </w:num>
  <w:num w:numId="12">
    <w:abstractNumId w:val="14"/>
  </w:num>
  <w:num w:numId="13">
    <w:abstractNumId w:val="19"/>
  </w:num>
  <w:num w:numId="14">
    <w:abstractNumId w:val="7"/>
  </w:num>
  <w:num w:numId="15">
    <w:abstractNumId w:val="4"/>
  </w:num>
  <w:num w:numId="16">
    <w:abstractNumId w:val="21"/>
  </w:num>
  <w:num w:numId="17">
    <w:abstractNumId w:val="27"/>
  </w:num>
  <w:num w:numId="18">
    <w:abstractNumId w:val="28"/>
  </w:num>
  <w:num w:numId="19">
    <w:abstractNumId w:val="10"/>
  </w:num>
  <w:num w:numId="20">
    <w:abstractNumId w:val="9"/>
  </w:num>
  <w:num w:numId="21">
    <w:abstractNumId w:val="18"/>
  </w:num>
  <w:num w:numId="22">
    <w:abstractNumId w:val="6"/>
  </w:num>
  <w:num w:numId="23">
    <w:abstractNumId w:val="22"/>
  </w:num>
  <w:num w:numId="24">
    <w:abstractNumId w:val="17"/>
  </w:num>
  <w:num w:numId="25">
    <w:abstractNumId w:val="2"/>
  </w:num>
  <w:num w:numId="26">
    <w:abstractNumId w:val="15"/>
  </w:num>
  <w:num w:numId="27">
    <w:abstractNumId w:val="16"/>
  </w:num>
  <w:num w:numId="28">
    <w:abstractNumId w:val="3"/>
  </w:num>
  <w:num w:numId="29">
    <w:abstractNumId w:val="1"/>
  </w:num>
  <w:num w:numId="30">
    <w:abstractNumId w:val="23"/>
  </w:num>
  <w:num w:numId="31">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stylePaneFormatFilter w:val="3F01"/>
  <w:doNotTrackMoves/>
  <w:defaultTabStop w:val="720"/>
  <w:doNotHyphenateCaps/>
  <w:displayHorizontalDrawingGridEvery w:val="0"/>
  <w:displayVerticalDrawingGridEvery w:val="0"/>
  <w:characterSpacingControl w:val="doNotCompress"/>
  <w:hdrShapeDefaults>
    <o:shapedefaults v:ext="edit" spidmax="133122">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3B22"/>
    <w:rsid w:val="0000422B"/>
    <w:rsid w:val="0000530F"/>
    <w:rsid w:val="00005C60"/>
    <w:rsid w:val="0000600D"/>
    <w:rsid w:val="000065F7"/>
    <w:rsid w:val="00011941"/>
    <w:rsid w:val="0001251B"/>
    <w:rsid w:val="0001297C"/>
    <w:rsid w:val="00012DFF"/>
    <w:rsid w:val="00012E98"/>
    <w:rsid w:val="000131E4"/>
    <w:rsid w:val="000139A9"/>
    <w:rsid w:val="000142F8"/>
    <w:rsid w:val="000153FF"/>
    <w:rsid w:val="000163B1"/>
    <w:rsid w:val="00016846"/>
    <w:rsid w:val="000168B4"/>
    <w:rsid w:val="00016BE7"/>
    <w:rsid w:val="0001734F"/>
    <w:rsid w:val="000173ED"/>
    <w:rsid w:val="000208F2"/>
    <w:rsid w:val="0002149F"/>
    <w:rsid w:val="00021545"/>
    <w:rsid w:val="000219CD"/>
    <w:rsid w:val="00022E12"/>
    <w:rsid w:val="000233B7"/>
    <w:rsid w:val="00024474"/>
    <w:rsid w:val="0002447B"/>
    <w:rsid w:val="00025D3B"/>
    <w:rsid w:val="0002724D"/>
    <w:rsid w:val="0003024D"/>
    <w:rsid w:val="000319C0"/>
    <w:rsid w:val="00031B8A"/>
    <w:rsid w:val="000339FC"/>
    <w:rsid w:val="00034629"/>
    <w:rsid w:val="00034A93"/>
    <w:rsid w:val="00034E72"/>
    <w:rsid w:val="00035038"/>
    <w:rsid w:val="00035722"/>
    <w:rsid w:val="00036917"/>
    <w:rsid w:val="000373FB"/>
    <w:rsid w:val="0003751D"/>
    <w:rsid w:val="00037D20"/>
    <w:rsid w:val="000404A6"/>
    <w:rsid w:val="00040ACA"/>
    <w:rsid w:val="00041699"/>
    <w:rsid w:val="00041715"/>
    <w:rsid w:val="00043CE6"/>
    <w:rsid w:val="000445C0"/>
    <w:rsid w:val="0004558E"/>
    <w:rsid w:val="0004620F"/>
    <w:rsid w:val="00046C36"/>
    <w:rsid w:val="00046E1E"/>
    <w:rsid w:val="000473AF"/>
    <w:rsid w:val="000474F1"/>
    <w:rsid w:val="000478E7"/>
    <w:rsid w:val="00047C54"/>
    <w:rsid w:val="00047E01"/>
    <w:rsid w:val="00047EB1"/>
    <w:rsid w:val="000501EB"/>
    <w:rsid w:val="00050BAA"/>
    <w:rsid w:val="000514EA"/>
    <w:rsid w:val="00051B08"/>
    <w:rsid w:val="00052902"/>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44A6"/>
    <w:rsid w:val="00066EA6"/>
    <w:rsid w:val="00066FAF"/>
    <w:rsid w:val="00067A66"/>
    <w:rsid w:val="00067AD3"/>
    <w:rsid w:val="00070323"/>
    <w:rsid w:val="00070BD1"/>
    <w:rsid w:val="00071382"/>
    <w:rsid w:val="00071987"/>
    <w:rsid w:val="00072998"/>
    <w:rsid w:val="00072E0C"/>
    <w:rsid w:val="000733C9"/>
    <w:rsid w:val="00073891"/>
    <w:rsid w:val="000753CE"/>
    <w:rsid w:val="0007585B"/>
    <w:rsid w:val="000761E9"/>
    <w:rsid w:val="00077357"/>
    <w:rsid w:val="0007776E"/>
    <w:rsid w:val="00081697"/>
    <w:rsid w:val="00081C3F"/>
    <w:rsid w:val="0008201A"/>
    <w:rsid w:val="00082A22"/>
    <w:rsid w:val="00082D8D"/>
    <w:rsid w:val="000837F7"/>
    <w:rsid w:val="0008390F"/>
    <w:rsid w:val="000840C3"/>
    <w:rsid w:val="000850E1"/>
    <w:rsid w:val="0008577F"/>
    <w:rsid w:val="00086246"/>
    <w:rsid w:val="00086C10"/>
    <w:rsid w:val="00086D89"/>
    <w:rsid w:val="0008771A"/>
    <w:rsid w:val="000900C9"/>
    <w:rsid w:val="000906E3"/>
    <w:rsid w:val="00092BE4"/>
    <w:rsid w:val="00092D77"/>
    <w:rsid w:val="00093F84"/>
    <w:rsid w:val="00094631"/>
    <w:rsid w:val="0009490A"/>
    <w:rsid w:val="00095181"/>
    <w:rsid w:val="00095E62"/>
    <w:rsid w:val="0009643A"/>
    <w:rsid w:val="000966A3"/>
    <w:rsid w:val="00096728"/>
    <w:rsid w:val="00096805"/>
    <w:rsid w:val="00096C08"/>
    <w:rsid w:val="00096D6F"/>
    <w:rsid w:val="00097021"/>
    <w:rsid w:val="00097E0F"/>
    <w:rsid w:val="000A0315"/>
    <w:rsid w:val="000A053B"/>
    <w:rsid w:val="000A0C59"/>
    <w:rsid w:val="000A0D64"/>
    <w:rsid w:val="000A0D90"/>
    <w:rsid w:val="000A0DC6"/>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BDB"/>
    <w:rsid w:val="000B244F"/>
    <w:rsid w:val="000B2B16"/>
    <w:rsid w:val="000B442C"/>
    <w:rsid w:val="000B46A2"/>
    <w:rsid w:val="000B4AA2"/>
    <w:rsid w:val="000B540E"/>
    <w:rsid w:val="000B57BE"/>
    <w:rsid w:val="000B6737"/>
    <w:rsid w:val="000B72A6"/>
    <w:rsid w:val="000B7BFE"/>
    <w:rsid w:val="000C0010"/>
    <w:rsid w:val="000C0B19"/>
    <w:rsid w:val="000C0F4D"/>
    <w:rsid w:val="000C2058"/>
    <w:rsid w:val="000C21A2"/>
    <w:rsid w:val="000C259D"/>
    <w:rsid w:val="000C2B5C"/>
    <w:rsid w:val="000C2D27"/>
    <w:rsid w:val="000C2E07"/>
    <w:rsid w:val="000C2EB2"/>
    <w:rsid w:val="000C3236"/>
    <w:rsid w:val="000C3DF3"/>
    <w:rsid w:val="000C47E8"/>
    <w:rsid w:val="000C49BD"/>
    <w:rsid w:val="000C54DC"/>
    <w:rsid w:val="000C58B9"/>
    <w:rsid w:val="000C613B"/>
    <w:rsid w:val="000C664F"/>
    <w:rsid w:val="000C735F"/>
    <w:rsid w:val="000C76AD"/>
    <w:rsid w:val="000D0184"/>
    <w:rsid w:val="000D0461"/>
    <w:rsid w:val="000D0465"/>
    <w:rsid w:val="000D0F6A"/>
    <w:rsid w:val="000D26B1"/>
    <w:rsid w:val="000D2BBB"/>
    <w:rsid w:val="000D3567"/>
    <w:rsid w:val="000D3580"/>
    <w:rsid w:val="000D41B8"/>
    <w:rsid w:val="000D4E5A"/>
    <w:rsid w:val="000D54AA"/>
    <w:rsid w:val="000D571C"/>
    <w:rsid w:val="000D640D"/>
    <w:rsid w:val="000D6509"/>
    <w:rsid w:val="000D6548"/>
    <w:rsid w:val="000D6B81"/>
    <w:rsid w:val="000D6FD8"/>
    <w:rsid w:val="000D7D6C"/>
    <w:rsid w:val="000D7E41"/>
    <w:rsid w:val="000E0145"/>
    <w:rsid w:val="000E0529"/>
    <w:rsid w:val="000E070C"/>
    <w:rsid w:val="000E2243"/>
    <w:rsid w:val="000E3117"/>
    <w:rsid w:val="000E31E6"/>
    <w:rsid w:val="000E44C6"/>
    <w:rsid w:val="000E50BF"/>
    <w:rsid w:val="000E571C"/>
    <w:rsid w:val="000E58B4"/>
    <w:rsid w:val="000E598D"/>
    <w:rsid w:val="000E5AA1"/>
    <w:rsid w:val="000E7A23"/>
    <w:rsid w:val="000F0059"/>
    <w:rsid w:val="000F01EC"/>
    <w:rsid w:val="000F1F9D"/>
    <w:rsid w:val="000F257C"/>
    <w:rsid w:val="000F27F8"/>
    <w:rsid w:val="000F2C7F"/>
    <w:rsid w:val="000F2F8A"/>
    <w:rsid w:val="000F336B"/>
    <w:rsid w:val="000F3A57"/>
    <w:rsid w:val="000F45A0"/>
    <w:rsid w:val="000F470C"/>
    <w:rsid w:val="000F4A86"/>
    <w:rsid w:val="000F4D77"/>
    <w:rsid w:val="000F5293"/>
    <w:rsid w:val="000F54C9"/>
    <w:rsid w:val="000F613C"/>
    <w:rsid w:val="000F64C4"/>
    <w:rsid w:val="000F72F0"/>
    <w:rsid w:val="0010015A"/>
    <w:rsid w:val="00100728"/>
    <w:rsid w:val="00101465"/>
    <w:rsid w:val="00101BE2"/>
    <w:rsid w:val="00101E3D"/>
    <w:rsid w:val="001024DA"/>
    <w:rsid w:val="00102A44"/>
    <w:rsid w:val="00102EFF"/>
    <w:rsid w:val="00103103"/>
    <w:rsid w:val="001038FC"/>
    <w:rsid w:val="00103939"/>
    <w:rsid w:val="00103BE0"/>
    <w:rsid w:val="00104416"/>
    <w:rsid w:val="00105961"/>
    <w:rsid w:val="00105E3E"/>
    <w:rsid w:val="001067AF"/>
    <w:rsid w:val="00106A25"/>
    <w:rsid w:val="0010732C"/>
    <w:rsid w:val="00107934"/>
    <w:rsid w:val="00111506"/>
    <w:rsid w:val="00111A25"/>
    <w:rsid w:val="00111B38"/>
    <w:rsid w:val="00111B99"/>
    <w:rsid w:val="00112138"/>
    <w:rsid w:val="00112926"/>
    <w:rsid w:val="00115471"/>
    <w:rsid w:val="00115EBE"/>
    <w:rsid w:val="0011674F"/>
    <w:rsid w:val="00117F91"/>
    <w:rsid w:val="00117FE0"/>
    <w:rsid w:val="00120A55"/>
    <w:rsid w:val="00122527"/>
    <w:rsid w:val="001228B0"/>
    <w:rsid w:val="00122BFC"/>
    <w:rsid w:val="00123696"/>
    <w:rsid w:val="00123AFF"/>
    <w:rsid w:val="0012467C"/>
    <w:rsid w:val="00124B11"/>
    <w:rsid w:val="00126C04"/>
    <w:rsid w:val="00130086"/>
    <w:rsid w:val="001301F9"/>
    <w:rsid w:val="00131429"/>
    <w:rsid w:val="00131D85"/>
    <w:rsid w:val="001321D2"/>
    <w:rsid w:val="00132B84"/>
    <w:rsid w:val="00132C75"/>
    <w:rsid w:val="001331DC"/>
    <w:rsid w:val="00133F70"/>
    <w:rsid w:val="001353C2"/>
    <w:rsid w:val="00135F39"/>
    <w:rsid w:val="00136244"/>
    <w:rsid w:val="00136640"/>
    <w:rsid w:val="00137B67"/>
    <w:rsid w:val="00137E66"/>
    <w:rsid w:val="0014009D"/>
    <w:rsid w:val="00141234"/>
    <w:rsid w:val="0014168F"/>
    <w:rsid w:val="00141FB9"/>
    <w:rsid w:val="00142757"/>
    <w:rsid w:val="001437CA"/>
    <w:rsid w:val="00143A94"/>
    <w:rsid w:val="00143DBE"/>
    <w:rsid w:val="00144294"/>
    <w:rsid w:val="00144455"/>
    <w:rsid w:val="00144613"/>
    <w:rsid w:val="0014491B"/>
    <w:rsid w:val="00144EE2"/>
    <w:rsid w:val="00145094"/>
    <w:rsid w:val="001450AD"/>
    <w:rsid w:val="00146823"/>
    <w:rsid w:val="00146F5C"/>
    <w:rsid w:val="00147200"/>
    <w:rsid w:val="00150C74"/>
    <w:rsid w:val="00151A8D"/>
    <w:rsid w:val="00151FC5"/>
    <w:rsid w:val="0015215C"/>
    <w:rsid w:val="00152249"/>
    <w:rsid w:val="001532DD"/>
    <w:rsid w:val="00153490"/>
    <w:rsid w:val="0015365F"/>
    <w:rsid w:val="0015439F"/>
    <w:rsid w:val="001545B1"/>
    <w:rsid w:val="00154C6A"/>
    <w:rsid w:val="001551D0"/>
    <w:rsid w:val="00155549"/>
    <w:rsid w:val="00155694"/>
    <w:rsid w:val="00156214"/>
    <w:rsid w:val="00156795"/>
    <w:rsid w:val="0015714D"/>
    <w:rsid w:val="0015737C"/>
    <w:rsid w:val="00157421"/>
    <w:rsid w:val="001606A8"/>
    <w:rsid w:val="00160971"/>
    <w:rsid w:val="00160E1D"/>
    <w:rsid w:val="00163395"/>
    <w:rsid w:val="001633BE"/>
    <w:rsid w:val="001633FF"/>
    <w:rsid w:val="00163495"/>
    <w:rsid w:val="00164694"/>
    <w:rsid w:val="00164CAE"/>
    <w:rsid w:val="00165DE5"/>
    <w:rsid w:val="00165DE9"/>
    <w:rsid w:val="0016687C"/>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609"/>
    <w:rsid w:val="0018281E"/>
    <w:rsid w:val="0018284C"/>
    <w:rsid w:val="001829B9"/>
    <w:rsid w:val="001834A6"/>
    <w:rsid w:val="00183771"/>
    <w:rsid w:val="001839EE"/>
    <w:rsid w:val="00183CEA"/>
    <w:rsid w:val="001840F4"/>
    <w:rsid w:val="00184388"/>
    <w:rsid w:val="00184392"/>
    <w:rsid w:val="001843A6"/>
    <w:rsid w:val="00185456"/>
    <w:rsid w:val="001857AC"/>
    <w:rsid w:val="00185D80"/>
    <w:rsid w:val="001875EA"/>
    <w:rsid w:val="00187C19"/>
    <w:rsid w:val="00187ED4"/>
    <w:rsid w:val="00190D83"/>
    <w:rsid w:val="00190E50"/>
    <w:rsid w:val="001912DD"/>
    <w:rsid w:val="00191569"/>
    <w:rsid w:val="00192850"/>
    <w:rsid w:val="00192CDE"/>
    <w:rsid w:val="001935CB"/>
    <w:rsid w:val="00193690"/>
    <w:rsid w:val="001939AD"/>
    <w:rsid w:val="00193B72"/>
    <w:rsid w:val="00193DA9"/>
    <w:rsid w:val="00193F6F"/>
    <w:rsid w:val="0019425B"/>
    <w:rsid w:val="00194F9B"/>
    <w:rsid w:val="00195253"/>
    <w:rsid w:val="0019533E"/>
    <w:rsid w:val="001957DC"/>
    <w:rsid w:val="00195944"/>
    <w:rsid w:val="0019606F"/>
    <w:rsid w:val="00196F1E"/>
    <w:rsid w:val="0019703A"/>
    <w:rsid w:val="00197A8C"/>
    <w:rsid w:val="00197BA5"/>
    <w:rsid w:val="00197E3A"/>
    <w:rsid w:val="001A027C"/>
    <w:rsid w:val="001A0D10"/>
    <w:rsid w:val="001A130B"/>
    <w:rsid w:val="001A18B2"/>
    <w:rsid w:val="001A19DB"/>
    <w:rsid w:val="001A2590"/>
    <w:rsid w:val="001A2F38"/>
    <w:rsid w:val="001A3C40"/>
    <w:rsid w:val="001A3D54"/>
    <w:rsid w:val="001A3E2A"/>
    <w:rsid w:val="001A4B90"/>
    <w:rsid w:val="001A5D96"/>
    <w:rsid w:val="001A65A8"/>
    <w:rsid w:val="001A7A74"/>
    <w:rsid w:val="001B0359"/>
    <w:rsid w:val="001B10FB"/>
    <w:rsid w:val="001B123E"/>
    <w:rsid w:val="001B13FB"/>
    <w:rsid w:val="001B20F1"/>
    <w:rsid w:val="001B2572"/>
    <w:rsid w:val="001B25FD"/>
    <w:rsid w:val="001B2C3D"/>
    <w:rsid w:val="001B3262"/>
    <w:rsid w:val="001B4373"/>
    <w:rsid w:val="001B57BF"/>
    <w:rsid w:val="001B5974"/>
    <w:rsid w:val="001B5F48"/>
    <w:rsid w:val="001B65E6"/>
    <w:rsid w:val="001B6F97"/>
    <w:rsid w:val="001B6FAA"/>
    <w:rsid w:val="001B703A"/>
    <w:rsid w:val="001B71B9"/>
    <w:rsid w:val="001C06AE"/>
    <w:rsid w:val="001C0B69"/>
    <w:rsid w:val="001C12BD"/>
    <w:rsid w:val="001C16FD"/>
    <w:rsid w:val="001C1702"/>
    <w:rsid w:val="001C2D37"/>
    <w:rsid w:val="001C4595"/>
    <w:rsid w:val="001C4835"/>
    <w:rsid w:val="001C48FB"/>
    <w:rsid w:val="001C49E4"/>
    <w:rsid w:val="001C524F"/>
    <w:rsid w:val="001C558B"/>
    <w:rsid w:val="001C5CC8"/>
    <w:rsid w:val="001C5DD2"/>
    <w:rsid w:val="001C5F83"/>
    <w:rsid w:val="001C654B"/>
    <w:rsid w:val="001C68C7"/>
    <w:rsid w:val="001C6F5A"/>
    <w:rsid w:val="001C722B"/>
    <w:rsid w:val="001D02E1"/>
    <w:rsid w:val="001D0316"/>
    <w:rsid w:val="001D1A10"/>
    <w:rsid w:val="001D1B2D"/>
    <w:rsid w:val="001D1CE3"/>
    <w:rsid w:val="001D1D55"/>
    <w:rsid w:val="001D29FA"/>
    <w:rsid w:val="001D2DBA"/>
    <w:rsid w:val="001D33EB"/>
    <w:rsid w:val="001D3BFB"/>
    <w:rsid w:val="001D4097"/>
    <w:rsid w:val="001D491E"/>
    <w:rsid w:val="001D5150"/>
    <w:rsid w:val="001D59AA"/>
    <w:rsid w:val="001D5A30"/>
    <w:rsid w:val="001D6C5A"/>
    <w:rsid w:val="001D6E85"/>
    <w:rsid w:val="001E1A59"/>
    <w:rsid w:val="001E1B14"/>
    <w:rsid w:val="001E398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316B"/>
    <w:rsid w:val="001F330C"/>
    <w:rsid w:val="001F3F7C"/>
    <w:rsid w:val="001F41CB"/>
    <w:rsid w:val="001F42F2"/>
    <w:rsid w:val="001F442F"/>
    <w:rsid w:val="001F5374"/>
    <w:rsid w:val="001F55BE"/>
    <w:rsid w:val="001F59AC"/>
    <w:rsid w:val="001F64C1"/>
    <w:rsid w:val="001F67E2"/>
    <w:rsid w:val="001F694E"/>
    <w:rsid w:val="001F6E76"/>
    <w:rsid w:val="001F7468"/>
    <w:rsid w:val="001F74C1"/>
    <w:rsid w:val="001F75A0"/>
    <w:rsid w:val="00200717"/>
    <w:rsid w:val="00200AFA"/>
    <w:rsid w:val="00200BCA"/>
    <w:rsid w:val="00200EA2"/>
    <w:rsid w:val="0020144E"/>
    <w:rsid w:val="00202090"/>
    <w:rsid w:val="0020363B"/>
    <w:rsid w:val="00203C2A"/>
    <w:rsid w:val="002041ED"/>
    <w:rsid w:val="002042EE"/>
    <w:rsid w:val="002043A5"/>
    <w:rsid w:val="00204B06"/>
    <w:rsid w:val="00204D02"/>
    <w:rsid w:val="00205C47"/>
    <w:rsid w:val="0020746F"/>
    <w:rsid w:val="00207591"/>
    <w:rsid w:val="00207B54"/>
    <w:rsid w:val="00215106"/>
    <w:rsid w:val="0021543B"/>
    <w:rsid w:val="002154CD"/>
    <w:rsid w:val="002155C0"/>
    <w:rsid w:val="00215650"/>
    <w:rsid w:val="0021680A"/>
    <w:rsid w:val="0021681A"/>
    <w:rsid w:val="00216ED9"/>
    <w:rsid w:val="00217BCD"/>
    <w:rsid w:val="00217D09"/>
    <w:rsid w:val="0022207C"/>
    <w:rsid w:val="00222A2D"/>
    <w:rsid w:val="0022379D"/>
    <w:rsid w:val="00224402"/>
    <w:rsid w:val="0022589B"/>
    <w:rsid w:val="0022678C"/>
    <w:rsid w:val="0022679C"/>
    <w:rsid w:val="00226B0D"/>
    <w:rsid w:val="00226BF4"/>
    <w:rsid w:val="002273D4"/>
    <w:rsid w:val="00227736"/>
    <w:rsid w:val="002279F2"/>
    <w:rsid w:val="00227FDC"/>
    <w:rsid w:val="0023003F"/>
    <w:rsid w:val="002318EF"/>
    <w:rsid w:val="00231BE1"/>
    <w:rsid w:val="00231D85"/>
    <w:rsid w:val="00231E77"/>
    <w:rsid w:val="002325FA"/>
    <w:rsid w:val="00233553"/>
    <w:rsid w:val="00233E8A"/>
    <w:rsid w:val="002343D8"/>
    <w:rsid w:val="00234D14"/>
    <w:rsid w:val="00234E89"/>
    <w:rsid w:val="00235EA3"/>
    <w:rsid w:val="00236316"/>
    <w:rsid w:val="0023703D"/>
    <w:rsid w:val="00237368"/>
    <w:rsid w:val="002373B8"/>
    <w:rsid w:val="002376EB"/>
    <w:rsid w:val="00237821"/>
    <w:rsid w:val="0024052C"/>
    <w:rsid w:val="00240926"/>
    <w:rsid w:val="00240BBC"/>
    <w:rsid w:val="002413D3"/>
    <w:rsid w:val="00241AD3"/>
    <w:rsid w:val="002422AB"/>
    <w:rsid w:val="00242873"/>
    <w:rsid w:val="00242B8D"/>
    <w:rsid w:val="00242BD8"/>
    <w:rsid w:val="0024327B"/>
    <w:rsid w:val="002435B9"/>
    <w:rsid w:val="00243F6B"/>
    <w:rsid w:val="00245DBC"/>
    <w:rsid w:val="00246630"/>
    <w:rsid w:val="00246BC3"/>
    <w:rsid w:val="00246CF2"/>
    <w:rsid w:val="00246FF8"/>
    <w:rsid w:val="00247478"/>
    <w:rsid w:val="00247BE8"/>
    <w:rsid w:val="00250E49"/>
    <w:rsid w:val="0025101E"/>
    <w:rsid w:val="002524E9"/>
    <w:rsid w:val="00252CB0"/>
    <w:rsid w:val="0025307B"/>
    <w:rsid w:val="00253C43"/>
    <w:rsid w:val="00253CF7"/>
    <w:rsid w:val="00254973"/>
    <w:rsid w:val="00254B50"/>
    <w:rsid w:val="00254B9D"/>
    <w:rsid w:val="002554AD"/>
    <w:rsid w:val="00255B6C"/>
    <w:rsid w:val="00255C27"/>
    <w:rsid w:val="00256304"/>
    <w:rsid w:val="00256A5E"/>
    <w:rsid w:val="00256DC7"/>
    <w:rsid w:val="00256ECE"/>
    <w:rsid w:val="00257482"/>
    <w:rsid w:val="00257558"/>
    <w:rsid w:val="00257E18"/>
    <w:rsid w:val="002602CE"/>
    <w:rsid w:val="002603EF"/>
    <w:rsid w:val="002609EE"/>
    <w:rsid w:val="00261AED"/>
    <w:rsid w:val="00262223"/>
    <w:rsid w:val="00262359"/>
    <w:rsid w:val="00262442"/>
    <w:rsid w:val="00262B2C"/>
    <w:rsid w:val="002632C3"/>
    <w:rsid w:val="00263F5B"/>
    <w:rsid w:val="002640D0"/>
    <w:rsid w:val="0026438F"/>
    <w:rsid w:val="0026498A"/>
    <w:rsid w:val="002653A3"/>
    <w:rsid w:val="0026556D"/>
    <w:rsid w:val="00265F6D"/>
    <w:rsid w:val="00266F8C"/>
    <w:rsid w:val="00270271"/>
    <w:rsid w:val="0027082D"/>
    <w:rsid w:val="002718B4"/>
    <w:rsid w:val="002732FF"/>
    <w:rsid w:val="00273760"/>
    <w:rsid w:val="00274746"/>
    <w:rsid w:val="00274B7C"/>
    <w:rsid w:val="00275D61"/>
    <w:rsid w:val="002775FC"/>
    <w:rsid w:val="00280600"/>
    <w:rsid w:val="0028122E"/>
    <w:rsid w:val="00281E50"/>
    <w:rsid w:val="00283873"/>
    <w:rsid w:val="0028388C"/>
    <w:rsid w:val="00283B29"/>
    <w:rsid w:val="00284134"/>
    <w:rsid w:val="002842D2"/>
    <w:rsid w:val="00284580"/>
    <w:rsid w:val="002845F9"/>
    <w:rsid w:val="002853D1"/>
    <w:rsid w:val="00285976"/>
    <w:rsid w:val="00285C5E"/>
    <w:rsid w:val="002863D2"/>
    <w:rsid w:val="00286AB3"/>
    <w:rsid w:val="00287EFB"/>
    <w:rsid w:val="0029095B"/>
    <w:rsid w:val="002919C2"/>
    <w:rsid w:val="002921E1"/>
    <w:rsid w:val="00293FC9"/>
    <w:rsid w:val="002940A5"/>
    <w:rsid w:val="00294BC6"/>
    <w:rsid w:val="0029524E"/>
    <w:rsid w:val="00295402"/>
    <w:rsid w:val="002955C6"/>
    <w:rsid w:val="002963B5"/>
    <w:rsid w:val="002964D0"/>
    <w:rsid w:val="00296AA3"/>
    <w:rsid w:val="00297214"/>
    <w:rsid w:val="00297333"/>
    <w:rsid w:val="002A0193"/>
    <w:rsid w:val="002A0F03"/>
    <w:rsid w:val="002A1C9F"/>
    <w:rsid w:val="002A23AD"/>
    <w:rsid w:val="002A2F34"/>
    <w:rsid w:val="002A309B"/>
    <w:rsid w:val="002A3A9B"/>
    <w:rsid w:val="002A3F6C"/>
    <w:rsid w:val="002A40C6"/>
    <w:rsid w:val="002A422C"/>
    <w:rsid w:val="002A55B9"/>
    <w:rsid w:val="002A5B3B"/>
    <w:rsid w:val="002A7FA3"/>
    <w:rsid w:val="002B1197"/>
    <w:rsid w:val="002B1321"/>
    <w:rsid w:val="002B1DCF"/>
    <w:rsid w:val="002B2F10"/>
    <w:rsid w:val="002B34C5"/>
    <w:rsid w:val="002B3502"/>
    <w:rsid w:val="002B3B75"/>
    <w:rsid w:val="002B3C18"/>
    <w:rsid w:val="002B3D3C"/>
    <w:rsid w:val="002B3DC1"/>
    <w:rsid w:val="002B4F2B"/>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E8A"/>
    <w:rsid w:val="002C52E2"/>
    <w:rsid w:val="002C570C"/>
    <w:rsid w:val="002C579F"/>
    <w:rsid w:val="002C6836"/>
    <w:rsid w:val="002D0CAF"/>
    <w:rsid w:val="002D217F"/>
    <w:rsid w:val="002D2D99"/>
    <w:rsid w:val="002D3C3B"/>
    <w:rsid w:val="002D3C6C"/>
    <w:rsid w:val="002D4040"/>
    <w:rsid w:val="002D4A75"/>
    <w:rsid w:val="002D4FD6"/>
    <w:rsid w:val="002D4FDD"/>
    <w:rsid w:val="002D5FE1"/>
    <w:rsid w:val="002D7510"/>
    <w:rsid w:val="002D7916"/>
    <w:rsid w:val="002D7E37"/>
    <w:rsid w:val="002E018D"/>
    <w:rsid w:val="002E20A1"/>
    <w:rsid w:val="002E2813"/>
    <w:rsid w:val="002E337D"/>
    <w:rsid w:val="002E3480"/>
    <w:rsid w:val="002E3AF8"/>
    <w:rsid w:val="002E4C5E"/>
    <w:rsid w:val="002E56E8"/>
    <w:rsid w:val="002E5758"/>
    <w:rsid w:val="002E648C"/>
    <w:rsid w:val="002E66A6"/>
    <w:rsid w:val="002E6A65"/>
    <w:rsid w:val="002E6F91"/>
    <w:rsid w:val="002F0253"/>
    <w:rsid w:val="002F1069"/>
    <w:rsid w:val="002F113A"/>
    <w:rsid w:val="002F1796"/>
    <w:rsid w:val="002F1DEE"/>
    <w:rsid w:val="002F1FB1"/>
    <w:rsid w:val="002F2C7E"/>
    <w:rsid w:val="002F2E22"/>
    <w:rsid w:val="002F33D1"/>
    <w:rsid w:val="002F4C21"/>
    <w:rsid w:val="002F4F8C"/>
    <w:rsid w:val="002F591D"/>
    <w:rsid w:val="002F6B38"/>
    <w:rsid w:val="002F7955"/>
    <w:rsid w:val="00301BB3"/>
    <w:rsid w:val="00302254"/>
    <w:rsid w:val="00302595"/>
    <w:rsid w:val="003025DE"/>
    <w:rsid w:val="003029D3"/>
    <w:rsid w:val="00302BA1"/>
    <w:rsid w:val="00303010"/>
    <w:rsid w:val="00303298"/>
    <w:rsid w:val="00303765"/>
    <w:rsid w:val="00303E7C"/>
    <w:rsid w:val="00304149"/>
    <w:rsid w:val="00305C70"/>
    <w:rsid w:val="00306EAA"/>
    <w:rsid w:val="003072BE"/>
    <w:rsid w:val="003073D5"/>
    <w:rsid w:val="003122E5"/>
    <w:rsid w:val="00312C11"/>
    <w:rsid w:val="00315E15"/>
    <w:rsid w:val="00315E54"/>
    <w:rsid w:val="00317174"/>
    <w:rsid w:val="00317A1C"/>
    <w:rsid w:val="0032107F"/>
    <w:rsid w:val="00321949"/>
    <w:rsid w:val="003220AE"/>
    <w:rsid w:val="003222B8"/>
    <w:rsid w:val="003223C9"/>
    <w:rsid w:val="00323C81"/>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3F2"/>
    <w:rsid w:val="00333547"/>
    <w:rsid w:val="003341DD"/>
    <w:rsid w:val="003347FB"/>
    <w:rsid w:val="0033571F"/>
    <w:rsid w:val="00337209"/>
    <w:rsid w:val="003372D4"/>
    <w:rsid w:val="00337549"/>
    <w:rsid w:val="00337E9E"/>
    <w:rsid w:val="0034084C"/>
    <w:rsid w:val="00340C21"/>
    <w:rsid w:val="00341864"/>
    <w:rsid w:val="00341FA9"/>
    <w:rsid w:val="003430E8"/>
    <w:rsid w:val="00344149"/>
    <w:rsid w:val="00344430"/>
    <w:rsid w:val="00344743"/>
    <w:rsid w:val="00344BB9"/>
    <w:rsid w:val="00345480"/>
    <w:rsid w:val="003455EE"/>
    <w:rsid w:val="00346D9F"/>
    <w:rsid w:val="00346F18"/>
    <w:rsid w:val="00346FF3"/>
    <w:rsid w:val="003473A5"/>
    <w:rsid w:val="0035037F"/>
    <w:rsid w:val="00350480"/>
    <w:rsid w:val="003516ED"/>
    <w:rsid w:val="003518D6"/>
    <w:rsid w:val="00351FD6"/>
    <w:rsid w:val="00353020"/>
    <w:rsid w:val="00354390"/>
    <w:rsid w:val="00354D50"/>
    <w:rsid w:val="00354DCD"/>
    <w:rsid w:val="003557A2"/>
    <w:rsid w:val="00355D4C"/>
    <w:rsid w:val="00356823"/>
    <w:rsid w:val="003568E5"/>
    <w:rsid w:val="00356E3D"/>
    <w:rsid w:val="003575AA"/>
    <w:rsid w:val="00361689"/>
    <w:rsid w:val="00361E5F"/>
    <w:rsid w:val="00362FD9"/>
    <w:rsid w:val="00364414"/>
    <w:rsid w:val="0036482F"/>
    <w:rsid w:val="00364B57"/>
    <w:rsid w:val="0036506C"/>
    <w:rsid w:val="00365CAB"/>
    <w:rsid w:val="003666A0"/>
    <w:rsid w:val="0036744D"/>
    <w:rsid w:val="00367495"/>
    <w:rsid w:val="00367A35"/>
    <w:rsid w:val="003708F8"/>
    <w:rsid w:val="00371998"/>
    <w:rsid w:val="00371FFA"/>
    <w:rsid w:val="003726B8"/>
    <w:rsid w:val="003728D8"/>
    <w:rsid w:val="00372A29"/>
    <w:rsid w:val="00373B32"/>
    <w:rsid w:val="00374A8B"/>
    <w:rsid w:val="003755A6"/>
    <w:rsid w:val="00375707"/>
    <w:rsid w:val="00375872"/>
    <w:rsid w:val="00376123"/>
    <w:rsid w:val="0037676D"/>
    <w:rsid w:val="00376A26"/>
    <w:rsid w:val="0037742E"/>
    <w:rsid w:val="003807EE"/>
    <w:rsid w:val="0038105E"/>
    <w:rsid w:val="0038128B"/>
    <w:rsid w:val="00381F11"/>
    <w:rsid w:val="00383E36"/>
    <w:rsid w:val="00384ABA"/>
    <w:rsid w:val="003856FA"/>
    <w:rsid w:val="00385C2F"/>
    <w:rsid w:val="00386062"/>
    <w:rsid w:val="0038787C"/>
    <w:rsid w:val="00387E45"/>
    <w:rsid w:val="00387E8A"/>
    <w:rsid w:val="00390737"/>
    <w:rsid w:val="003908F9"/>
    <w:rsid w:val="00390D0A"/>
    <w:rsid w:val="00390F69"/>
    <w:rsid w:val="00391265"/>
    <w:rsid w:val="00391327"/>
    <w:rsid w:val="003918DD"/>
    <w:rsid w:val="003918E5"/>
    <w:rsid w:val="00391DEE"/>
    <w:rsid w:val="00392ED1"/>
    <w:rsid w:val="00393687"/>
    <w:rsid w:val="00393A2B"/>
    <w:rsid w:val="00394DE8"/>
    <w:rsid w:val="0039530E"/>
    <w:rsid w:val="0039566C"/>
    <w:rsid w:val="00395793"/>
    <w:rsid w:val="00396AAD"/>
    <w:rsid w:val="003A09AA"/>
    <w:rsid w:val="003A0BD9"/>
    <w:rsid w:val="003A0E65"/>
    <w:rsid w:val="003A0F1E"/>
    <w:rsid w:val="003A3B10"/>
    <w:rsid w:val="003A3DE2"/>
    <w:rsid w:val="003A4469"/>
    <w:rsid w:val="003A4670"/>
    <w:rsid w:val="003A4A4E"/>
    <w:rsid w:val="003A4B90"/>
    <w:rsid w:val="003A6356"/>
    <w:rsid w:val="003A674A"/>
    <w:rsid w:val="003A6A75"/>
    <w:rsid w:val="003A7D09"/>
    <w:rsid w:val="003A7FC8"/>
    <w:rsid w:val="003B12DF"/>
    <w:rsid w:val="003B1373"/>
    <w:rsid w:val="003B147F"/>
    <w:rsid w:val="003B2A0D"/>
    <w:rsid w:val="003B2B70"/>
    <w:rsid w:val="003B2FBF"/>
    <w:rsid w:val="003B348C"/>
    <w:rsid w:val="003B3CF7"/>
    <w:rsid w:val="003B44B2"/>
    <w:rsid w:val="003B4A8F"/>
    <w:rsid w:val="003B4B7A"/>
    <w:rsid w:val="003B4D0D"/>
    <w:rsid w:val="003B5534"/>
    <w:rsid w:val="003B60BB"/>
    <w:rsid w:val="003B662C"/>
    <w:rsid w:val="003B7431"/>
    <w:rsid w:val="003C19CE"/>
    <w:rsid w:val="003C28F4"/>
    <w:rsid w:val="003C301F"/>
    <w:rsid w:val="003C3070"/>
    <w:rsid w:val="003C314B"/>
    <w:rsid w:val="003C327F"/>
    <w:rsid w:val="003C42F9"/>
    <w:rsid w:val="003C45F7"/>
    <w:rsid w:val="003C4A75"/>
    <w:rsid w:val="003C4F71"/>
    <w:rsid w:val="003C5339"/>
    <w:rsid w:val="003C7B58"/>
    <w:rsid w:val="003C7DD5"/>
    <w:rsid w:val="003D0139"/>
    <w:rsid w:val="003D015C"/>
    <w:rsid w:val="003D08FC"/>
    <w:rsid w:val="003D0C08"/>
    <w:rsid w:val="003D1166"/>
    <w:rsid w:val="003D1980"/>
    <w:rsid w:val="003D1B92"/>
    <w:rsid w:val="003D1C8F"/>
    <w:rsid w:val="003D20FB"/>
    <w:rsid w:val="003D2891"/>
    <w:rsid w:val="003D297D"/>
    <w:rsid w:val="003D2E3C"/>
    <w:rsid w:val="003D31E6"/>
    <w:rsid w:val="003D352C"/>
    <w:rsid w:val="003D3782"/>
    <w:rsid w:val="003D3AE8"/>
    <w:rsid w:val="003D4322"/>
    <w:rsid w:val="003D43CF"/>
    <w:rsid w:val="003D4486"/>
    <w:rsid w:val="003D4548"/>
    <w:rsid w:val="003D4FC1"/>
    <w:rsid w:val="003D5873"/>
    <w:rsid w:val="003D5A4A"/>
    <w:rsid w:val="003D5FD6"/>
    <w:rsid w:val="003D6955"/>
    <w:rsid w:val="003D72C8"/>
    <w:rsid w:val="003D7E76"/>
    <w:rsid w:val="003E07EC"/>
    <w:rsid w:val="003E13DF"/>
    <w:rsid w:val="003E172C"/>
    <w:rsid w:val="003E17F1"/>
    <w:rsid w:val="003E33FB"/>
    <w:rsid w:val="003E388D"/>
    <w:rsid w:val="003E3D8F"/>
    <w:rsid w:val="003E58D8"/>
    <w:rsid w:val="003E5A9F"/>
    <w:rsid w:val="003E5D36"/>
    <w:rsid w:val="003E746D"/>
    <w:rsid w:val="003F01AE"/>
    <w:rsid w:val="003F0885"/>
    <w:rsid w:val="003F0E72"/>
    <w:rsid w:val="003F131E"/>
    <w:rsid w:val="003F1DB8"/>
    <w:rsid w:val="003F1E22"/>
    <w:rsid w:val="003F1E84"/>
    <w:rsid w:val="003F4CA0"/>
    <w:rsid w:val="003F5BCB"/>
    <w:rsid w:val="003F5C3F"/>
    <w:rsid w:val="003F5D1D"/>
    <w:rsid w:val="003F62FE"/>
    <w:rsid w:val="003F6C21"/>
    <w:rsid w:val="003F7995"/>
    <w:rsid w:val="003F7C29"/>
    <w:rsid w:val="003F7DDF"/>
    <w:rsid w:val="003F7F20"/>
    <w:rsid w:val="0040011E"/>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380B"/>
    <w:rsid w:val="004158F8"/>
    <w:rsid w:val="00416E29"/>
    <w:rsid w:val="00416F24"/>
    <w:rsid w:val="004173AB"/>
    <w:rsid w:val="004173DE"/>
    <w:rsid w:val="00420020"/>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82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5A"/>
    <w:rsid w:val="004343FF"/>
    <w:rsid w:val="00434782"/>
    <w:rsid w:val="004347E4"/>
    <w:rsid w:val="00435262"/>
    <w:rsid w:val="004355AD"/>
    <w:rsid w:val="0043587F"/>
    <w:rsid w:val="004359AC"/>
    <w:rsid w:val="0043612E"/>
    <w:rsid w:val="0043626B"/>
    <w:rsid w:val="004363D6"/>
    <w:rsid w:val="00436561"/>
    <w:rsid w:val="00436572"/>
    <w:rsid w:val="004365AB"/>
    <w:rsid w:val="004369DD"/>
    <w:rsid w:val="0043785F"/>
    <w:rsid w:val="004405CB"/>
    <w:rsid w:val="0044074B"/>
    <w:rsid w:val="00441324"/>
    <w:rsid w:val="00441C9F"/>
    <w:rsid w:val="0044313B"/>
    <w:rsid w:val="00443356"/>
    <w:rsid w:val="00443AED"/>
    <w:rsid w:val="00443B32"/>
    <w:rsid w:val="0044406B"/>
    <w:rsid w:val="0044450B"/>
    <w:rsid w:val="00445846"/>
    <w:rsid w:val="004474E5"/>
    <w:rsid w:val="00450146"/>
    <w:rsid w:val="00450542"/>
    <w:rsid w:val="00450EA8"/>
    <w:rsid w:val="00450EA9"/>
    <w:rsid w:val="00451147"/>
    <w:rsid w:val="00452041"/>
    <w:rsid w:val="00452209"/>
    <w:rsid w:val="00452316"/>
    <w:rsid w:val="00452613"/>
    <w:rsid w:val="0045275E"/>
    <w:rsid w:val="004537F5"/>
    <w:rsid w:val="00453ACB"/>
    <w:rsid w:val="00453C0B"/>
    <w:rsid w:val="004542D3"/>
    <w:rsid w:val="004544FD"/>
    <w:rsid w:val="00454865"/>
    <w:rsid w:val="00454A22"/>
    <w:rsid w:val="00454C24"/>
    <w:rsid w:val="00455D96"/>
    <w:rsid w:val="0045645A"/>
    <w:rsid w:val="00456C32"/>
    <w:rsid w:val="0045732D"/>
    <w:rsid w:val="00460997"/>
    <w:rsid w:val="00461EA3"/>
    <w:rsid w:val="00461FD2"/>
    <w:rsid w:val="00462594"/>
    <w:rsid w:val="00462803"/>
    <w:rsid w:val="00464554"/>
    <w:rsid w:val="00464D57"/>
    <w:rsid w:val="00464FAA"/>
    <w:rsid w:val="00464FE3"/>
    <w:rsid w:val="00465EF8"/>
    <w:rsid w:val="00465F0A"/>
    <w:rsid w:val="00467AB5"/>
    <w:rsid w:val="00470C44"/>
    <w:rsid w:val="00472E74"/>
    <w:rsid w:val="004730D0"/>
    <w:rsid w:val="00473370"/>
    <w:rsid w:val="00473E46"/>
    <w:rsid w:val="00474958"/>
    <w:rsid w:val="00474979"/>
    <w:rsid w:val="00474A08"/>
    <w:rsid w:val="00474A99"/>
    <w:rsid w:val="00474CF1"/>
    <w:rsid w:val="00475023"/>
    <w:rsid w:val="004776C5"/>
    <w:rsid w:val="004804AF"/>
    <w:rsid w:val="004806B7"/>
    <w:rsid w:val="00480953"/>
    <w:rsid w:val="00480A00"/>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6C7"/>
    <w:rsid w:val="00493C92"/>
    <w:rsid w:val="00494C2B"/>
    <w:rsid w:val="00494E3E"/>
    <w:rsid w:val="004955B4"/>
    <w:rsid w:val="00495C15"/>
    <w:rsid w:val="0049634E"/>
    <w:rsid w:val="00496D1E"/>
    <w:rsid w:val="00497D86"/>
    <w:rsid w:val="004A0754"/>
    <w:rsid w:val="004A0FAC"/>
    <w:rsid w:val="004A146C"/>
    <w:rsid w:val="004A1A26"/>
    <w:rsid w:val="004A1D0B"/>
    <w:rsid w:val="004A1FC5"/>
    <w:rsid w:val="004A2BB2"/>
    <w:rsid w:val="004A35F1"/>
    <w:rsid w:val="004A396A"/>
    <w:rsid w:val="004A4904"/>
    <w:rsid w:val="004A5073"/>
    <w:rsid w:val="004A52F3"/>
    <w:rsid w:val="004A5B08"/>
    <w:rsid w:val="004A6999"/>
    <w:rsid w:val="004A6D88"/>
    <w:rsid w:val="004B082D"/>
    <w:rsid w:val="004B09EC"/>
    <w:rsid w:val="004B100A"/>
    <w:rsid w:val="004B143E"/>
    <w:rsid w:val="004B1F99"/>
    <w:rsid w:val="004B2548"/>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19F4"/>
    <w:rsid w:val="004C1D16"/>
    <w:rsid w:val="004C24AE"/>
    <w:rsid w:val="004C386B"/>
    <w:rsid w:val="004C3D75"/>
    <w:rsid w:val="004C3D98"/>
    <w:rsid w:val="004C4247"/>
    <w:rsid w:val="004C5DE4"/>
    <w:rsid w:val="004C666C"/>
    <w:rsid w:val="004C6DAC"/>
    <w:rsid w:val="004C7740"/>
    <w:rsid w:val="004C7870"/>
    <w:rsid w:val="004C79AF"/>
    <w:rsid w:val="004C7E20"/>
    <w:rsid w:val="004C7FD6"/>
    <w:rsid w:val="004D1E8C"/>
    <w:rsid w:val="004D228D"/>
    <w:rsid w:val="004D23CE"/>
    <w:rsid w:val="004D24DE"/>
    <w:rsid w:val="004D279C"/>
    <w:rsid w:val="004D2E9A"/>
    <w:rsid w:val="004D3E8E"/>
    <w:rsid w:val="004D417E"/>
    <w:rsid w:val="004D4488"/>
    <w:rsid w:val="004D46F3"/>
    <w:rsid w:val="004D483E"/>
    <w:rsid w:val="004D4BD9"/>
    <w:rsid w:val="004D527C"/>
    <w:rsid w:val="004D5509"/>
    <w:rsid w:val="004D5B95"/>
    <w:rsid w:val="004D6354"/>
    <w:rsid w:val="004D655C"/>
    <w:rsid w:val="004D6594"/>
    <w:rsid w:val="004D799F"/>
    <w:rsid w:val="004E0888"/>
    <w:rsid w:val="004E0A01"/>
    <w:rsid w:val="004E0A0A"/>
    <w:rsid w:val="004E12FA"/>
    <w:rsid w:val="004E2381"/>
    <w:rsid w:val="004E2D82"/>
    <w:rsid w:val="004E33DC"/>
    <w:rsid w:val="004E3645"/>
    <w:rsid w:val="004E3A6E"/>
    <w:rsid w:val="004E3E77"/>
    <w:rsid w:val="004E3EB9"/>
    <w:rsid w:val="004E4B49"/>
    <w:rsid w:val="004E551B"/>
    <w:rsid w:val="004E57C2"/>
    <w:rsid w:val="004E5B0C"/>
    <w:rsid w:val="004E63DF"/>
    <w:rsid w:val="004E6A7C"/>
    <w:rsid w:val="004E724C"/>
    <w:rsid w:val="004E7AE4"/>
    <w:rsid w:val="004E7DA8"/>
    <w:rsid w:val="004F0424"/>
    <w:rsid w:val="004F0D04"/>
    <w:rsid w:val="004F1A80"/>
    <w:rsid w:val="004F1C1A"/>
    <w:rsid w:val="004F1DF0"/>
    <w:rsid w:val="004F1EA5"/>
    <w:rsid w:val="004F1FA7"/>
    <w:rsid w:val="004F2C45"/>
    <w:rsid w:val="004F2CB5"/>
    <w:rsid w:val="004F30F9"/>
    <w:rsid w:val="004F3CFB"/>
    <w:rsid w:val="004F407A"/>
    <w:rsid w:val="004F4233"/>
    <w:rsid w:val="004F4A4B"/>
    <w:rsid w:val="004F5291"/>
    <w:rsid w:val="004F53CF"/>
    <w:rsid w:val="004F5484"/>
    <w:rsid w:val="004F5CEC"/>
    <w:rsid w:val="004F7086"/>
    <w:rsid w:val="004F708A"/>
    <w:rsid w:val="004F753A"/>
    <w:rsid w:val="004F7810"/>
    <w:rsid w:val="00500763"/>
    <w:rsid w:val="00500961"/>
    <w:rsid w:val="00502228"/>
    <w:rsid w:val="00502CB0"/>
    <w:rsid w:val="0050306B"/>
    <w:rsid w:val="00503621"/>
    <w:rsid w:val="00503775"/>
    <w:rsid w:val="00503849"/>
    <w:rsid w:val="00503E22"/>
    <w:rsid w:val="00504151"/>
    <w:rsid w:val="0050438F"/>
    <w:rsid w:val="005047B1"/>
    <w:rsid w:val="00504B4E"/>
    <w:rsid w:val="00504E35"/>
    <w:rsid w:val="00505A18"/>
    <w:rsid w:val="00506C22"/>
    <w:rsid w:val="00507430"/>
    <w:rsid w:val="0050789B"/>
    <w:rsid w:val="00507CC5"/>
    <w:rsid w:val="00507DDA"/>
    <w:rsid w:val="00510665"/>
    <w:rsid w:val="00512685"/>
    <w:rsid w:val="00513BC6"/>
    <w:rsid w:val="00514902"/>
    <w:rsid w:val="005157CC"/>
    <w:rsid w:val="005157F9"/>
    <w:rsid w:val="00516077"/>
    <w:rsid w:val="0051661A"/>
    <w:rsid w:val="00517278"/>
    <w:rsid w:val="00517900"/>
    <w:rsid w:val="00520736"/>
    <w:rsid w:val="00520AA2"/>
    <w:rsid w:val="00522951"/>
    <w:rsid w:val="0052387E"/>
    <w:rsid w:val="00524747"/>
    <w:rsid w:val="00524D60"/>
    <w:rsid w:val="005253B3"/>
    <w:rsid w:val="00526FCF"/>
    <w:rsid w:val="005272A2"/>
    <w:rsid w:val="00527B3D"/>
    <w:rsid w:val="00530228"/>
    <w:rsid w:val="00530359"/>
    <w:rsid w:val="00530EBC"/>
    <w:rsid w:val="00530F38"/>
    <w:rsid w:val="005312C7"/>
    <w:rsid w:val="00531B64"/>
    <w:rsid w:val="005320E2"/>
    <w:rsid w:val="005322EC"/>
    <w:rsid w:val="0053270E"/>
    <w:rsid w:val="00532FD0"/>
    <w:rsid w:val="00533587"/>
    <w:rsid w:val="00533A53"/>
    <w:rsid w:val="00534351"/>
    <w:rsid w:val="00534C32"/>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1AF"/>
    <w:rsid w:val="005418EA"/>
    <w:rsid w:val="00541F0A"/>
    <w:rsid w:val="00542434"/>
    <w:rsid w:val="00542949"/>
    <w:rsid w:val="0054369B"/>
    <w:rsid w:val="00546163"/>
    <w:rsid w:val="00546E6B"/>
    <w:rsid w:val="00547BD0"/>
    <w:rsid w:val="00547E27"/>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1A4C"/>
    <w:rsid w:val="00562721"/>
    <w:rsid w:val="0056294B"/>
    <w:rsid w:val="00562C59"/>
    <w:rsid w:val="00562DB0"/>
    <w:rsid w:val="00563247"/>
    <w:rsid w:val="005632F7"/>
    <w:rsid w:val="00563630"/>
    <w:rsid w:val="00563C53"/>
    <w:rsid w:val="00563EE7"/>
    <w:rsid w:val="00564459"/>
    <w:rsid w:val="00565E39"/>
    <w:rsid w:val="00566BE3"/>
    <w:rsid w:val="00566CF4"/>
    <w:rsid w:val="00566E85"/>
    <w:rsid w:val="00566F84"/>
    <w:rsid w:val="0056703E"/>
    <w:rsid w:val="0056716B"/>
    <w:rsid w:val="005672C5"/>
    <w:rsid w:val="0056749A"/>
    <w:rsid w:val="005719C0"/>
    <w:rsid w:val="00571E20"/>
    <w:rsid w:val="005724F3"/>
    <w:rsid w:val="00572984"/>
    <w:rsid w:val="00572B2A"/>
    <w:rsid w:val="00572BCE"/>
    <w:rsid w:val="00572C9F"/>
    <w:rsid w:val="005736B8"/>
    <w:rsid w:val="00573DA3"/>
    <w:rsid w:val="00574306"/>
    <w:rsid w:val="005748C5"/>
    <w:rsid w:val="00574B0F"/>
    <w:rsid w:val="005755D5"/>
    <w:rsid w:val="00575652"/>
    <w:rsid w:val="00576AB1"/>
    <w:rsid w:val="00580674"/>
    <w:rsid w:val="00581B22"/>
    <w:rsid w:val="00581C17"/>
    <w:rsid w:val="00581CEC"/>
    <w:rsid w:val="00581D34"/>
    <w:rsid w:val="00582394"/>
    <w:rsid w:val="0058412F"/>
    <w:rsid w:val="005849CD"/>
    <w:rsid w:val="00584B23"/>
    <w:rsid w:val="00584B85"/>
    <w:rsid w:val="00585798"/>
    <w:rsid w:val="0058620C"/>
    <w:rsid w:val="00586B37"/>
    <w:rsid w:val="005875A2"/>
    <w:rsid w:val="00587873"/>
    <w:rsid w:val="00591153"/>
    <w:rsid w:val="0059119E"/>
    <w:rsid w:val="00591790"/>
    <w:rsid w:val="00592ABA"/>
    <w:rsid w:val="005934E0"/>
    <w:rsid w:val="00593595"/>
    <w:rsid w:val="005937DA"/>
    <w:rsid w:val="00593EC4"/>
    <w:rsid w:val="00594E86"/>
    <w:rsid w:val="00594FCD"/>
    <w:rsid w:val="00595AC8"/>
    <w:rsid w:val="00595B7C"/>
    <w:rsid w:val="00595EA4"/>
    <w:rsid w:val="00596038"/>
    <w:rsid w:val="00596526"/>
    <w:rsid w:val="00596D90"/>
    <w:rsid w:val="005A044F"/>
    <w:rsid w:val="005A049E"/>
    <w:rsid w:val="005A0C92"/>
    <w:rsid w:val="005A1AB5"/>
    <w:rsid w:val="005A205A"/>
    <w:rsid w:val="005A2099"/>
    <w:rsid w:val="005A296C"/>
    <w:rsid w:val="005A33F3"/>
    <w:rsid w:val="005A38CE"/>
    <w:rsid w:val="005A3A4B"/>
    <w:rsid w:val="005A3E9E"/>
    <w:rsid w:val="005A4B91"/>
    <w:rsid w:val="005A52B7"/>
    <w:rsid w:val="005A542D"/>
    <w:rsid w:val="005A5671"/>
    <w:rsid w:val="005A58E7"/>
    <w:rsid w:val="005A5A76"/>
    <w:rsid w:val="005A5AC7"/>
    <w:rsid w:val="005A5B5E"/>
    <w:rsid w:val="005A5D06"/>
    <w:rsid w:val="005A6553"/>
    <w:rsid w:val="005A6D85"/>
    <w:rsid w:val="005A70CA"/>
    <w:rsid w:val="005A760D"/>
    <w:rsid w:val="005A786B"/>
    <w:rsid w:val="005A7CB8"/>
    <w:rsid w:val="005A7E2D"/>
    <w:rsid w:val="005A7E6B"/>
    <w:rsid w:val="005B0012"/>
    <w:rsid w:val="005B1396"/>
    <w:rsid w:val="005B2115"/>
    <w:rsid w:val="005B24D1"/>
    <w:rsid w:val="005B33C2"/>
    <w:rsid w:val="005B3ADD"/>
    <w:rsid w:val="005B3CD6"/>
    <w:rsid w:val="005B487F"/>
    <w:rsid w:val="005B6CB2"/>
    <w:rsid w:val="005B6CF7"/>
    <w:rsid w:val="005B7DF3"/>
    <w:rsid w:val="005C042F"/>
    <w:rsid w:val="005C1D11"/>
    <w:rsid w:val="005C35F5"/>
    <w:rsid w:val="005C40FE"/>
    <w:rsid w:val="005C4F45"/>
    <w:rsid w:val="005C6883"/>
    <w:rsid w:val="005C6DE3"/>
    <w:rsid w:val="005C6EDC"/>
    <w:rsid w:val="005C7030"/>
    <w:rsid w:val="005C70B0"/>
    <w:rsid w:val="005C711E"/>
    <w:rsid w:val="005C7DEB"/>
    <w:rsid w:val="005D02BD"/>
    <w:rsid w:val="005D0411"/>
    <w:rsid w:val="005D0ED2"/>
    <w:rsid w:val="005D114D"/>
    <w:rsid w:val="005D1597"/>
    <w:rsid w:val="005D17A3"/>
    <w:rsid w:val="005D271D"/>
    <w:rsid w:val="005D5C74"/>
    <w:rsid w:val="005E09B0"/>
    <w:rsid w:val="005E0B50"/>
    <w:rsid w:val="005E0F70"/>
    <w:rsid w:val="005E16FF"/>
    <w:rsid w:val="005E1D1F"/>
    <w:rsid w:val="005E2517"/>
    <w:rsid w:val="005E299F"/>
    <w:rsid w:val="005E36D0"/>
    <w:rsid w:val="005E3CAA"/>
    <w:rsid w:val="005E4192"/>
    <w:rsid w:val="005E42A2"/>
    <w:rsid w:val="005E4D23"/>
    <w:rsid w:val="005E4E3F"/>
    <w:rsid w:val="005E559E"/>
    <w:rsid w:val="005E5ACE"/>
    <w:rsid w:val="005E5C36"/>
    <w:rsid w:val="005E5CB1"/>
    <w:rsid w:val="005E5EBB"/>
    <w:rsid w:val="005E5EEB"/>
    <w:rsid w:val="005E6947"/>
    <w:rsid w:val="005E6B4F"/>
    <w:rsid w:val="005E6FB9"/>
    <w:rsid w:val="005F07DA"/>
    <w:rsid w:val="005F194B"/>
    <w:rsid w:val="005F1A0E"/>
    <w:rsid w:val="005F1E27"/>
    <w:rsid w:val="005F293D"/>
    <w:rsid w:val="005F2942"/>
    <w:rsid w:val="005F2E08"/>
    <w:rsid w:val="005F2E38"/>
    <w:rsid w:val="005F373F"/>
    <w:rsid w:val="005F3806"/>
    <w:rsid w:val="005F3BB8"/>
    <w:rsid w:val="005F3D68"/>
    <w:rsid w:val="005F4071"/>
    <w:rsid w:val="005F4F35"/>
    <w:rsid w:val="005F6793"/>
    <w:rsid w:val="005F687D"/>
    <w:rsid w:val="005F7AE0"/>
    <w:rsid w:val="005F7D32"/>
    <w:rsid w:val="006001DB"/>
    <w:rsid w:val="00600EB2"/>
    <w:rsid w:val="00600F2B"/>
    <w:rsid w:val="00601605"/>
    <w:rsid w:val="00601998"/>
    <w:rsid w:val="00601B56"/>
    <w:rsid w:val="00601D29"/>
    <w:rsid w:val="006024D6"/>
    <w:rsid w:val="0060264F"/>
    <w:rsid w:val="00602AC2"/>
    <w:rsid w:val="00602AC6"/>
    <w:rsid w:val="0060440F"/>
    <w:rsid w:val="00605760"/>
    <w:rsid w:val="00605CD0"/>
    <w:rsid w:val="006067F8"/>
    <w:rsid w:val="00607C44"/>
    <w:rsid w:val="00610E8C"/>
    <w:rsid w:val="006110CC"/>
    <w:rsid w:val="00611FC7"/>
    <w:rsid w:val="006129E8"/>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89F"/>
    <w:rsid w:val="00621B6F"/>
    <w:rsid w:val="00621C6F"/>
    <w:rsid w:val="006223A2"/>
    <w:rsid w:val="006223A6"/>
    <w:rsid w:val="00622823"/>
    <w:rsid w:val="006230FA"/>
    <w:rsid w:val="00623D53"/>
    <w:rsid w:val="00624129"/>
    <w:rsid w:val="0062432F"/>
    <w:rsid w:val="006244E4"/>
    <w:rsid w:val="006251ED"/>
    <w:rsid w:val="006253C7"/>
    <w:rsid w:val="00625AFD"/>
    <w:rsid w:val="00625BC9"/>
    <w:rsid w:val="00626532"/>
    <w:rsid w:val="006268E0"/>
    <w:rsid w:val="00626B0C"/>
    <w:rsid w:val="00626C7B"/>
    <w:rsid w:val="00626F65"/>
    <w:rsid w:val="00630681"/>
    <w:rsid w:val="00630C8C"/>
    <w:rsid w:val="00630D27"/>
    <w:rsid w:val="00630D2B"/>
    <w:rsid w:val="00630EE9"/>
    <w:rsid w:val="00631550"/>
    <w:rsid w:val="006315BA"/>
    <w:rsid w:val="006316D6"/>
    <w:rsid w:val="00632108"/>
    <w:rsid w:val="00632940"/>
    <w:rsid w:val="0063297B"/>
    <w:rsid w:val="00632BD5"/>
    <w:rsid w:val="00632EA6"/>
    <w:rsid w:val="0063329E"/>
    <w:rsid w:val="00633E7D"/>
    <w:rsid w:val="006340ED"/>
    <w:rsid w:val="00634182"/>
    <w:rsid w:val="00634207"/>
    <w:rsid w:val="0063497C"/>
    <w:rsid w:val="00634D3D"/>
    <w:rsid w:val="00635EC5"/>
    <w:rsid w:val="00636A27"/>
    <w:rsid w:val="00637669"/>
    <w:rsid w:val="006377C8"/>
    <w:rsid w:val="00640330"/>
    <w:rsid w:val="0064111F"/>
    <w:rsid w:val="0064120D"/>
    <w:rsid w:val="00641865"/>
    <w:rsid w:val="0064233B"/>
    <w:rsid w:val="006428AF"/>
    <w:rsid w:val="006429CC"/>
    <w:rsid w:val="00642ED2"/>
    <w:rsid w:val="00644602"/>
    <w:rsid w:val="006446FC"/>
    <w:rsid w:val="00644C3C"/>
    <w:rsid w:val="00645305"/>
    <w:rsid w:val="0064662C"/>
    <w:rsid w:val="00646F0A"/>
    <w:rsid w:val="00647B56"/>
    <w:rsid w:val="00647B80"/>
    <w:rsid w:val="00647D2F"/>
    <w:rsid w:val="00650221"/>
    <w:rsid w:val="006502F0"/>
    <w:rsid w:val="006516D9"/>
    <w:rsid w:val="00651C3B"/>
    <w:rsid w:val="00652671"/>
    <w:rsid w:val="00652D50"/>
    <w:rsid w:val="006537CB"/>
    <w:rsid w:val="006544C0"/>
    <w:rsid w:val="00654A5C"/>
    <w:rsid w:val="00654E59"/>
    <w:rsid w:val="006551BD"/>
    <w:rsid w:val="00655621"/>
    <w:rsid w:val="006560AB"/>
    <w:rsid w:val="0065619B"/>
    <w:rsid w:val="006562CB"/>
    <w:rsid w:val="0065769A"/>
    <w:rsid w:val="0066020C"/>
    <w:rsid w:val="00660994"/>
    <w:rsid w:val="00661925"/>
    <w:rsid w:val="00661E6D"/>
    <w:rsid w:val="00661E8E"/>
    <w:rsid w:val="006622C1"/>
    <w:rsid w:val="00662323"/>
    <w:rsid w:val="00663044"/>
    <w:rsid w:val="0066391C"/>
    <w:rsid w:val="00663A44"/>
    <w:rsid w:val="00663C0F"/>
    <w:rsid w:val="00665ABF"/>
    <w:rsid w:val="00666F00"/>
    <w:rsid w:val="006671D3"/>
    <w:rsid w:val="00667289"/>
    <w:rsid w:val="00667754"/>
    <w:rsid w:val="00667A64"/>
    <w:rsid w:val="00667B99"/>
    <w:rsid w:val="00670F82"/>
    <w:rsid w:val="00671168"/>
    <w:rsid w:val="006720A0"/>
    <w:rsid w:val="0067342E"/>
    <w:rsid w:val="00673CF5"/>
    <w:rsid w:val="006740A5"/>
    <w:rsid w:val="00674F3B"/>
    <w:rsid w:val="006753C3"/>
    <w:rsid w:val="006754F5"/>
    <w:rsid w:val="00676050"/>
    <w:rsid w:val="00676EF4"/>
    <w:rsid w:val="00677747"/>
    <w:rsid w:val="00677F21"/>
    <w:rsid w:val="00677F24"/>
    <w:rsid w:val="006804C7"/>
    <w:rsid w:val="006809E4"/>
    <w:rsid w:val="00680C36"/>
    <w:rsid w:val="00680EF7"/>
    <w:rsid w:val="006812DE"/>
    <w:rsid w:val="006817C5"/>
    <w:rsid w:val="0068247A"/>
    <w:rsid w:val="0068267F"/>
    <w:rsid w:val="00682702"/>
    <w:rsid w:val="00682784"/>
    <w:rsid w:val="006829A8"/>
    <w:rsid w:val="00682B83"/>
    <w:rsid w:val="00682BF9"/>
    <w:rsid w:val="00683424"/>
    <w:rsid w:val="00684586"/>
    <w:rsid w:val="00684CE2"/>
    <w:rsid w:val="00685534"/>
    <w:rsid w:val="00686E23"/>
    <w:rsid w:val="0068793F"/>
    <w:rsid w:val="00687E00"/>
    <w:rsid w:val="00690545"/>
    <w:rsid w:val="00690577"/>
    <w:rsid w:val="0069267F"/>
    <w:rsid w:val="00692AEF"/>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46A5"/>
    <w:rsid w:val="006C51E8"/>
    <w:rsid w:val="006C605A"/>
    <w:rsid w:val="006C65B9"/>
    <w:rsid w:val="006C6A3B"/>
    <w:rsid w:val="006C6CFF"/>
    <w:rsid w:val="006C6FBF"/>
    <w:rsid w:val="006C76B3"/>
    <w:rsid w:val="006C775A"/>
    <w:rsid w:val="006D02B9"/>
    <w:rsid w:val="006D0B00"/>
    <w:rsid w:val="006D0D24"/>
    <w:rsid w:val="006D1177"/>
    <w:rsid w:val="006D11C0"/>
    <w:rsid w:val="006D1E4E"/>
    <w:rsid w:val="006D213B"/>
    <w:rsid w:val="006D252B"/>
    <w:rsid w:val="006D2CA5"/>
    <w:rsid w:val="006D461B"/>
    <w:rsid w:val="006D558B"/>
    <w:rsid w:val="006D5E76"/>
    <w:rsid w:val="006D61C5"/>
    <w:rsid w:val="006D70A5"/>
    <w:rsid w:val="006D7969"/>
    <w:rsid w:val="006E023F"/>
    <w:rsid w:val="006E1226"/>
    <w:rsid w:val="006E1261"/>
    <w:rsid w:val="006E1AF9"/>
    <w:rsid w:val="006E1C24"/>
    <w:rsid w:val="006E275A"/>
    <w:rsid w:val="006E2EEC"/>
    <w:rsid w:val="006E3CD5"/>
    <w:rsid w:val="006E3D07"/>
    <w:rsid w:val="006E3EF7"/>
    <w:rsid w:val="006E466F"/>
    <w:rsid w:val="006E4C76"/>
    <w:rsid w:val="006E6188"/>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07D47"/>
    <w:rsid w:val="0071045B"/>
    <w:rsid w:val="00710559"/>
    <w:rsid w:val="007105C8"/>
    <w:rsid w:val="00710A7E"/>
    <w:rsid w:val="007111B8"/>
    <w:rsid w:val="0071154A"/>
    <w:rsid w:val="00711A5F"/>
    <w:rsid w:val="0071230B"/>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246A"/>
    <w:rsid w:val="007334A3"/>
    <w:rsid w:val="0073396A"/>
    <w:rsid w:val="00734A5A"/>
    <w:rsid w:val="0073528B"/>
    <w:rsid w:val="007352C7"/>
    <w:rsid w:val="00736871"/>
    <w:rsid w:val="00736F31"/>
    <w:rsid w:val="0073708D"/>
    <w:rsid w:val="0073776A"/>
    <w:rsid w:val="00740178"/>
    <w:rsid w:val="007409C7"/>
    <w:rsid w:val="00740D77"/>
    <w:rsid w:val="0074192A"/>
    <w:rsid w:val="00742263"/>
    <w:rsid w:val="00742CC8"/>
    <w:rsid w:val="0074365E"/>
    <w:rsid w:val="007440E8"/>
    <w:rsid w:val="0074473B"/>
    <w:rsid w:val="00744BA2"/>
    <w:rsid w:val="007457A4"/>
    <w:rsid w:val="007466F1"/>
    <w:rsid w:val="007469C7"/>
    <w:rsid w:val="00746A9C"/>
    <w:rsid w:val="00747EB6"/>
    <w:rsid w:val="00750AC5"/>
    <w:rsid w:val="007513F2"/>
    <w:rsid w:val="00751ACF"/>
    <w:rsid w:val="007529C9"/>
    <w:rsid w:val="00753BEB"/>
    <w:rsid w:val="00755136"/>
    <w:rsid w:val="00755B12"/>
    <w:rsid w:val="007563E6"/>
    <w:rsid w:val="007571E4"/>
    <w:rsid w:val="00757B0D"/>
    <w:rsid w:val="0076057F"/>
    <w:rsid w:val="007605B5"/>
    <w:rsid w:val="00760D12"/>
    <w:rsid w:val="007610F5"/>
    <w:rsid w:val="007617E4"/>
    <w:rsid w:val="0076182F"/>
    <w:rsid w:val="00761DF3"/>
    <w:rsid w:val="00761FA3"/>
    <w:rsid w:val="00762C5F"/>
    <w:rsid w:val="00763F46"/>
    <w:rsid w:val="00763FE2"/>
    <w:rsid w:val="007640F4"/>
    <w:rsid w:val="0076415A"/>
    <w:rsid w:val="007642E8"/>
    <w:rsid w:val="00764845"/>
    <w:rsid w:val="00764CE7"/>
    <w:rsid w:val="00765768"/>
    <w:rsid w:val="00765CFA"/>
    <w:rsid w:val="007665D3"/>
    <w:rsid w:val="00767D13"/>
    <w:rsid w:val="00770035"/>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74CF"/>
    <w:rsid w:val="007776B9"/>
    <w:rsid w:val="00777A0F"/>
    <w:rsid w:val="00780638"/>
    <w:rsid w:val="00780B79"/>
    <w:rsid w:val="0078225A"/>
    <w:rsid w:val="00782D8D"/>
    <w:rsid w:val="00783631"/>
    <w:rsid w:val="0078381B"/>
    <w:rsid w:val="00784318"/>
    <w:rsid w:val="007847D8"/>
    <w:rsid w:val="00784BDD"/>
    <w:rsid w:val="00784E0B"/>
    <w:rsid w:val="00784F45"/>
    <w:rsid w:val="0078514E"/>
    <w:rsid w:val="007855E6"/>
    <w:rsid w:val="00785A51"/>
    <w:rsid w:val="00785A88"/>
    <w:rsid w:val="00787F43"/>
    <w:rsid w:val="007903FF"/>
    <w:rsid w:val="0079044A"/>
    <w:rsid w:val="00790AA5"/>
    <w:rsid w:val="0079107B"/>
    <w:rsid w:val="00791555"/>
    <w:rsid w:val="00791D6B"/>
    <w:rsid w:val="00791DEF"/>
    <w:rsid w:val="00792C4E"/>
    <w:rsid w:val="00793898"/>
    <w:rsid w:val="00793AD3"/>
    <w:rsid w:val="00793E04"/>
    <w:rsid w:val="00793F05"/>
    <w:rsid w:val="00793F73"/>
    <w:rsid w:val="0079441E"/>
    <w:rsid w:val="00794823"/>
    <w:rsid w:val="00794974"/>
    <w:rsid w:val="00794DA5"/>
    <w:rsid w:val="0079580F"/>
    <w:rsid w:val="007964BC"/>
    <w:rsid w:val="0079771F"/>
    <w:rsid w:val="007A09A3"/>
    <w:rsid w:val="007A0AA3"/>
    <w:rsid w:val="007A2619"/>
    <w:rsid w:val="007A3259"/>
    <w:rsid w:val="007A337D"/>
    <w:rsid w:val="007A3CDD"/>
    <w:rsid w:val="007A411E"/>
    <w:rsid w:val="007A51B4"/>
    <w:rsid w:val="007A51DF"/>
    <w:rsid w:val="007A7E61"/>
    <w:rsid w:val="007A7E75"/>
    <w:rsid w:val="007A7F3D"/>
    <w:rsid w:val="007B046B"/>
    <w:rsid w:val="007B094D"/>
    <w:rsid w:val="007B0CF4"/>
    <w:rsid w:val="007B1472"/>
    <w:rsid w:val="007B16BD"/>
    <w:rsid w:val="007B1865"/>
    <w:rsid w:val="007B27C7"/>
    <w:rsid w:val="007B3363"/>
    <w:rsid w:val="007B341E"/>
    <w:rsid w:val="007B4F25"/>
    <w:rsid w:val="007B4F7F"/>
    <w:rsid w:val="007B5403"/>
    <w:rsid w:val="007B5E4C"/>
    <w:rsid w:val="007B7102"/>
    <w:rsid w:val="007C019D"/>
    <w:rsid w:val="007C0619"/>
    <w:rsid w:val="007C0976"/>
    <w:rsid w:val="007C0C5A"/>
    <w:rsid w:val="007C0D8A"/>
    <w:rsid w:val="007C1974"/>
    <w:rsid w:val="007C1F01"/>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5FB8"/>
    <w:rsid w:val="007C63E7"/>
    <w:rsid w:val="007C6A40"/>
    <w:rsid w:val="007C7043"/>
    <w:rsid w:val="007D0F7C"/>
    <w:rsid w:val="007D2282"/>
    <w:rsid w:val="007D27EC"/>
    <w:rsid w:val="007D30A3"/>
    <w:rsid w:val="007D3451"/>
    <w:rsid w:val="007D377F"/>
    <w:rsid w:val="007D3DFC"/>
    <w:rsid w:val="007D42DC"/>
    <w:rsid w:val="007D42EF"/>
    <w:rsid w:val="007D44F6"/>
    <w:rsid w:val="007D53D4"/>
    <w:rsid w:val="007D5A6F"/>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1B7"/>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84E"/>
    <w:rsid w:val="007F3D81"/>
    <w:rsid w:val="007F4A86"/>
    <w:rsid w:val="007F4C4F"/>
    <w:rsid w:val="007F5406"/>
    <w:rsid w:val="007F5DC6"/>
    <w:rsid w:val="007F695B"/>
    <w:rsid w:val="007F747F"/>
    <w:rsid w:val="008006ED"/>
    <w:rsid w:val="00800DE0"/>
    <w:rsid w:val="0080127C"/>
    <w:rsid w:val="00801727"/>
    <w:rsid w:val="0080199B"/>
    <w:rsid w:val="00801EA0"/>
    <w:rsid w:val="00801F61"/>
    <w:rsid w:val="00803EE4"/>
    <w:rsid w:val="008043A4"/>
    <w:rsid w:val="00804A63"/>
    <w:rsid w:val="00805700"/>
    <w:rsid w:val="008057CB"/>
    <w:rsid w:val="008061F3"/>
    <w:rsid w:val="0080671D"/>
    <w:rsid w:val="00806F31"/>
    <w:rsid w:val="00807172"/>
    <w:rsid w:val="008072AE"/>
    <w:rsid w:val="008074AB"/>
    <w:rsid w:val="00807709"/>
    <w:rsid w:val="00807DEB"/>
    <w:rsid w:val="008108C4"/>
    <w:rsid w:val="00810BEA"/>
    <w:rsid w:val="00811175"/>
    <w:rsid w:val="00811251"/>
    <w:rsid w:val="00811550"/>
    <w:rsid w:val="0081156D"/>
    <w:rsid w:val="00811B6D"/>
    <w:rsid w:val="008120B9"/>
    <w:rsid w:val="0081290B"/>
    <w:rsid w:val="00813000"/>
    <w:rsid w:val="0081336D"/>
    <w:rsid w:val="008133CE"/>
    <w:rsid w:val="00813674"/>
    <w:rsid w:val="00813C53"/>
    <w:rsid w:val="00814678"/>
    <w:rsid w:val="0081487E"/>
    <w:rsid w:val="00814C70"/>
    <w:rsid w:val="00814CD7"/>
    <w:rsid w:val="00814FA2"/>
    <w:rsid w:val="008152DB"/>
    <w:rsid w:val="008152F4"/>
    <w:rsid w:val="00815584"/>
    <w:rsid w:val="0081610A"/>
    <w:rsid w:val="008163F4"/>
    <w:rsid w:val="008168B3"/>
    <w:rsid w:val="00817910"/>
    <w:rsid w:val="008179B6"/>
    <w:rsid w:val="00817EB9"/>
    <w:rsid w:val="00820B6D"/>
    <w:rsid w:val="00820FD7"/>
    <w:rsid w:val="0082100A"/>
    <w:rsid w:val="008212E4"/>
    <w:rsid w:val="0082303F"/>
    <w:rsid w:val="00823B8E"/>
    <w:rsid w:val="00824257"/>
    <w:rsid w:val="0082548D"/>
    <w:rsid w:val="00826163"/>
    <w:rsid w:val="0082649F"/>
    <w:rsid w:val="008275B3"/>
    <w:rsid w:val="00827773"/>
    <w:rsid w:val="00827801"/>
    <w:rsid w:val="00827A15"/>
    <w:rsid w:val="00827B4F"/>
    <w:rsid w:val="0083013B"/>
    <w:rsid w:val="00830CEB"/>
    <w:rsid w:val="00831263"/>
    <w:rsid w:val="008314A1"/>
    <w:rsid w:val="00831674"/>
    <w:rsid w:val="00832197"/>
    <w:rsid w:val="00833B5D"/>
    <w:rsid w:val="00833EAF"/>
    <w:rsid w:val="00834005"/>
    <w:rsid w:val="008340C9"/>
    <w:rsid w:val="008351F7"/>
    <w:rsid w:val="0083649B"/>
    <w:rsid w:val="00836560"/>
    <w:rsid w:val="008365FF"/>
    <w:rsid w:val="008366F8"/>
    <w:rsid w:val="0083671C"/>
    <w:rsid w:val="008369A1"/>
    <w:rsid w:val="00837B78"/>
    <w:rsid w:val="00840208"/>
    <w:rsid w:val="00840901"/>
    <w:rsid w:val="00840D2E"/>
    <w:rsid w:val="00841011"/>
    <w:rsid w:val="00841462"/>
    <w:rsid w:val="00841737"/>
    <w:rsid w:val="00841A39"/>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35"/>
    <w:rsid w:val="00857B5A"/>
    <w:rsid w:val="00857F0B"/>
    <w:rsid w:val="00860224"/>
    <w:rsid w:val="008604A0"/>
    <w:rsid w:val="00860A68"/>
    <w:rsid w:val="00860B0F"/>
    <w:rsid w:val="00860C24"/>
    <w:rsid w:val="00860ED6"/>
    <w:rsid w:val="0086236F"/>
    <w:rsid w:val="00862AD1"/>
    <w:rsid w:val="00862DD8"/>
    <w:rsid w:val="00862F75"/>
    <w:rsid w:val="00863949"/>
    <w:rsid w:val="0086693C"/>
    <w:rsid w:val="00866D5F"/>
    <w:rsid w:val="00866E26"/>
    <w:rsid w:val="0086707E"/>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B3B"/>
    <w:rsid w:val="00875ED7"/>
    <w:rsid w:val="00875EDA"/>
    <w:rsid w:val="00876405"/>
    <w:rsid w:val="0087666B"/>
    <w:rsid w:val="00876AD6"/>
    <w:rsid w:val="00876B1F"/>
    <w:rsid w:val="00876B97"/>
    <w:rsid w:val="008770F5"/>
    <w:rsid w:val="00877275"/>
    <w:rsid w:val="0087731A"/>
    <w:rsid w:val="008774B1"/>
    <w:rsid w:val="00877BFC"/>
    <w:rsid w:val="008800FB"/>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88A"/>
    <w:rsid w:val="00885F24"/>
    <w:rsid w:val="00885F31"/>
    <w:rsid w:val="00886157"/>
    <w:rsid w:val="008872C9"/>
    <w:rsid w:val="00887339"/>
    <w:rsid w:val="008906F0"/>
    <w:rsid w:val="00891026"/>
    <w:rsid w:val="008911D5"/>
    <w:rsid w:val="008912D7"/>
    <w:rsid w:val="008918FF"/>
    <w:rsid w:val="00891BE3"/>
    <w:rsid w:val="00892539"/>
    <w:rsid w:val="0089273A"/>
    <w:rsid w:val="008958CB"/>
    <w:rsid w:val="00895BF0"/>
    <w:rsid w:val="00896452"/>
    <w:rsid w:val="0089663F"/>
    <w:rsid w:val="0089699B"/>
    <w:rsid w:val="00896F72"/>
    <w:rsid w:val="00897D88"/>
    <w:rsid w:val="008A05B6"/>
    <w:rsid w:val="008A1431"/>
    <w:rsid w:val="008A1C4F"/>
    <w:rsid w:val="008A3A03"/>
    <w:rsid w:val="008A4B78"/>
    <w:rsid w:val="008A4E32"/>
    <w:rsid w:val="008A562C"/>
    <w:rsid w:val="008A6B8C"/>
    <w:rsid w:val="008A7059"/>
    <w:rsid w:val="008A71CE"/>
    <w:rsid w:val="008A7343"/>
    <w:rsid w:val="008A7C2C"/>
    <w:rsid w:val="008A7DCC"/>
    <w:rsid w:val="008B1241"/>
    <w:rsid w:val="008B220B"/>
    <w:rsid w:val="008B2341"/>
    <w:rsid w:val="008B2F2D"/>
    <w:rsid w:val="008B304A"/>
    <w:rsid w:val="008B4227"/>
    <w:rsid w:val="008B4D9D"/>
    <w:rsid w:val="008B5701"/>
    <w:rsid w:val="008B57EA"/>
    <w:rsid w:val="008B5893"/>
    <w:rsid w:val="008B58D8"/>
    <w:rsid w:val="008B62BE"/>
    <w:rsid w:val="008B6742"/>
    <w:rsid w:val="008B6C52"/>
    <w:rsid w:val="008B6E11"/>
    <w:rsid w:val="008B7309"/>
    <w:rsid w:val="008B747D"/>
    <w:rsid w:val="008B768D"/>
    <w:rsid w:val="008B7E6A"/>
    <w:rsid w:val="008C03BD"/>
    <w:rsid w:val="008C055D"/>
    <w:rsid w:val="008C1A01"/>
    <w:rsid w:val="008C1E46"/>
    <w:rsid w:val="008C2A4F"/>
    <w:rsid w:val="008C3289"/>
    <w:rsid w:val="008C35FE"/>
    <w:rsid w:val="008C3DBE"/>
    <w:rsid w:val="008C43D0"/>
    <w:rsid w:val="008C4C15"/>
    <w:rsid w:val="008C4D96"/>
    <w:rsid w:val="008C648F"/>
    <w:rsid w:val="008C6706"/>
    <w:rsid w:val="008C7991"/>
    <w:rsid w:val="008C7B0F"/>
    <w:rsid w:val="008C7BB3"/>
    <w:rsid w:val="008D00D2"/>
    <w:rsid w:val="008D0F8C"/>
    <w:rsid w:val="008D123F"/>
    <w:rsid w:val="008D14F8"/>
    <w:rsid w:val="008D24A5"/>
    <w:rsid w:val="008D31AA"/>
    <w:rsid w:val="008D4AAF"/>
    <w:rsid w:val="008D4B36"/>
    <w:rsid w:val="008D5204"/>
    <w:rsid w:val="008D5687"/>
    <w:rsid w:val="008D61B8"/>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71A"/>
    <w:rsid w:val="008F0685"/>
    <w:rsid w:val="008F0E8F"/>
    <w:rsid w:val="008F0F7D"/>
    <w:rsid w:val="008F12DB"/>
    <w:rsid w:val="008F2F4E"/>
    <w:rsid w:val="008F34F1"/>
    <w:rsid w:val="008F4781"/>
    <w:rsid w:val="008F4945"/>
    <w:rsid w:val="008F4EBD"/>
    <w:rsid w:val="008F54D0"/>
    <w:rsid w:val="008F5B8F"/>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470"/>
    <w:rsid w:val="009056FB"/>
    <w:rsid w:val="009058D2"/>
    <w:rsid w:val="0090590C"/>
    <w:rsid w:val="00906CB1"/>
    <w:rsid w:val="00906FCD"/>
    <w:rsid w:val="00907819"/>
    <w:rsid w:val="00910AD8"/>
    <w:rsid w:val="00911B7A"/>
    <w:rsid w:val="00912498"/>
    <w:rsid w:val="009135C6"/>
    <w:rsid w:val="00913D29"/>
    <w:rsid w:val="0091455D"/>
    <w:rsid w:val="0091464F"/>
    <w:rsid w:val="00916596"/>
    <w:rsid w:val="009202B7"/>
    <w:rsid w:val="00921404"/>
    <w:rsid w:val="00921AFD"/>
    <w:rsid w:val="00921D3C"/>
    <w:rsid w:val="009226A4"/>
    <w:rsid w:val="009229B1"/>
    <w:rsid w:val="00923742"/>
    <w:rsid w:val="0092417C"/>
    <w:rsid w:val="00924A23"/>
    <w:rsid w:val="0092574F"/>
    <w:rsid w:val="00926073"/>
    <w:rsid w:val="0092662C"/>
    <w:rsid w:val="009269EC"/>
    <w:rsid w:val="00926A9B"/>
    <w:rsid w:val="009274CF"/>
    <w:rsid w:val="00927D48"/>
    <w:rsid w:val="0093057F"/>
    <w:rsid w:val="00930AFA"/>
    <w:rsid w:val="00931B04"/>
    <w:rsid w:val="0093204B"/>
    <w:rsid w:val="00932C44"/>
    <w:rsid w:val="00933173"/>
    <w:rsid w:val="009334A5"/>
    <w:rsid w:val="0093352B"/>
    <w:rsid w:val="009341A5"/>
    <w:rsid w:val="00934277"/>
    <w:rsid w:val="00934345"/>
    <w:rsid w:val="00934AA0"/>
    <w:rsid w:val="00935689"/>
    <w:rsid w:val="0093579F"/>
    <w:rsid w:val="00935CAC"/>
    <w:rsid w:val="00936400"/>
    <w:rsid w:val="00936406"/>
    <w:rsid w:val="0093734F"/>
    <w:rsid w:val="00937716"/>
    <w:rsid w:val="00941C46"/>
    <w:rsid w:val="00942736"/>
    <w:rsid w:val="00942B8B"/>
    <w:rsid w:val="0094465B"/>
    <w:rsid w:val="0094495A"/>
    <w:rsid w:val="00944EFF"/>
    <w:rsid w:val="0094593B"/>
    <w:rsid w:val="0094600B"/>
    <w:rsid w:val="00946428"/>
    <w:rsid w:val="0094749B"/>
    <w:rsid w:val="00947679"/>
    <w:rsid w:val="00947FCF"/>
    <w:rsid w:val="009500A2"/>
    <w:rsid w:val="00951ECB"/>
    <w:rsid w:val="00951F6D"/>
    <w:rsid w:val="0095209F"/>
    <w:rsid w:val="009523DF"/>
    <w:rsid w:val="009528CA"/>
    <w:rsid w:val="009529AA"/>
    <w:rsid w:val="009531D8"/>
    <w:rsid w:val="00953434"/>
    <w:rsid w:val="0095346F"/>
    <w:rsid w:val="00953657"/>
    <w:rsid w:val="0095394D"/>
    <w:rsid w:val="00953F76"/>
    <w:rsid w:val="0095494C"/>
    <w:rsid w:val="009550A4"/>
    <w:rsid w:val="00956689"/>
    <w:rsid w:val="00956815"/>
    <w:rsid w:val="00957263"/>
    <w:rsid w:val="00957810"/>
    <w:rsid w:val="00960AC5"/>
    <w:rsid w:val="00960D7B"/>
    <w:rsid w:val="0096241D"/>
    <w:rsid w:val="00963113"/>
    <w:rsid w:val="00963A2A"/>
    <w:rsid w:val="00964411"/>
    <w:rsid w:val="00965568"/>
    <w:rsid w:val="00965930"/>
    <w:rsid w:val="00966850"/>
    <w:rsid w:val="00966B1C"/>
    <w:rsid w:val="009670FA"/>
    <w:rsid w:val="009671DE"/>
    <w:rsid w:val="009673CD"/>
    <w:rsid w:val="009676F3"/>
    <w:rsid w:val="00967AB0"/>
    <w:rsid w:val="00967C5E"/>
    <w:rsid w:val="00967CAE"/>
    <w:rsid w:val="009717AA"/>
    <w:rsid w:val="00972317"/>
    <w:rsid w:val="00972A19"/>
    <w:rsid w:val="00972C27"/>
    <w:rsid w:val="00973658"/>
    <w:rsid w:val="0097374F"/>
    <w:rsid w:val="00973D0A"/>
    <w:rsid w:val="00974E72"/>
    <w:rsid w:val="00975457"/>
    <w:rsid w:val="00975487"/>
    <w:rsid w:val="009757EF"/>
    <w:rsid w:val="00975C71"/>
    <w:rsid w:val="00975EFD"/>
    <w:rsid w:val="00975F5F"/>
    <w:rsid w:val="00976A39"/>
    <w:rsid w:val="00977C87"/>
    <w:rsid w:val="00977D9D"/>
    <w:rsid w:val="00980834"/>
    <w:rsid w:val="00981BEC"/>
    <w:rsid w:val="00981DFA"/>
    <w:rsid w:val="00981E8D"/>
    <w:rsid w:val="00982D59"/>
    <w:rsid w:val="00983CC3"/>
    <w:rsid w:val="009846AF"/>
    <w:rsid w:val="0098487E"/>
    <w:rsid w:val="00985C29"/>
    <w:rsid w:val="00985E97"/>
    <w:rsid w:val="00986B52"/>
    <w:rsid w:val="00986F77"/>
    <w:rsid w:val="0099047E"/>
    <w:rsid w:val="009905A5"/>
    <w:rsid w:val="00990CA5"/>
    <w:rsid w:val="00991287"/>
    <w:rsid w:val="0099138C"/>
    <w:rsid w:val="00992D91"/>
    <w:rsid w:val="00993A72"/>
    <w:rsid w:val="0099431B"/>
    <w:rsid w:val="009955EF"/>
    <w:rsid w:val="00995AB2"/>
    <w:rsid w:val="00995E19"/>
    <w:rsid w:val="0099617F"/>
    <w:rsid w:val="0099699A"/>
    <w:rsid w:val="0099703C"/>
    <w:rsid w:val="009974CA"/>
    <w:rsid w:val="009A106A"/>
    <w:rsid w:val="009A14EB"/>
    <w:rsid w:val="009A16BB"/>
    <w:rsid w:val="009A18AB"/>
    <w:rsid w:val="009A1A62"/>
    <w:rsid w:val="009A1CB4"/>
    <w:rsid w:val="009A285B"/>
    <w:rsid w:val="009A28C0"/>
    <w:rsid w:val="009A2FDA"/>
    <w:rsid w:val="009A2FE1"/>
    <w:rsid w:val="009A3310"/>
    <w:rsid w:val="009A3680"/>
    <w:rsid w:val="009A37B0"/>
    <w:rsid w:val="009A4024"/>
    <w:rsid w:val="009A40F8"/>
    <w:rsid w:val="009A42A6"/>
    <w:rsid w:val="009A4B50"/>
    <w:rsid w:val="009A5B64"/>
    <w:rsid w:val="009A63C6"/>
    <w:rsid w:val="009A6653"/>
    <w:rsid w:val="009A77DC"/>
    <w:rsid w:val="009B06F9"/>
    <w:rsid w:val="009B0896"/>
    <w:rsid w:val="009B129C"/>
    <w:rsid w:val="009B12B2"/>
    <w:rsid w:val="009B1438"/>
    <w:rsid w:val="009B14C2"/>
    <w:rsid w:val="009B21FC"/>
    <w:rsid w:val="009B327B"/>
    <w:rsid w:val="009B39C1"/>
    <w:rsid w:val="009B3D58"/>
    <w:rsid w:val="009B56A5"/>
    <w:rsid w:val="009B6177"/>
    <w:rsid w:val="009B70D3"/>
    <w:rsid w:val="009B7AAF"/>
    <w:rsid w:val="009C06FF"/>
    <w:rsid w:val="009C10FD"/>
    <w:rsid w:val="009C160E"/>
    <w:rsid w:val="009C1B5B"/>
    <w:rsid w:val="009C1CDC"/>
    <w:rsid w:val="009C2775"/>
    <w:rsid w:val="009C2E3E"/>
    <w:rsid w:val="009C3E2A"/>
    <w:rsid w:val="009C4194"/>
    <w:rsid w:val="009C5B93"/>
    <w:rsid w:val="009C5E31"/>
    <w:rsid w:val="009C5EB3"/>
    <w:rsid w:val="009C60AA"/>
    <w:rsid w:val="009C69C3"/>
    <w:rsid w:val="009C6BD3"/>
    <w:rsid w:val="009C6DAA"/>
    <w:rsid w:val="009C7184"/>
    <w:rsid w:val="009C71E3"/>
    <w:rsid w:val="009C7BF0"/>
    <w:rsid w:val="009D0117"/>
    <w:rsid w:val="009D01ED"/>
    <w:rsid w:val="009D063E"/>
    <w:rsid w:val="009D0E09"/>
    <w:rsid w:val="009D0E8C"/>
    <w:rsid w:val="009D1662"/>
    <w:rsid w:val="009D2989"/>
    <w:rsid w:val="009D3FC1"/>
    <w:rsid w:val="009D40FB"/>
    <w:rsid w:val="009D4591"/>
    <w:rsid w:val="009D6914"/>
    <w:rsid w:val="009D7442"/>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306"/>
    <w:rsid w:val="009F0B27"/>
    <w:rsid w:val="009F1990"/>
    <w:rsid w:val="009F1D93"/>
    <w:rsid w:val="009F2279"/>
    <w:rsid w:val="009F22E4"/>
    <w:rsid w:val="009F289D"/>
    <w:rsid w:val="009F29F3"/>
    <w:rsid w:val="009F2C33"/>
    <w:rsid w:val="009F401A"/>
    <w:rsid w:val="009F44C9"/>
    <w:rsid w:val="009F532C"/>
    <w:rsid w:val="009F66FC"/>
    <w:rsid w:val="009F6CA4"/>
    <w:rsid w:val="009F701A"/>
    <w:rsid w:val="009F7E96"/>
    <w:rsid w:val="00A0046D"/>
    <w:rsid w:val="00A0069D"/>
    <w:rsid w:val="00A00D6C"/>
    <w:rsid w:val="00A01A07"/>
    <w:rsid w:val="00A01F45"/>
    <w:rsid w:val="00A020BD"/>
    <w:rsid w:val="00A028CA"/>
    <w:rsid w:val="00A0414F"/>
    <w:rsid w:val="00A04926"/>
    <w:rsid w:val="00A04B43"/>
    <w:rsid w:val="00A05087"/>
    <w:rsid w:val="00A05578"/>
    <w:rsid w:val="00A06D7E"/>
    <w:rsid w:val="00A06FE9"/>
    <w:rsid w:val="00A07592"/>
    <w:rsid w:val="00A10A86"/>
    <w:rsid w:val="00A1257B"/>
    <w:rsid w:val="00A1265D"/>
    <w:rsid w:val="00A126F1"/>
    <w:rsid w:val="00A128E7"/>
    <w:rsid w:val="00A12D95"/>
    <w:rsid w:val="00A139E1"/>
    <w:rsid w:val="00A1462B"/>
    <w:rsid w:val="00A14759"/>
    <w:rsid w:val="00A15026"/>
    <w:rsid w:val="00A150EC"/>
    <w:rsid w:val="00A15749"/>
    <w:rsid w:val="00A15CAB"/>
    <w:rsid w:val="00A211EA"/>
    <w:rsid w:val="00A2140E"/>
    <w:rsid w:val="00A2184D"/>
    <w:rsid w:val="00A2246E"/>
    <w:rsid w:val="00A231E5"/>
    <w:rsid w:val="00A234B5"/>
    <w:rsid w:val="00A24AAC"/>
    <w:rsid w:val="00A25024"/>
    <w:rsid w:val="00A251D5"/>
    <w:rsid w:val="00A25C25"/>
    <w:rsid w:val="00A261CE"/>
    <w:rsid w:val="00A2648E"/>
    <w:rsid w:val="00A265E1"/>
    <w:rsid w:val="00A26718"/>
    <w:rsid w:val="00A26892"/>
    <w:rsid w:val="00A26D3C"/>
    <w:rsid w:val="00A276B7"/>
    <w:rsid w:val="00A27763"/>
    <w:rsid w:val="00A27BFA"/>
    <w:rsid w:val="00A27D1C"/>
    <w:rsid w:val="00A302BB"/>
    <w:rsid w:val="00A31440"/>
    <w:rsid w:val="00A3193D"/>
    <w:rsid w:val="00A31FF1"/>
    <w:rsid w:val="00A328B6"/>
    <w:rsid w:val="00A32FC7"/>
    <w:rsid w:val="00A33015"/>
    <w:rsid w:val="00A33164"/>
    <w:rsid w:val="00A333A2"/>
    <w:rsid w:val="00A337CF"/>
    <w:rsid w:val="00A342C5"/>
    <w:rsid w:val="00A3481F"/>
    <w:rsid w:val="00A35EBF"/>
    <w:rsid w:val="00A3625B"/>
    <w:rsid w:val="00A36A23"/>
    <w:rsid w:val="00A371E8"/>
    <w:rsid w:val="00A378CB"/>
    <w:rsid w:val="00A37C27"/>
    <w:rsid w:val="00A40166"/>
    <w:rsid w:val="00A41237"/>
    <w:rsid w:val="00A41C93"/>
    <w:rsid w:val="00A41DB9"/>
    <w:rsid w:val="00A423FA"/>
    <w:rsid w:val="00A42646"/>
    <w:rsid w:val="00A4295A"/>
    <w:rsid w:val="00A42D9C"/>
    <w:rsid w:val="00A42E1C"/>
    <w:rsid w:val="00A42F67"/>
    <w:rsid w:val="00A432F8"/>
    <w:rsid w:val="00A433A5"/>
    <w:rsid w:val="00A4395F"/>
    <w:rsid w:val="00A43ADA"/>
    <w:rsid w:val="00A43B8E"/>
    <w:rsid w:val="00A43D9C"/>
    <w:rsid w:val="00A4405D"/>
    <w:rsid w:val="00A4421B"/>
    <w:rsid w:val="00A445AD"/>
    <w:rsid w:val="00A44762"/>
    <w:rsid w:val="00A44808"/>
    <w:rsid w:val="00A452ED"/>
    <w:rsid w:val="00A4577E"/>
    <w:rsid w:val="00A467D4"/>
    <w:rsid w:val="00A46D00"/>
    <w:rsid w:val="00A4796C"/>
    <w:rsid w:val="00A47F87"/>
    <w:rsid w:val="00A501C9"/>
    <w:rsid w:val="00A51E72"/>
    <w:rsid w:val="00A53579"/>
    <w:rsid w:val="00A54103"/>
    <w:rsid w:val="00A54592"/>
    <w:rsid w:val="00A55412"/>
    <w:rsid w:val="00A55907"/>
    <w:rsid w:val="00A55CC2"/>
    <w:rsid w:val="00A56027"/>
    <w:rsid w:val="00A57E37"/>
    <w:rsid w:val="00A6003E"/>
    <w:rsid w:val="00A6045E"/>
    <w:rsid w:val="00A62EB4"/>
    <w:rsid w:val="00A6304A"/>
    <w:rsid w:val="00A63C59"/>
    <w:rsid w:val="00A63EA9"/>
    <w:rsid w:val="00A6443A"/>
    <w:rsid w:val="00A64943"/>
    <w:rsid w:val="00A64F1A"/>
    <w:rsid w:val="00A65F3D"/>
    <w:rsid w:val="00A65F7E"/>
    <w:rsid w:val="00A661F2"/>
    <w:rsid w:val="00A663AF"/>
    <w:rsid w:val="00A678A0"/>
    <w:rsid w:val="00A67C8B"/>
    <w:rsid w:val="00A70206"/>
    <w:rsid w:val="00A70233"/>
    <w:rsid w:val="00A705BB"/>
    <w:rsid w:val="00A70B88"/>
    <w:rsid w:val="00A70D6B"/>
    <w:rsid w:val="00A70E4B"/>
    <w:rsid w:val="00A715B2"/>
    <w:rsid w:val="00A71E2C"/>
    <w:rsid w:val="00A727F6"/>
    <w:rsid w:val="00A7293B"/>
    <w:rsid w:val="00A72DBF"/>
    <w:rsid w:val="00A737D1"/>
    <w:rsid w:val="00A73C61"/>
    <w:rsid w:val="00A73D05"/>
    <w:rsid w:val="00A743EF"/>
    <w:rsid w:val="00A75655"/>
    <w:rsid w:val="00A76BC2"/>
    <w:rsid w:val="00A76CC0"/>
    <w:rsid w:val="00A80453"/>
    <w:rsid w:val="00A806E1"/>
    <w:rsid w:val="00A80A03"/>
    <w:rsid w:val="00A811E6"/>
    <w:rsid w:val="00A81897"/>
    <w:rsid w:val="00A821EE"/>
    <w:rsid w:val="00A82B69"/>
    <w:rsid w:val="00A82F56"/>
    <w:rsid w:val="00A833D8"/>
    <w:rsid w:val="00A83F4D"/>
    <w:rsid w:val="00A84BED"/>
    <w:rsid w:val="00A85131"/>
    <w:rsid w:val="00A86313"/>
    <w:rsid w:val="00A8651E"/>
    <w:rsid w:val="00A86AF1"/>
    <w:rsid w:val="00A870D8"/>
    <w:rsid w:val="00A871D7"/>
    <w:rsid w:val="00A90432"/>
    <w:rsid w:val="00A904CB"/>
    <w:rsid w:val="00A90BA5"/>
    <w:rsid w:val="00A9402B"/>
    <w:rsid w:val="00A94E55"/>
    <w:rsid w:val="00A94EC8"/>
    <w:rsid w:val="00A951CD"/>
    <w:rsid w:val="00A95201"/>
    <w:rsid w:val="00A95461"/>
    <w:rsid w:val="00A954D3"/>
    <w:rsid w:val="00A95A72"/>
    <w:rsid w:val="00A960FD"/>
    <w:rsid w:val="00A969ED"/>
    <w:rsid w:val="00A96D95"/>
    <w:rsid w:val="00A97565"/>
    <w:rsid w:val="00A97AAF"/>
    <w:rsid w:val="00AA08D9"/>
    <w:rsid w:val="00AA0DF2"/>
    <w:rsid w:val="00AA18C0"/>
    <w:rsid w:val="00AA2317"/>
    <w:rsid w:val="00AA2AB2"/>
    <w:rsid w:val="00AA3D8E"/>
    <w:rsid w:val="00AA3FCA"/>
    <w:rsid w:val="00AA4089"/>
    <w:rsid w:val="00AA4EB6"/>
    <w:rsid w:val="00AA529D"/>
    <w:rsid w:val="00AA57AF"/>
    <w:rsid w:val="00AA59F5"/>
    <w:rsid w:val="00AA5E5D"/>
    <w:rsid w:val="00AA619B"/>
    <w:rsid w:val="00AA68B1"/>
    <w:rsid w:val="00AA6969"/>
    <w:rsid w:val="00AA7D37"/>
    <w:rsid w:val="00AB26A6"/>
    <w:rsid w:val="00AB2F38"/>
    <w:rsid w:val="00AB3A84"/>
    <w:rsid w:val="00AB46E4"/>
    <w:rsid w:val="00AB4ED6"/>
    <w:rsid w:val="00AB542E"/>
    <w:rsid w:val="00AB705B"/>
    <w:rsid w:val="00AB77A7"/>
    <w:rsid w:val="00AB7AF7"/>
    <w:rsid w:val="00AC0B92"/>
    <w:rsid w:val="00AC1E62"/>
    <w:rsid w:val="00AC22CA"/>
    <w:rsid w:val="00AC2423"/>
    <w:rsid w:val="00AC2834"/>
    <w:rsid w:val="00AC2DFE"/>
    <w:rsid w:val="00AC3EFF"/>
    <w:rsid w:val="00AC4513"/>
    <w:rsid w:val="00AC4C7C"/>
    <w:rsid w:val="00AC60FC"/>
    <w:rsid w:val="00AC6CE7"/>
    <w:rsid w:val="00AC7606"/>
    <w:rsid w:val="00AC7B39"/>
    <w:rsid w:val="00AD0372"/>
    <w:rsid w:val="00AD0DDB"/>
    <w:rsid w:val="00AD107C"/>
    <w:rsid w:val="00AD174A"/>
    <w:rsid w:val="00AD2100"/>
    <w:rsid w:val="00AD265A"/>
    <w:rsid w:val="00AD3083"/>
    <w:rsid w:val="00AD30D3"/>
    <w:rsid w:val="00AD396B"/>
    <w:rsid w:val="00AD3CD7"/>
    <w:rsid w:val="00AD439D"/>
    <w:rsid w:val="00AD49D6"/>
    <w:rsid w:val="00AD4FC0"/>
    <w:rsid w:val="00AD571D"/>
    <w:rsid w:val="00AD572F"/>
    <w:rsid w:val="00AD5882"/>
    <w:rsid w:val="00AD5EFA"/>
    <w:rsid w:val="00AD6110"/>
    <w:rsid w:val="00AD611A"/>
    <w:rsid w:val="00AD68E7"/>
    <w:rsid w:val="00AD7AFD"/>
    <w:rsid w:val="00AD7DF4"/>
    <w:rsid w:val="00AE047E"/>
    <w:rsid w:val="00AE0C5B"/>
    <w:rsid w:val="00AE0D01"/>
    <w:rsid w:val="00AE1980"/>
    <w:rsid w:val="00AE1DBC"/>
    <w:rsid w:val="00AE23BD"/>
    <w:rsid w:val="00AE42EB"/>
    <w:rsid w:val="00AE48E3"/>
    <w:rsid w:val="00AE4903"/>
    <w:rsid w:val="00AE4B12"/>
    <w:rsid w:val="00AE504D"/>
    <w:rsid w:val="00AE54D5"/>
    <w:rsid w:val="00AE5A37"/>
    <w:rsid w:val="00AE5B2A"/>
    <w:rsid w:val="00AE67BB"/>
    <w:rsid w:val="00AE6B73"/>
    <w:rsid w:val="00AE6E22"/>
    <w:rsid w:val="00AE70D3"/>
    <w:rsid w:val="00AE7939"/>
    <w:rsid w:val="00AE7EE8"/>
    <w:rsid w:val="00AF00E0"/>
    <w:rsid w:val="00AF015E"/>
    <w:rsid w:val="00AF01A6"/>
    <w:rsid w:val="00AF0726"/>
    <w:rsid w:val="00AF0EA2"/>
    <w:rsid w:val="00AF0F7F"/>
    <w:rsid w:val="00AF1F75"/>
    <w:rsid w:val="00AF20B5"/>
    <w:rsid w:val="00AF2732"/>
    <w:rsid w:val="00AF3639"/>
    <w:rsid w:val="00AF36C7"/>
    <w:rsid w:val="00AF3993"/>
    <w:rsid w:val="00AF3BDB"/>
    <w:rsid w:val="00AF3CF3"/>
    <w:rsid w:val="00AF40C9"/>
    <w:rsid w:val="00AF469D"/>
    <w:rsid w:val="00AF546E"/>
    <w:rsid w:val="00AF5941"/>
    <w:rsid w:val="00B004EA"/>
    <w:rsid w:val="00B006F8"/>
    <w:rsid w:val="00B00BE0"/>
    <w:rsid w:val="00B010A5"/>
    <w:rsid w:val="00B023A9"/>
    <w:rsid w:val="00B03209"/>
    <w:rsid w:val="00B0404F"/>
    <w:rsid w:val="00B04C1E"/>
    <w:rsid w:val="00B04EEF"/>
    <w:rsid w:val="00B06468"/>
    <w:rsid w:val="00B06C94"/>
    <w:rsid w:val="00B07B2B"/>
    <w:rsid w:val="00B07D28"/>
    <w:rsid w:val="00B10496"/>
    <w:rsid w:val="00B10ECF"/>
    <w:rsid w:val="00B113B5"/>
    <w:rsid w:val="00B11B6C"/>
    <w:rsid w:val="00B12393"/>
    <w:rsid w:val="00B12747"/>
    <w:rsid w:val="00B1290C"/>
    <w:rsid w:val="00B12E99"/>
    <w:rsid w:val="00B132A5"/>
    <w:rsid w:val="00B13624"/>
    <w:rsid w:val="00B13D8F"/>
    <w:rsid w:val="00B15D4D"/>
    <w:rsid w:val="00B16978"/>
    <w:rsid w:val="00B16E0F"/>
    <w:rsid w:val="00B17446"/>
    <w:rsid w:val="00B17939"/>
    <w:rsid w:val="00B17EF8"/>
    <w:rsid w:val="00B20123"/>
    <w:rsid w:val="00B20142"/>
    <w:rsid w:val="00B20541"/>
    <w:rsid w:val="00B20AD4"/>
    <w:rsid w:val="00B21200"/>
    <w:rsid w:val="00B2192D"/>
    <w:rsid w:val="00B219B2"/>
    <w:rsid w:val="00B21CA4"/>
    <w:rsid w:val="00B221BB"/>
    <w:rsid w:val="00B229DB"/>
    <w:rsid w:val="00B236B5"/>
    <w:rsid w:val="00B238F7"/>
    <w:rsid w:val="00B249F0"/>
    <w:rsid w:val="00B24DC1"/>
    <w:rsid w:val="00B25226"/>
    <w:rsid w:val="00B2569C"/>
    <w:rsid w:val="00B26770"/>
    <w:rsid w:val="00B267A0"/>
    <w:rsid w:val="00B26BBE"/>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6D24"/>
    <w:rsid w:val="00B372E7"/>
    <w:rsid w:val="00B37E64"/>
    <w:rsid w:val="00B40F2C"/>
    <w:rsid w:val="00B41A0C"/>
    <w:rsid w:val="00B42976"/>
    <w:rsid w:val="00B42E75"/>
    <w:rsid w:val="00B4515F"/>
    <w:rsid w:val="00B453E8"/>
    <w:rsid w:val="00B45ABF"/>
    <w:rsid w:val="00B45E03"/>
    <w:rsid w:val="00B45FDB"/>
    <w:rsid w:val="00B4684B"/>
    <w:rsid w:val="00B475DF"/>
    <w:rsid w:val="00B47E27"/>
    <w:rsid w:val="00B5087E"/>
    <w:rsid w:val="00B51391"/>
    <w:rsid w:val="00B5153D"/>
    <w:rsid w:val="00B51DAD"/>
    <w:rsid w:val="00B526E1"/>
    <w:rsid w:val="00B5358A"/>
    <w:rsid w:val="00B53BB4"/>
    <w:rsid w:val="00B540C4"/>
    <w:rsid w:val="00B542A3"/>
    <w:rsid w:val="00B54731"/>
    <w:rsid w:val="00B54C5F"/>
    <w:rsid w:val="00B554E2"/>
    <w:rsid w:val="00B558B4"/>
    <w:rsid w:val="00B56608"/>
    <w:rsid w:val="00B56DD5"/>
    <w:rsid w:val="00B56E6B"/>
    <w:rsid w:val="00B56FC9"/>
    <w:rsid w:val="00B57087"/>
    <w:rsid w:val="00B6084E"/>
    <w:rsid w:val="00B60894"/>
    <w:rsid w:val="00B61008"/>
    <w:rsid w:val="00B61029"/>
    <w:rsid w:val="00B619F7"/>
    <w:rsid w:val="00B61DD7"/>
    <w:rsid w:val="00B6235B"/>
    <w:rsid w:val="00B62A8A"/>
    <w:rsid w:val="00B62A93"/>
    <w:rsid w:val="00B62B72"/>
    <w:rsid w:val="00B6312A"/>
    <w:rsid w:val="00B6538D"/>
    <w:rsid w:val="00B65605"/>
    <w:rsid w:val="00B661B6"/>
    <w:rsid w:val="00B66D92"/>
    <w:rsid w:val="00B677DE"/>
    <w:rsid w:val="00B7023A"/>
    <w:rsid w:val="00B70E53"/>
    <w:rsid w:val="00B7135C"/>
    <w:rsid w:val="00B7189E"/>
    <w:rsid w:val="00B7356C"/>
    <w:rsid w:val="00B737CC"/>
    <w:rsid w:val="00B73EA1"/>
    <w:rsid w:val="00B769BF"/>
    <w:rsid w:val="00B76DD1"/>
    <w:rsid w:val="00B76E3B"/>
    <w:rsid w:val="00B77916"/>
    <w:rsid w:val="00B8054A"/>
    <w:rsid w:val="00B80772"/>
    <w:rsid w:val="00B810AA"/>
    <w:rsid w:val="00B814F9"/>
    <w:rsid w:val="00B81C67"/>
    <w:rsid w:val="00B82983"/>
    <w:rsid w:val="00B82CF4"/>
    <w:rsid w:val="00B836A8"/>
    <w:rsid w:val="00B838AB"/>
    <w:rsid w:val="00B841BD"/>
    <w:rsid w:val="00B848C3"/>
    <w:rsid w:val="00B85D62"/>
    <w:rsid w:val="00B85E39"/>
    <w:rsid w:val="00B867CC"/>
    <w:rsid w:val="00B86886"/>
    <w:rsid w:val="00B86978"/>
    <w:rsid w:val="00B874DF"/>
    <w:rsid w:val="00B8796E"/>
    <w:rsid w:val="00B87CA7"/>
    <w:rsid w:val="00B9040F"/>
    <w:rsid w:val="00B9147B"/>
    <w:rsid w:val="00B9197D"/>
    <w:rsid w:val="00B927E9"/>
    <w:rsid w:val="00B92945"/>
    <w:rsid w:val="00B93051"/>
    <w:rsid w:val="00B94228"/>
    <w:rsid w:val="00B9432A"/>
    <w:rsid w:val="00B9584D"/>
    <w:rsid w:val="00B95D2B"/>
    <w:rsid w:val="00B95DBF"/>
    <w:rsid w:val="00B96444"/>
    <w:rsid w:val="00B9747E"/>
    <w:rsid w:val="00B974C5"/>
    <w:rsid w:val="00B9772B"/>
    <w:rsid w:val="00BA0153"/>
    <w:rsid w:val="00BA01AE"/>
    <w:rsid w:val="00BA0B4E"/>
    <w:rsid w:val="00BA1085"/>
    <w:rsid w:val="00BA1513"/>
    <w:rsid w:val="00BA1828"/>
    <w:rsid w:val="00BA3D0C"/>
    <w:rsid w:val="00BA3E04"/>
    <w:rsid w:val="00BA4F48"/>
    <w:rsid w:val="00BA5738"/>
    <w:rsid w:val="00BA62BA"/>
    <w:rsid w:val="00BA67C2"/>
    <w:rsid w:val="00BA730C"/>
    <w:rsid w:val="00BA731A"/>
    <w:rsid w:val="00BA76CE"/>
    <w:rsid w:val="00BB159C"/>
    <w:rsid w:val="00BB15DA"/>
    <w:rsid w:val="00BB1EBA"/>
    <w:rsid w:val="00BB2C50"/>
    <w:rsid w:val="00BB2D73"/>
    <w:rsid w:val="00BB32EC"/>
    <w:rsid w:val="00BB346B"/>
    <w:rsid w:val="00BB371C"/>
    <w:rsid w:val="00BB3D37"/>
    <w:rsid w:val="00BB4831"/>
    <w:rsid w:val="00BB494D"/>
    <w:rsid w:val="00BB648A"/>
    <w:rsid w:val="00BB661F"/>
    <w:rsid w:val="00BB691B"/>
    <w:rsid w:val="00BB6CE7"/>
    <w:rsid w:val="00BB6FAE"/>
    <w:rsid w:val="00BB74BA"/>
    <w:rsid w:val="00BB7720"/>
    <w:rsid w:val="00BB7A4A"/>
    <w:rsid w:val="00BC008F"/>
    <w:rsid w:val="00BC01A5"/>
    <w:rsid w:val="00BC3587"/>
    <w:rsid w:val="00BC370F"/>
    <w:rsid w:val="00BC41A0"/>
    <w:rsid w:val="00BC657B"/>
    <w:rsid w:val="00BC72F0"/>
    <w:rsid w:val="00BC787F"/>
    <w:rsid w:val="00BC7D42"/>
    <w:rsid w:val="00BD0B22"/>
    <w:rsid w:val="00BD0C89"/>
    <w:rsid w:val="00BD1236"/>
    <w:rsid w:val="00BD2677"/>
    <w:rsid w:val="00BD32D8"/>
    <w:rsid w:val="00BD39EA"/>
    <w:rsid w:val="00BD5042"/>
    <w:rsid w:val="00BD5D36"/>
    <w:rsid w:val="00BD5FAB"/>
    <w:rsid w:val="00BD68EB"/>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E75C6"/>
    <w:rsid w:val="00BF0C9C"/>
    <w:rsid w:val="00BF0E09"/>
    <w:rsid w:val="00BF2B7C"/>
    <w:rsid w:val="00BF2E16"/>
    <w:rsid w:val="00BF2E5C"/>
    <w:rsid w:val="00BF3174"/>
    <w:rsid w:val="00BF41D0"/>
    <w:rsid w:val="00BF485A"/>
    <w:rsid w:val="00BF4AC4"/>
    <w:rsid w:val="00BF5A19"/>
    <w:rsid w:val="00BF626B"/>
    <w:rsid w:val="00BF650B"/>
    <w:rsid w:val="00BF6BE8"/>
    <w:rsid w:val="00BF6C00"/>
    <w:rsid w:val="00BF6C11"/>
    <w:rsid w:val="00BF7354"/>
    <w:rsid w:val="00C007D5"/>
    <w:rsid w:val="00C00B43"/>
    <w:rsid w:val="00C00C73"/>
    <w:rsid w:val="00C014A8"/>
    <w:rsid w:val="00C014BE"/>
    <w:rsid w:val="00C024AC"/>
    <w:rsid w:val="00C02EBF"/>
    <w:rsid w:val="00C0336D"/>
    <w:rsid w:val="00C04459"/>
    <w:rsid w:val="00C05758"/>
    <w:rsid w:val="00C066E3"/>
    <w:rsid w:val="00C074FA"/>
    <w:rsid w:val="00C07760"/>
    <w:rsid w:val="00C07952"/>
    <w:rsid w:val="00C07B9E"/>
    <w:rsid w:val="00C10324"/>
    <w:rsid w:val="00C1058D"/>
    <w:rsid w:val="00C10650"/>
    <w:rsid w:val="00C108F0"/>
    <w:rsid w:val="00C10B5E"/>
    <w:rsid w:val="00C10CFD"/>
    <w:rsid w:val="00C10D42"/>
    <w:rsid w:val="00C11567"/>
    <w:rsid w:val="00C11727"/>
    <w:rsid w:val="00C11C97"/>
    <w:rsid w:val="00C12821"/>
    <w:rsid w:val="00C128E6"/>
    <w:rsid w:val="00C12995"/>
    <w:rsid w:val="00C12EEC"/>
    <w:rsid w:val="00C13131"/>
    <w:rsid w:val="00C1335F"/>
    <w:rsid w:val="00C13938"/>
    <w:rsid w:val="00C13A0A"/>
    <w:rsid w:val="00C13CD0"/>
    <w:rsid w:val="00C14B71"/>
    <w:rsid w:val="00C154BB"/>
    <w:rsid w:val="00C15762"/>
    <w:rsid w:val="00C15B81"/>
    <w:rsid w:val="00C16570"/>
    <w:rsid w:val="00C16623"/>
    <w:rsid w:val="00C166F9"/>
    <w:rsid w:val="00C16C61"/>
    <w:rsid w:val="00C1722D"/>
    <w:rsid w:val="00C17CD5"/>
    <w:rsid w:val="00C20205"/>
    <w:rsid w:val="00C20568"/>
    <w:rsid w:val="00C209BF"/>
    <w:rsid w:val="00C216FB"/>
    <w:rsid w:val="00C21D40"/>
    <w:rsid w:val="00C223C2"/>
    <w:rsid w:val="00C22B29"/>
    <w:rsid w:val="00C22BF2"/>
    <w:rsid w:val="00C232A2"/>
    <w:rsid w:val="00C23EBF"/>
    <w:rsid w:val="00C24A64"/>
    <w:rsid w:val="00C24F49"/>
    <w:rsid w:val="00C25406"/>
    <w:rsid w:val="00C25619"/>
    <w:rsid w:val="00C25814"/>
    <w:rsid w:val="00C25F68"/>
    <w:rsid w:val="00C26416"/>
    <w:rsid w:val="00C2708F"/>
    <w:rsid w:val="00C30734"/>
    <w:rsid w:val="00C308E4"/>
    <w:rsid w:val="00C32800"/>
    <w:rsid w:val="00C32DFF"/>
    <w:rsid w:val="00C331F6"/>
    <w:rsid w:val="00C336F4"/>
    <w:rsid w:val="00C33929"/>
    <w:rsid w:val="00C3400D"/>
    <w:rsid w:val="00C34BD1"/>
    <w:rsid w:val="00C34CE7"/>
    <w:rsid w:val="00C357B8"/>
    <w:rsid w:val="00C357D0"/>
    <w:rsid w:val="00C3598C"/>
    <w:rsid w:val="00C3705B"/>
    <w:rsid w:val="00C37B4E"/>
    <w:rsid w:val="00C37C3D"/>
    <w:rsid w:val="00C41A8C"/>
    <w:rsid w:val="00C4358E"/>
    <w:rsid w:val="00C438BD"/>
    <w:rsid w:val="00C4445B"/>
    <w:rsid w:val="00C44A70"/>
    <w:rsid w:val="00C4540E"/>
    <w:rsid w:val="00C4619B"/>
    <w:rsid w:val="00C4690C"/>
    <w:rsid w:val="00C46D16"/>
    <w:rsid w:val="00C471D8"/>
    <w:rsid w:val="00C4745D"/>
    <w:rsid w:val="00C47D8C"/>
    <w:rsid w:val="00C51190"/>
    <w:rsid w:val="00C51226"/>
    <w:rsid w:val="00C51256"/>
    <w:rsid w:val="00C51D72"/>
    <w:rsid w:val="00C51FF0"/>
    <w:rsid w:val="00C52824"/>
    <w:rsid w:val="00C52831"/>
    <w:rsid w:val="00C53197"/>
    <w:rsid w:val="00C53E05"/>
    <w:rsid w:val="00C553F0"/>
    <w:rsid w:val="00C55AB9"/>
    <w:rsid w:val="00C56881"/>
    <w:rsid w:val="00C574D5"/>
    <w:rsid w:val="00C57635"/>
    <w:rsid w:val="00C578B3"/>
    <w:rsid w:val="00C57D81"/>
    <w:rsid w:val="00C57F30"/>
    <w:rsid w:val="00C60A1E"/>
    <w:rsid w:val="00C610DC"/>
    <w:rsid w:val="00C61C1D"/>
    <w:rsid w:val="00C64287"/>
    <w:rsid w:val="00C64F3C"/>
    <w:rsid w:val="00C652C2"/>
    <w:rsid w:val="00C663A9"/>
    <w:rsid w:val="00C66738"/>
    <w:rsid w:val="00C66B54"/>
    <w:rsid w:val="00C6704E"/>
    <w:rsid w:val="00C70BB4"/>
    <w:rsid w:val="00C71516"/>
    <w:rsid w:val="00C727DD"/>
    <w:rsid w:val="00C72B29"/>
    <w:rsid w:val="00C72C4A"/>
    <w:rsid w:val="00C72FDE"/>
    <w:rsid w:val="00C73273"/>
    <w:rsid w:val="00C73374"/>
    <w:rsid w:val="00C75022"/>
    <w:rsid w:val="00C754CA"/>
    <w:rsid w:val="00C75641"/>
    <w:rsid w:val="00C75684"/>
    <w:rsid w:val="00C7575F"/>
    <w:rsid w:val="00C76384"/>
    <w:rsid w:val="00C76D27"/>
    <w:rsid w:val="00C77224"/>
    <w:rsid w:val="00C777CB"/>
    <w:rsid w:val="00C77F33"/>
    <w:rsid w:val="00C804BD"/>
    <w:rsid w:val="00C80C24"/>
    <w:rsid w:val="00C81364"/>
    <w:rsid w:val="00C83795"/>
    <w:rsid w:val="00C83D89"/>
    <w:rsid w:val="00C841F3"/>
    <w:rsid w:val="00C84548"/>
    <w:rsid w:val="00C84F68"/>
    <w:rsid w:val="00C860F2"/>
    <w:rsid w:val="00C862EA"/>
    <w:rsid w:val="00C872B4"/>
    <w:rsid w:val="00C903E7"/>
    <w:rsid w:val="00C9072F"/>
    <w:rsid w:val="00C9093B"/>
    <w:rsid w:val="00C90B09"/>
    <w:rsid w:val="00C90E60"/>
    <w:rsid w:val="00C90F6A"/>
    <w:rsid w:val="00C931CD"/>
    <w:rsid w:val="00C93611"/>
    <w:rsid w:val="00C94386"/>
    <w:rsid w:val="00C95254"/>
    <w:rsid w:val="00C95903"/>
    <w:rsid w:val="00C971FA"/>
    <w:rsid w:val="00C973B5"/>
    <w:rsid w:val="00C97B64"/>
    <w:rsid w:val="00C97EF8"/>
    <w:rsid w:val="00CA03F1"/>
    <w:rsid w:val="00CA0A6E"/>
    <w:rsid w:val="00CA1BCC"/>
    <w:rsid w:val="00CA4357"/>
    <w:rsid w:val="00CA4884"/>
    <w:rsid w:val="00CA4C47"/>
    <w:rsid w:val="00CA5900"/>
    <w:rsid w:val="00CA5C05"/>
    <w:rsid w:val="00CA5E2B"/>
    <w:rsid w:val="00CA686D"/>
    <w:rsid w:val="00CA6A9B"/>
    <w:rsid w:val="00CA6B7B"/>
    <w:rsid w:val="00CB0335"/>
    <w:rsid w:val="00CB0731"/>
    <w:rsid w:val="00CB2074"/>
    <w:rsid w:val="00CB2A24"/>
    <w:rsid w:val="00CB2C1D"/>
    <w:rsid w:val="00CB2EC6"/>
    <w:rsid w:val="00CB2EDB"/>
    <w:rsid w:val="00CB2FC0"/>
    <w:rsid w:val="00CB313D"/>
    <w:rsid w:val="00CB316A"/>
    <w:rsid w:val="00CB3799"/>
    <w:rsid w:val="00CB5420"/>
    <w:rsid w:val="00CB70D2"/>
    <w:rsid w:val="00CB7142"/>
    <w:rsid w:val="00CB75EF"/>
    <w:rsid w:val="00CB7939"/>
    <w:rsid w:val="00CB7A85"/>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459F"/>
    <w:rsid w:val="00CD5261"/>
    <w:rsid w:val="00CD5EB6"/>
    <w:rsid w:val="00CD6D1E"/>
    <w:rsid w:val="00CD7776"/>
    <w:rsid w:val="00CD77F8"/>
    <w:rsid w:val="00CE1510"/>
    <w:rsid w:val="00CE19D6"/>
    <w:rsid w:val="00CE1CC0"/>
    <w:rsid w:val="00CE41C5"/>
    <w:rsid w:val="00CE4FC4"/>
    <w:rsid w:val="00CE50DD"/>
    <w:rsid w:val="00CE5578"/>
    <w:rsid w:val="00CE5618"/>
    <w:rsid w:val="00CE5839"/>
    <w:rsid w:val="00CE5DAA"/>
    <w:rsid w:val="00CE5FAB"/>
    <w:rsid w:val="00CE6A15"/>
    <w:rsid w:val="00CE6B6F"/>
    <w:rsid w:val="00CE713A"/>
    <w:rsid w:val="00CF0A69"/>
    <w:rsid w:val="00CF0B05"/>
    <w:rsid w:val="00CF0D83"/>
    <w:rsid w:val="00CF119F"/>
    <w:rsid w:val="00CF174D"/>
    <w:rsid w:val="00CF1761"/>
    <w:rsid w:val="00CF2DBA"/>
    <w:rsid w:val="00CF3112"/>
    <w:rsid w:val="00CF35BC"/>
    <w:rsid w:val="00CF3EDA"/>
    <w:rsid w:val="00CF5201"/>
    <w:rsid w:val="00CF54DA"/>
    <w:rsid w:val="00CF6427"/>
    <w:rsid w:val="00CF67B6"/>
    <w:rsid w:val="00CF7319"/>
    <w:rsid w:val="00CF7970"/>
    <w:rsid w:val="00D007CE"/>
    <w:rsid w:val="00D00882"/>
    <w:rsid w:val="00D01F0A"/>
    <w:rsid w:val="00D025CD"/>
    <w:rsid w:val="00D02688"/>
    <w:rsid w:val="00D02B75"/>
    <w:rsid w:val="00D02C90"/>
    <w:rsid w:val="00D03544"/>
    <w:rsid w:val="00D03DA9"/>
    <w:rsid w:val="00D03F32"/>
    <w:rsid w:val="00D04A78"/>
    <w:rsid w:val="00D04CB7"/>
    <w:rsid w:val="00D05348"/>
    <w:rsid w:val="00D0570A"/>
    <w:rsid w:val="00D058F0"/>
    <w:rsid w:val="00D05C53"/>
    <w:rsid w:val="00D05E76"/>
    <w:rsid w:val="00D05F43"/>
    <w:rsid w:val="00D06506"/>
    <w:rsid w:val="00D06FCD"/>
    <w:rsid w:val="00D07FB0"/>
    <w:rsid w:val="00D10206"/>
    <w:rsid w:val="00D1055D"/>
    <w:rsid w:val="00D10583"/>
    <w:rsid w:val="00D108AC"/>
    <w:rsid w:val="00D108B2"/>
    <w:rsid w:val="00D10DE1"/>
    <w:rsid w:val="00D11104"/>
    <w:rsid w:val="00D134B1"/>
    <w:rsid w:val="00D138D3"/>
    <w:rsid w:val="00D14420"/>
    <w:rsid w:val="00D14705"/>
    <w:rsid w:val="00D15523"/>
    <w:rsid w:val="00D155F6"/>
    <w:rsid w:val="00D15BBE"/>
    <w:rsid w:val="00D166A0"/>
    <w:rsid w:val="00D17353"/>
    <w:rsid w:val="00D173AA"/>
    <w:rsid w:val="00D176E9"/>
    <w:rsid w:val="00D17DB0"/>
    <w:rsid w:val="00D20193"/>
    <w:rsid w:val="00D204BF"/>
    <w:rsid w:val="00D20851"/>
    <w:rsid w:val="00D20ACC"/>
    <w:rsid w:val="00D21D60"/>
    <w:rsid w:val="00D2217A"/>
    <w:rsid w:val="00D22358"/>
    <w:rsid w:val="00D22F34"/>
    <w:rsid w:val="00D2316E"/>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5C9"/>
    <w:rsid w:val="00D306B8"/>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6CB"/>
    <w:rsid w:val="00D42319"/>
    <w:rsid w:val="00D42700"/>
    <w:rsid w:val="00D42F74"/>
    <w:rsid w:val="00D430FB"/>
    <w:rsid w:val="00D433F2"/>
    <w:rsid w:val="00D43933"/>
    <w:rsid w:val="00D43B2A"/>
    <w:rsid w:val="00D44352"/>
    <w:rsid w:val="00D44806"/>
    <w:rsid w:val="00D44982"/>
    <w:rsid w:val="00D44B75"/>
    <w:rsid w:val="00D45D02"/>
    <w:rsid w:val="00D46275"/>
    <w:rsid w:val="00D468C9"/>
    <w:rsid w:val="00D477CD"/>
    <w:rsid w:val="00D50A12"/>
    <w:rsid w:val="00D5193F"/>
    <w:rsid w:val="00D51DBB"/>
    <w:rsid w:val="00D53602"/>
    <w:rsid w:val="00D54F57"/>
    <w:rsid w:val="00D550AA"/>
    <w:rsid w:val="00D551E1"/>
    <w:rsid w:val="00D55F96"/>
    <w:rsid w:val="00D560D0"/>
    <w:rsid w:val="00D56116"/>
    <w:rsid w:val="00D561F0"/>
    <w:rsid w:val="00D56F0A"/>
    <w:rsid w:val="00D57393"/>
    <w:rsid w:val="00D603B8"/>
    <w:rsid w:val="00D60CA9"/>
    <w:rsid w:val="00D61926"/>
    <w:rsid w:val="00D622F0"/>
    <w:rsid w:val="00D62DDC"/>
    <w:rsid w:val="00D62DFB"/>
    <w:rsid w:val="00D62E23"/>
    <w:rsid w:val="00D63706"/>
    <w:rsid w:val="00D63B04"/>
    <w:rsid w:val="00D63EFC"/>
    <w:rsid w:val="00D65218"/>
    <w:rsid w:val="00D65A06"/>
    <w:rsid w:val="00D662B6"/>
    <w:rsid w:val="00D66379"/>
    <w:rsid w:val="00D66959"/>
    <w:rsid w:val="00D66AE2"/>
    <w:rsid w:val="00D67046"/>
    <w:rsid w:val="00D67375"/>
    <w:rsid w:val="00D67480"/>
    <w:rsid w:val="00D677E0"/>
    <w:rsid w:val="00D6791E"/>
    <w:rsid w:val="00D70158"/>
    <w:rsid w:val="00D70492"/>
    <w:rsid w:val="00D70F1B"/>
    <w:rsid w:val="00D71407"/>
    <w:rsid w:val="00D71778"/>
    <w:rsid w:val="00D72522"/>
    <w:rsid w:val="00D72EA2"/>
    <w:rsid w:val="00D73559"/>
    <w:rsid w:val="00D73891"/>
    <w:rsid w:val="00D73EA6"/>
    <w:rsid w:val="00D7413C"/>
    <w:rsid w:val="00D744AC"/>
    <w:rsid w:val="00D7455E"/>
    <w:rsid w:val="00D74588"/>
    <w:rsid w:val="00D74B80"/>
    <w:rsid w:val="00D7500C"/>
    <w:rsid w:val="00D772AF"/>
    <w:rsid w:val="00D773A7"/>
    <w:rsid w:val="00D8113E"/>
    <w:rsid w:val="00D81E5A"/>
    <w:rsid w:val="00D826EC"/>
    <w:rsid w:val="00D82CEE"/>
    <w:rsid w:val="00D83214"/>
    <w:rsid w:val="00D83BF5"/>
    <w:rsid w:val="00D83FBD"/>
    <w:rsid w:val="00D84B94"/>
    <w:rsid w:val="00D85677"/>
    <w:rsid w:val="00D860E1"/>
    <w:rsid w:val="00D86390"/>
    <w:rsid w:val="00D87C34"/>
    <w:rsid w:val="00D90972"/>
    <w:rsid w:val="00D917C0"/>
    <w:rsid w:val="00D918F2"/>
    <w:rsid w:val="00D92069"/>
    <w:rsid w:val="00D9214E"/>
    <w:rsid w:val="00D92CAA"/>
    <w:rsid w:val="00D93320"/>
    <w:rsid w:val="00D9366E"/>
    <w:rsid w:val="00D93C23"/>
    <w:rsid w:val="00D93F26"/>
    <w:rsid w:val="00D94352"/>
    <w:rsid w:val="00D943AA"/>
    <w:rsid w:val="00D94AFF"/>
    <w:rsid w:val="00D9522E"/>
    <w:rsid w:val="00D95688"/>
    <w:rsid w:val="00D95A44"/>
    <w:rsid w:val="00D95F13"/>
    <w:rsid w:val="00D96C22"/>
    <w:rsid w:val="00D96C25"/>
    <w:rsid w:val="00D96E69"/>
    <w:rsid w:val="00D97528"/>
    <w:rsid w:val="00D977AF"/>
    <w:rsid w:val="00DA0115"/>
    <w:rsid w:val="00DA0F5A"/>
    <w:rsid w:val="00DA0FC3"/>
    <w:rsid w:val="00DA131F"/>
    <w:rsid w:val="00DA199B"/>
    <w:rsid w:val="00DA2245"/>
    <w:rsid w:val="00DA2470"/>
    <w:rsid w:val="00DA2F52"/>
    <w:rsid w:val="00DA3012"/>
    <w:rsid w:val="00DA376E"/>
    <w:rsid w:val="00DA3B01"/>
    <w:rsid w:val="00DA41BD"/>
    <w:rsid w:val="00DA4ADA"/>
    <w:rsid w:val="00DA554C"/>
    <w:rsid w:val="00DA6E95"/>
    <w:rsid w:val="00DA713C"/>
    <w:rsid w:val="00DA78E3"/>
    <w:rsid w:val="00DA7DB4"/>
    <w:rsid w:val="00DB038E"/>
    <w:rsid w:val="00DB103C"/>
    <w:rsid w:val="00DB108A"/>
    <w:rsid w:val="00DB1AA5"/>
    <w:rsid w:val="00DB2921"/>
    <w:rsid w:val="00DB2E8C"/>
    <w:rsid w:val="00DB3459"/>
    <w:rsid w:val="00DB3DE6"/>
    <w:rsid w:val="00DB53B7"/>
    <w:rsid w:val="00DB60FE"/>
    <w:rsid w:val="00DB6859"/>
    <w:rsid w:val="00DB6E52"/>
    <w:rsid w:val="00DB76F8"/>
    <w:rsid w:val="00DC0653"/>
    <w:rsid w:val="00DC0898"/>
    <w:rsid w:val="00DC08EF"/>
    <w:rsid w:val="00DC11E2"/>
    <w:rsid w:val="00DC150A"/>
    <w:rsid w:val="00DC1A90"/>
    <w:rsid w:val="00DC1C30"/>
    <w:rsid w:val="00DC24E7"/>
    <w:rsid w:val="00DC320F"/>
    <w:rsid w:val="00DC3325"/>
    <w:rsid w:val="00DC3800"/>
    <w:rsid w:val="00DC5912"/>
    <w:rsid w:val="00DC5A0D"/>
    <w:rsid w:val="00DC6460"/>
    <w:rsid w:val="00DC6918"/>
    <w:rsid w:val="00DC7E10"/>
    <w:rsid w:val="00DC7E6E"/>
    <w:rsid w:val="00DD00FC"/>
    <w:rsid w:val="00DD0BF7"/>
    <w:rsid w:val="00DD1BE6"/>
    <w:rsid w:val="00DD2102"/>
    <w:rsid w:val="00DD2B55"/>
    <w:rsid w:val="00DD2D98"/>
    <w:rsid w:val="00DD35CB"/>
    <w:rsid w:val="00DD3E40"/>
    <w:rsid w:val="00DD3EDD"/>
    <w:rsid w:val="00DD512E"/>
    <w:rsid w:val="00DD5829"/>
    <w:rsid w:val="00DD61DD"/>
    <w:rsid w:val="00DD6514"/>
    <w:rsid w:val="00DD7AB9"/>
    <w:rsid w:val="00DE055D"/>
    <w:rsid w:val="00DE0F54"/>
    <w:rsid w:val="00DE19A1"/>
    <w:rsid w:val="00DE1A02"/>
    <w:rsid w:val="00DE2BDC"/>
    <w:rsid w:val="00DE2D53"/>
    <w:rsid w:val="00DE3C1B"/>
    <w:rsid w:val="00DE4323"/>
    <w:rsid w:val="00DE4990"/>
    <w:rsid w:val="00DE4E71"/>
    <w:rsid w:val="00DE5606"/>
    <w:rsid w:val="00DE5894"/>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6415"/>
    <w:rsid w:val="00DF66C5"/>
    <w:rsid w:val="00DF675A"/>
    <w:rsid w:val="00DF684F"/>
    <w:rsid w:val="00DF766C"/>
    <w:rsid w:val="00DF768E"/>
    <w:rsid w:val="00DF794B"/>
    <w:rsid w:val="00DF7CA7"/>
    <w:rsid w:val="00E00B6A"/>
    <w:rsid w:val="00E012DB"/>
    <w:rsid w:val="00E01538"/>
    <w:rsid w:val="00E026F9"/>
    <w:rsid w:val="00E02749"/>
    <w:rsid w:val="00E03C44"/>
    <w:rsid w:val="00E03DC8"/>
    <w:rsid w:val="00E04EC4"/>
    <w:rsid w:val="00E0579D"/>
    <w:rsid w:val="00E05E88"/>
    <w:rsid w:val="00E0678C"/>
    <w:rsid w:val="00E07AD3"/>
    <w:rsid w:val="00E11A1B"/>
    <w:rsid w:val="00E11B15"/>
    <w:rsid w:val="00E11ED9"/>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17A0F"/>
    <w:rsid w:val="00E17A9C"/>
    <w:rsid w:val="00E17F06"/>
    <w:rsid w:val="00E20E1F"/>
    <w:rsid w:val="00E236C5"/>
    <w:rsid w:val="00E236F5"/>
    <w:rsid w:val="00E24088"/>
    <w:rsid w:val="00E2440E"/>
    <w:rsid w:val="00E24998"/>
    <w:rsid w:val="00E249E9"/>
    <w:rsid w:val="00E26014"/>
    <w:rsid w:val="00E262BC"/>
    <w:rsid w:val="00E2691A"/>
    <w:rsid w:val="00E2707E"/>
    <w:rsid w:val="00E2780B"/>
    <w:rsid w:val="00E27D17"/>
    <w:rsid w:val="00E27E31"/>
    <w:rsid w:val="00E30069"/>
    <w:rsid w:val="00E302C1"/>
    <w:rsid w:val="00E3033B"/>
    <w:rsid w:val="00E30586"/>
    <w:rsid w:val="00E3123E"/>
    <w:rsid w:val="00E312CA"/>
    <w:rsid w:val="00E31C72"/>
    <w:rsid w:val="00E31DAC"/>
    <w:rsid w:val="00E31E76"/>
    <w:rsid w:val="00E31FF8"/>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D44"/>
    <w:rsid w:val="00E35F3B"/>
    <w:rsid w:val="00E367C6"/>
    <w:rsid w:val="00E36943"/>
    <w:rsid w:val="00E3732E"/>
    <w:rsid w:val="00E404F7"/>
    <w:rsid w:val="00E40A7B"/>
    <w:rsid w:val="00E40CEC"/>
    <w:rsid w:val="00E40DB8"/>
    <w:rsid w:val="00E41CF7"/>
    <w:rsid w:val="00E420C4"/>
    <w:rsid w:val="00E4243C"/>
    <w:rsid w:val="00E42B5B"/>
    <w:rsid w:val="00E4398A"/>
    <w:rsid w:val="00E440F1"/>
    <w:rsid w:val="00E4413C"/>
    <w:rsid w:val="00E4538F"/>
    <w:rsid w:val="00E454D0"/>
    <w:rsid w:val="00E460A9"/>
    <w:rsid w:val="00E4658A"/>
    <w:rsid w:val="00E46999"/>
    <w:rsid w:val="00E47284"/>
    <w:rsid w:val="00E4737F"/>
    <w:rsid w:val="00E502A7"/>
    <w:rsid w:val="00E505B3"/>
    <w:rsid w:val="00E506E0"/>
    <w:rsid w:val="00E50B38"/>
    <w:rsid w:val="00E5127A"/>
    <w:rsid w:val="00E514DC"/>
    <w:rsid w:val="00E51A48"/>
    <w:rsid w:val="00E51CED"/>
    <w:rsid w:val="00E52576"/>
    <w:rsid w:val="00E530C3"/>
    <w:rsid w:val="00E53780"/>
    <w:rsid w:val="00E55E30"/>
    <w:rsid w:val="00E5668F"/>
    <w:rsid w:val="00E56829"/>
    <w:rsid w:val="00E57EE5"/>
    <w:rsid w:val="00E608D5"/>
    <w:rsid w:val="00E61331"/>
    <w:rsid w:val="00E62497"/>
    <w:rsid w:val="00E62EBE"/>
    <w:rsid w:val="00E63EBB"/>
    <w:rsid w:val="00E644E1"/>
    <w:rsid w:val="00E656EE"/>
    <w:rsid w:val="00E6572A"/>
    <w:rsid w:val="00E65BCB"/>
    <w:rsid w:val="00E66072"/>
    <w:rsid w:val="00E66577"/>
    <w:rsid w:val="00E669D2"/>
    <w:rsid w:val="00E6751F"/>
    <w:rsid w:val="00E67AB7"/>
    <w:rsid w:val="00E700FC"/>
    <w:rsid w:val="00E70237"/>
    <w:rsid w:val="00E706F7"/>
    <w:rsid w:val="00E70C53"/>
    <w:rsid w:val="00E71260"/>
    <w:rsid w:val="00E715BC"/>
    <w:rsid w:val="00E718CF"/>
    <w:rsid w:val="00E7190F"/>
    <w:rsid w:val="00E72682"/>
    <w:rsid w:val="00E72810"/>
    <w:rsid w:val="00E7385D"/>
    <w:rsid w:val="00E739E3"/>
    <w:rsid w:val="00E73B2F"/>
    <w:rsid w:val="00E73C6D"/>
    <w:rsid w:val="00E74340"/>
    <w:rsid w:val="00E7474E"/>
    <w:rsid w:val="00E74F35"/>
    <w:rsid w:val="00E75176"/>
    <w:rsid w:val="00E755B3"/>
    <w:rsid w:val="00E75793"/>
    <w:rsid w:val="00E758C3"/>
    <w:rsid w:val="00E801EC"/>
    <w:rsid w:val="00E80358"/>
    <w:rsid w:val="00E8057E"/>
    <w:rsid w:val="00E80B5D"/>
    <w:rsid w:val="00E8133F"/>
    <w:rsid w:val="00E81404"/>
    <w:rsid w:val="00E828F7"/>
    <w:rsid w:val="00E82913"/>
    <w:rsid w:val="00E83083"/>
    <w:rsid w:val="00E8325B"/>
    <w:rsid w:val="00E8408C"/>
    <w:rsid w:val="00E84F13"/>
    <w:rsid w:val="00E851A1"/>
    <w:rsid w:val="00E85324"/>
    <w:rsid w:val="00E85C8D"/>
    <w:rsid w:val="00E85CEB"/>
    <w:rsid w:val="00E863BF"/>
    <w:rsid w:val="00E86455"/>
    <w:rsid w:val="00E87042"/>
    <w:rsid w:val="00E87268"/>
    <w:rsid w:val="00E87758"/>
    <w:rsid w:val="00E87DE1"/>
    <w:rsid w:val="00E904D5"/>
    <w:rsid w:val="00E91269"/>
    <w:rsid w:val="00E92D54"/>
    <w:rsid w:val="00E93012"/>
    <w:rsid w:val="00E930A6"/>
    <w:rsid w:val="00E930E2"/>
    <w:rsid w:val="00E93848"/>
    <w:rsid w:val="00E938B1"/>
    <w:rsid w:val="00E9455F"/>
    <w:rsid w:val="00E94EBC"/>
    <w:rsid w:val="00E95D12"/>
    <w:rsid w:val="00E95DCA"/>
    <w:rsid w:val="00E963C2"/>
    <w:rsid w:val="00E96E72"/>
    <w:rsid w:val="00E96FB5"/>
    <w:rsid w:val="00EA0619"/>
    <w:rsid w:val="00EA0923"/>
    <w:rsid w:val="00EA0A6D"/>
    <w:rsid w:val="00EA1661"/>
    <w:rsid w:val="00EA22A9"/>
    <w:rsid w:val="00EA32DA"/>
    <w:rsid w:val="00EA3D4A"/>
    <w:rsid w:val="00EA3DFC"/>
    <w:rsid w:val="00EA3FCE"/>
    <w:rsid w:val="00EA414A"/>
    <w:rsid w:val="00EA4A92"/>
    <w:rsid w:val="00EA5373"/>
    <w:rsid w:val="00EA56E3"/>
    <w:rsid w:val="00EA5E38"/>
    <w:rsid w:val="00EA67A3"/>
    <w:rsid w:val="00EA7753"/>
    <w:rsid w:val="00EA7CBB"/>
    <w:rsid w:val="00EB07BD"/>
    <w:rsid w:val="00EB1282"/>
    <w:rsid w:val="00EB14FD"/>
    <w:rsid w:val="00EB16EC"/>
    <w:rsid w:val="00EB1C6E"/>
    <w:rsid w:val="00EB1D05"/>
    <w:rsid w:val="00EB205C"/>
    <w:rsid w:val="00EB29B1"/>
    <w:rsid w:val="00EB3012"/>
    <w:rsid w:val="00EB36E9"/>
    <w:rsid w:val="00EB3FCA"/>
    <w:rsid w:val="00EB46BA"/>
    <w:rsid w:val="00EB4BD3"/>
    <w:rsid w:val="00EB4DE7"/>
    <w:rsid w:val="00EB51DA"/>
    <w:rsid w:val="00EB7021"/>
    <w:rsid w:val="00EB72C7"/>
    <w:rsid w:val="00EB7300"/>
    <w:rsid w:val="00EB7576"/>
    <w:rsid w:val="00EB7C7F"/>
    <w:rsid w:val="00EC052E"/>
    <w:rsid w:val="00EC0A7D"/>
    <w:rsid w:val="00EC0D05"/>
    <w:rsid w:val="00EC110F"/>
    <w:rsid w:val="00EC1155"/>
    <w:rsid w:val="00EC17BA"/>
    <w:rsid w:val="00EC1C35"/>
    <w:rsid w:val="00EC2259"/>
    <w:rsid w:val="00EC2575"/>
    <w:rsid w:val="00EC3B3B"/>
    <w:rsid w:val="00EC3BC5"/>
    <w:rsid w:val="00EC4821"/>
    <w:rsid w:val="00EC48EE"/>
    <w:rsid w:val="00EC51F3"/>
    <w:rsid w:val="00EC5423"/>
    <w:rsid w:val="00EC5892"/>
    <w:rsid w:val="00EC59AC"/>
    <w:rsid w:val="00EC633F"/>
    <w:rsid w:val="00EC7021"/>
    <w:rsid w:val="00EC756C"/>
    <w:rsid w:val="00ED0343"/>
    <w:rsid w:val="00ED04D1"/>
    <w:rsid w:val="00ED0839"/>
    <w:rsid w:val="00ED0A5B"/>
    <w:rsid w:val="00ED12AE"/>
    <w:rsid w:val="00ED1CFC"/>
    <w:rsid w:val="00ED3714"/>
    <w:rsid w:val="00ED4151"/>
    <w:rsid w:val="00ED43B8"/>
    <w:rsid w:val="00ED5C21"/>
    <w:rsid w:val="00ED6140"/>
    <w:rsid w:val="00ED62FC"/>
    <w:rsid w:val="00ED7D9D"/>
    <w:rsid w:val="00EE083D"/>
    <w:rsid w:val="00EE153B"/>
    <w:rsid w:val="00EE1ABD"/>
    <w:rsid w:val="00EE22ED"/>
    <w:rsid w:val="00EE28D1"/>
    <w:rsid w:val="00EE2F9D"/>
    <w:rsid w:val="00EE3318"/>
    <w:rsid w:val="00EE3D52"/>
    <w:rsid w:val="00EE44D1"/>
    <w:rsid w:val="00EE48F7"/>
    <w:rsid w:val="00EE5538"/>
    <w:rsid w:val="00EE5A37"/>
    <w:rsid w:val="00EE62A1"/>
    <w:rsid w:val="00EE7117"/>
    <w:rsid w:val="00EE7282"/>
    <w:rsid w:val="00EE7408"/>
    <w:rsid w:val="00EF072B"/>
    <w:rsid w:val="00EF1498"/>
    <w:rsid w:val="00EF22CA"/>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2CD7"/>
    <w:rsid w:val="00F13047"/>
    <w:rsid w:val="00F14815"/>
    <w:rsid w:val="00F14AB4"/>
    <w:rsid w:val="00F14DF0"/>
    <w:rsid w:val="00F157E7"/>
    <w:rsid w:val="00F15B1B"/>
    <w:rsid w:val="00F15B22"/>
    <w:rsid w:val="00F15D38"/>
    <w:rsid w:val="00F17D69"/>
    <w:rsid w:val="00F20707"/>
    <w:rsid w:val="00F21349"/>
    <w:rsid w:val="00F213EE"/>
    <w:rsid w:val="00F22128"/>
    <w:rsid w:val="00F22827"/>
    <w:rsid w:val="00F22BA0"/>
    <w:rsid w:val="00F22C53"/>
    <w:rsid w:val="00F232E1"/>
    <w:rsid w:val="00F25E2C"/>
    <w:rsid w:val="00F26A74"/>
    <w:rsid w:val="00F277EA"/>
    <w:rsid w:val="00F30A87"/>
    <w:rsid w:val="00F30CAC"/>
    <w:rsid w:val="00F30E25"/>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11A"/>
    <w:rsid w:val="00F37343"/>
    <w:rsid w:val="00F4079A"/>
    <w:rsid w:val="00F40C34"/>
    <w:rsid w:val="00F41259"/>
    <w:rsid w:val="00F41358"/>
    <w:rsid w:val="00F415BA"/>
    <w:rsid w:val="00F41E57"/>
    <w:rsid w:val="00F4219F"/>
    <w:rsid w:val="00F4250B"/>
    <w:rsid w:val="00F42F55"/>
    <w:rsid w:val="00F4305B"/>
    <w:rsid w:val="00F436A8"/>
    <w:rsid w:val="00F437CB"/>
    <w:rsid w:val="00F43A64"/>
    <w:rsid w:val="00F43C8D"/>
    <w:rsid w:val="00F4478B"/>
    <w:rsid w:val="00F451D9"/>
    <w:rsid w:val="00F45301"/>
    <w:rsid w:val="00F455B8"/>
    <w:rsid w:val="00F4582D"/>
    <w:rsid w:val="00F45884"/>
    <w:rsid w:val="00F4596F"/>
    <w:rsid w:val="00F4640A"/>
    <w:rsid w:val="00F46C88"/>
    <w:rsid w:val="00F4703A"/>
    <w:rsid w:val="00F50209"/>
    <w:rsid w:val="00F51135"/>
    <w:rsid w:val="00F513E5"/>
    <w:rsid w:val="00F53061"/>
    <w:rsid w:val="00F539AE"/>
    <w:rsid w:val="00F543CF"/>
    <w:rsid w:val="00F5515E"/>
    <w:rsid w:val="00F56EB0"/>
    <w:rsid w:val="00F56FFE"/>
    <w:rsid w:val="00F57798"/>
    <w:rsid w:val="00F57A93"/>
    <w:rsid w:val="00F60171"/>
    <w:rsid w:val="00F606C7"/>
    <w:rsid w:val="00F6091E"/>
    <w:rsid w:val="00F61780"/>
    <w:rsid w:val="00F61A95"/>
    <w:rsid w:val="00F6337D"/>
    <w:rsid w:val="00F635E0"/>
    <w:rsid w:val="00F63DBE"/>
    <w:rsid w:val="00F63ECE"/>
    <w:rsid w:val="00F64041"/>
    <w:rsid w:val="00F66CF1"/>
    <w:rsid w:val="00F70179"/>
    <w:rsid w:val="00F709C8"/>
    <w:rsid w:val="00F70E78"/>
    <w:rsid w:val="00F711B8"/>
    <w:rsid w:val="00F71770"/>
    <w:rsid w:val="00F71B15"/>
    <w:rsid w:val="00F71F45"/>
    <w:rsid w:val="00F727CB"/>
    <w:rsid w:val="00F72AFB"/>
    <w:rsid w:val="00F72D49"/>
    <w:rsid w:val="00F73F1A"/>
    <w:rsid w:val="00F7496C"/>
    <w:rsid w:val="00F7552A"/>
    <w:rsid w:val="00F75767"/>
    <w:rsid w:val="00F759B5"/>
    <w:rsid w:val="00F75ED5"/>
    <w:rsid w:val="00F763F4"/>
    <w:rsid w:val="00F76730"/>
    <w:rsid w:val="00F770D1"/>
    <w:rsid w:val="00F770EA"/>
    <w:rsid w:val="00F771F3"/>
    <w:rsid w:val="00F77246"/>
    <w:rsid w:val="00F77DE0"/>
    <w:rsid w:val="00F80043"/>
    <w:rsid w:val="00F80C08"/>
    <w:rsid w:val="00F82959"/>
    <w:rsid w:val="00F82B8E"/>
    <w:rsid w:val="00F82FBC"/>
    <w:rsid w:val="00F83877"/>
    <w:rsid w:val="00F83E8C"/>
    <w:rsid w:val="00F84434"/>
    <w:rsid w:val="00F84512"/>
    <w:rsid w:val="00F84717"/>
    <w:rsid w:val="00F85203"/>
    <w:rsid w:val="00F85788"/>
    <w:rsid w:val="00F85A2B"/>
    <w:rsid w:val="00F85C47"/>
    <w:rsid w:val="00F8656C"/>
    <w:rsid w:val="00F868D3"/>
    <w:rsid w:val="00F8718A"/>
    <w:rsid w:val="00F87E5C"/>
    <w:rsid w:val="00F919CE"/>
    <w:rsid w:val="00F91E3C"/>
    <w:rsid w:val="00F92727"/>
    <w:rsid w:val="00F9345A"/>
    <w:rsid w:val="00F93511"/>
    <w:rsid w:val="00F93542"/>
    <w:rsid w:val="00F9389C"/>
    <w:rsid w:val="00F93AF3"/>
    <w:rsid w:val="00F94457"/>
    <w:rsid w:val="00F95945"/>
    <w:rsid w:val="00F959F2"/>
    <w:rsid w:val="00F96AC3"/>
    <w:rsid w:val="00F97638"/>
    <w:rsid w:val="00F97FF5"/>
    <w:rsid w:val="00FA0046"/>
    <w:rsid w:val="00FA04C6"/>
    <w:rsid w:val="00FA0972"/>
    <w:rsid w:val="00FA1BC5"/>
    <w:rsid w:val="00FA1CD6"/>
    <w:rsid w:val="00FA2027"/>
    <w:rsid w:val="00FA26D2"/>
    <w:rsid w:val="00FA29F6"/>
    <w:rsid w:val="00FA2A5E"/>
    <w:rsid w:val="00FA3059"/>
    <w:rsid w:val="00FA4CBB"/>
    <w:rsid w:val="00FA4E75"/>
    <w:rsid w:val="00FA521E"/>
    <w:rsid w:val="00FA5634"/>
    <w:rsid w:val="00FA574F"/>
    <w:rsid w:val="00FA5912"/>
    <w:rsid w:val="00FA5EA8"/>
    <w:rsid w:val="00FA6122"/>
    <w:rsid w:val="00FB0953"/>
    <w:rsid w:val="00FB0997"/>
    <w:rsid w:val="00FB1094"/>
    <w:rsid w:val="00FB1438"/>
    <w:rsid w:val="00FB161F"/>
    <w:rsid w:val="00FB16A1"/>
    <w:rsid w:val="00FB234F"/>
    <w:rsid w:val="00FB2CF4"/>
    <w:rsid w:val="00FB3907"/>
    <w:rsid w:val="00FB3923"/>
    <w:rsid w:val="00FB4B74"/>
    <w:rsid w:val="00FB5BC6"/>
    <w:rsid w:val="00FB5C78"/>
    <w:rsid w:val="00FB5E2A"/>
    <w:rsid w:val="00FB604B"/>
    <w:rsid w:val="00FB706D"/>
    <w:rsid w:val="00FB74C9"/>
    <w:rsid w:val="00FB751A"/>
    <w:rsid w:val="00FB7FC8"/>
    <w:rsid w:val="00FC00F6"/>
    <w:rsid w:val="00FC16CE"/>
    <w:rsid w:val="00FC1A8D"/>
    <w:rsid w:val="00FC2460"/>
    <w:rsid w:val="00FC52B1"/>
    <w:rsid w:val="00FC534D"/>
    <w:rsid w:val="00FC5FEA"/>
    <w:rsid w:val="00FC6D0F"/>
    <w:rsid w:val="00FC73ED"/>
    <w:rsid w:val="00FC7BA7"/>
    <w:rsid w:val="00FC7C36"/>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94C"/>
    <w:rsid w:val="00FE255B"/>
    <w:rsid w:val="00FE2A37"/>
    <w:rsid w:val="00FE355C"/>
    <w:rsid w:val="00FE3640"/>
    <w:rsid w:val="00FE38B7"/>
    <w:rsid w:val="00FE3B25"/>
    <w:rsid w:val="00FE3B92"/>
    <w:rsid w:val="00FE4478"/>
    <w:rsid w:val="00FE44B5"/>
    <w:rsid w:val="00FE499C"/>
    <w:rsid w:val="00FE4AC6"/>
    <w:rsid w:val="00FE546A"/>
    <w:rsid w:val="00FE5F6A"/>
    <w:rsid w:val="00FE6978"/>
    <w:rsid w:val="00FE6C84"/>
    <w:rsid w:val="00FE7512"/>
    <w:rsid w:val="00FE7587"/>
    <w:rsid w:val="00FE7CBC"/>
    <w:rsid w:val="00FE7E73"/>
    <w:rsid w:val="00FE7F5E"/>
    <w:rsid w:val="00FF0150"/>
    <w:rsid w:val="00FF05C0"/>
    <w:rsid w:val="00FF100B"/>
    <w:rsid w:val="00FF1249"/>
    <w:rsid w:val="00FF1268"/>
    <w:rsid w:val="00FF1816"/>
    <w:rsid w:val="00FF1852"/>
    <w:rsid w:val="00FF19C2"/>
    <w:rsid w:val="00FF1F50"/>
    <w:rsid w:val="00FF2AEB"/>
    <w:rsid w:val="00FF3067"/>
    <w:rsid w:val="00FF385E"/>
    <w:rsid w:val="00FF3BEC"/>
    <w:rsid w:val="00FF3D63"/>
    <w:rsid w:val="00FF3E2A"/>
    <w:rsid w:val="00FF4BC8"/>
    <w:rsid w:val="00FF4FFD"/>
    <w:rsid w:val="00FF6934"/>
    <w:rsid w:val="00FF6AEB"/>
    <w:rsid w:val="00FF6B81"/>
    <w:rsid w:val="00FF6C28"/>
    <w:rsid w:val="00FF6CE7"/>
    <w:rsid w:val="00FF6D9B"/>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hapeDefaults>
    <o:shapedefaults v:ext="edit" spidmax="13312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styleId="ListParagraph">
    <w:name w:val="List Paragraph"/>
    <w:basedOn w:val="Normal"/>
    <w:uiPriority w:val="34"/>
    <w:qFormat/>
    <w:rsid w:val="0087666B"/>
    <w:pPr>
      <w:ind w:left="720"/>
    </w:pPr>
  </w:style>
  <w:style w:type="paragraph" w:customStyle="1" w:styleId="EW">
    <w:name w:val="EW"/>
    <w:basedOn w:val="Normal"/>
    <w:rsid w:val="00942736"/>
    <w:pPr>
      <w:keepLines/>
      <w:ind w:left="1702" w:hanging="1418"/>
    </w:pPr>
    <w:rPr>
      <w:rFonts w:eastAsia="Times New Roman"/>
      <w:sz w:val="20"/>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30681"/>
    <w:rPr>
      <w:rFonts w:ascii="Arial" w:hAnsi="Arial"/>
      <w:b/>
      <w:noProof/>
      <w:sz w:val="18"/>
      <w:lang w:val="en-GB" w:eastAsia="ja-JP"/>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349451796">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50862">
      <w:bodyDiv w:val="1"/>
      <w:marLeft w:val="0"/>
      <w:marRight w:val="0"/>
      <w:marTop w:val="0"/>
      <w:marBottom w:val="0"/>
      <w:divBdr>
        <w:top w:val="none" w:sz="0" w:space="0" w:color="auto"/>
        <w:left w:val="none" w:sz="0" w:space="0" w:color="auto"/>
        <w:bottom w:val="none" w:sz="0" w:space="0" w:color="auto"/>
        <w:right w:val="none" w:sz="0" w:space="0" w:color="auto"/>
      </w:divBdr>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096791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7871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7338">
      <w:bodyDiv w:val="1"/>
      <w:marLeft w:val="0"/>
      <w:marRight w:val="0"/>
      <w:marTop w:val="0"/>
      <w:marBottom w:val="0"/>
      <w:divBdr>
        <w:top w:val="none" w:sz="0" w:space="0" w:color="auto"/>
        <w:left w:val="none" w:sz="0" w:space="0" w:color="auto"/>
        <w:bottom w:val="none" w:sz="0" w:space="0" w:color="auto"/>
        <w:right w:val="none" w:sz="0" w:space="0" w:color="auto"/>
      </w:divBdr>
    </w:div>
    <w:div w:id="160025944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oleObject" Target="embeddings/oleObject5.bin"/><Relationship Id="rId26" Type="http://schemas.openxmlformats.org/officeDocument/2006/relationships/image" Target="media/image10.wmf"/><Relationship Id="rId39" Type="http://schemas.openxmlformats.org/officeDocument/2006/relationships/image" Target="media/image14.jpeg"/><Relationship Id="rId21" Type="http://schemas.openxmlformats.org/officeDocument/2006/relationships/image" Target="media/image8.wmf"/><Relationship Id="rId34" Type="http://schemas.openxmlformats.org/officeDocument/2006/relationships/oleObject" Target="embeddings/oleObject15.bin"/><Relationship Id="rId42" Type="http://schemas.openxmlformats.org/officeDocument/2006/relationships/oleObject" Target="embeddings/oleObject19.bin"/><Relationship Id="rId47" Type="http://schemas.openxmlformats.org/officeDocument/2006/relationships/image" Target="media/image17.jpeg"/><Relationship Id="rId50" Type="http://schemas.openxmlformats.org/officeDocument/2006/relationships/image" Target="media/image18.wmf"/><Relationship Id="rId55" Type="http://schemas.openxmlformats.org/officeDocument/2006/relationships/oleObject" Target="embeddings/oleObject28.bin"/><Relationship Id="rId63" Type="http://schemas.openxmlformats.org/officeDocument/2006/relationships/oleObject" Target="embeddings/oleObject33.bin"/><Relationship Id="rId68" Type="http://schemas.openxmlformats.org/officeDocument/2006/relationships/image" Target="media/image25.wmf"/><Relationship Id="rId76" Type="http://schemas.openxmlformats.org/officeDocument/2006/relationships/image" Target="media/image27.wmf"/><Relationship Id="rId84" Type="http://schemas.openxmlformats.org/officeDocument/2006/relationships/oleObject" Target="embeddings/oleObject47.bin"/><Relationship Id="rId89"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oleObject" Target="embeddings/oleObject52.bin"/><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oleObject" Target="embeddings/oleObject18.bin"/><Relationship Id="rId40" Type="http://schemas.openxmlformats.org/officeDocument/2006/relationships/image" Target="media/image15.jpeg"/><Relationship Id="rId45" Type="http://schemas.openxmlformats.org/officeDocument/2006/relationships/oleObject" Target="embeddings/oleObject22.bin"/><Relationship Id="rId53" Type="http://schemas.openxmlformats.org/officeDocument/2006/relationships/image" Target="media/image20.jpeg"/><Relationship Id="rId58" Type="http://schemas.openxmlformats.org/officeDocument/2006/relationships/image" Target="media/image21.jpeg"/><Relationship Id="rId66" Type="http://schemas.openxmlformats.org/officeDocument/2006/relationships/image" Target="media/image24.wmf"/><Relationship Id="rId74" Type="http://schemas.openxmlformats.org/officeDocument/2006/relationships/oleObject" Target="embeddings/oleObject42.bin"/><Relationship Id="rId79" Type="http://schemas.openxmlformats.org/officeDocument/2006/relationships/oleObject" Target="embeddings/oleObject44.bin"/><Relationship Id="rId87" Type="http://schemas.openxmlformats.org/officeDocument/2006/relationships/image" Target="media/image32.wmf"/><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oleObject" Target="embeddings/oleObject46.bin"/><Relationship Id="rId90" Type="http://schemas.openxmlformats.org/officeDocument/2006/relationships/oleObject" Target="embeddings/oleObject50.bin"/><Relationship Id="rId95"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image" Target="media/image4.jpeg"/><Relationship Id="rId22" Type="http://schemas.openxmlformats.org/officeDocument/2006/relationships/oleObject" Target="embeddings/oleObject7.bin"/><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oleObject" Target="embeddings/oleObject16.bin"/><Relationship Id="rId43" Type="http://schemas.openxmlformats.org/officeDocument/2006/relationships/oleObject" Target="embeddings/oleObject20.bin"/><Relationship Id="rId48" Type="http://schemas.openxmlformats.org/officeDocument/2006/relationships/oleObject" Target="embeddings/oleObject24.bin"/><Relationship Id="rId56" Type="http://schemas.openxmlformats.org/officeDocument/2006/relationships/oleObject" Target="embeddings/oleObject29.bin"/><Relationship Id="rId64" Type="http://schemas.openxmlformats.org/officeDocument/2006/relationships/oleObject" Target="embeddings/oleObject34.bin"/><Relationship Id="rId69" Type="http://schemas.openxmlformats.org/officeDocument/2006/relationships/oleObject" Target="embeddings/oleObject37.bin"/><Relationship Id="rId77" Type="http://schemas.openxmlformats.org/officeDocument/2006/relationships/oleObject" Target="embeddings/oleObject43.bin"/><Relationship Id="rId8" Type="http://schemas.openxmlformats.org/officeDocument/2006/relationships/image" Target="media/image1.wmf"/><Relationship Id="rId51" Type="http://schemas.openxmlformats.org/officeDocument/2006/relationships/oleObject" Target="embeddings/oleObject26.bin"/><Relationship Id="rId72" Type="http://schemas.openxmlformats.org/officeDocument/2006/relationships/oleObject" Target="embeddings/oleObject40.bin"/><Relationship Id="rId80" Type="http://schemas.openxmlformats.org/officeDocument/2006/relationships/oleObject" Target="embeddings/oleObject45.bin"/><Relationship Id="rId85" Type="http://schemas.openxmlformats.org/officeDocument/2006/relationships/image" Target="media/image31.wmf"/><Relationship Id="rId93"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image" Target="media/image13.jpeg"/><Relationship Id="rId46" Type="http://schemas.openxmlformats.org/officeDocument/2006/relationships/oleObject" Target="embeddings/oleObject23.bin"/><Relationship Id="rId59" Type="http://schemas.openxmlformats.org/officeDocument/2006/relationships/image" Target="media/image22.wmf"/><Relationship Id="rId67" Type="http://schemas.openxmlformats.org/officeDocument/2006/relationships/oleObject" Target="embeddings/oleObject36.bin"/><Relationship Id="rId20" Type="http://schemas.openxmlformats.org/officeDocument/2006/relationships/oleObject" Target="embeddings/oleObject6.bin"/><Relationship Id="rId41" Type="http://schemas.openxmlformats.org/officeDocument/2006/relationships/image" Target="media/image16.jpeg"/><Relationship Id="rId54" Type="http://schemas.openxmlformats.org/officeDocument/2006/relationships/oleObject" Target="embeddings/oleObject27.bin"/><Relationship Id="rId62" Type="http://schemas.openxmlformats.org/officeDocument/2006/relationships/oleObject" Target="embeddings/oleObject32.bin"/><Relationship Id="rId70" Type="http://schemas.openxmlformats.org/officeDocument/2006/relationships/oleObject" Target="embeddings/oleObject38.bin"/><Relationship Id="rId75" Type="http://schemas.openxmlformats.org/officeDocument/2006/relationships/image" Target="media/image26.emf"/><Relationship Id="rId83" Type="http://schemas.openxmlformats.org/officeDocument/2006/relationships/image" Target="media/image30.wmf"/><Relationship Id="rId88" Type="http://schemas.openxmlformats.org/officeDocument/2006/relationships/oleObject" Target="embeddings/oleObject49.bin"/><Relationship Id="rId91" Type="http://schemas.openxmlformats.org/officeDocument/2006/relationships/oleObject" Target="embeddings/oleObject51.bin"/><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7.bin"/><Relationship Id="rId49" Type="http://schemas.openxmlformats.org/officeDocument/2006/relationships/oleObject" Target="embeddings/oleObject25.bin"/><Relationship Id="rId57" Type="http://schemas.openxmlformats.org/officeDocument/2006/relationships/oleObject" Target="embeddings/oleObject30.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image" Target="media/image19.jpeg"/><Relationship Id="rId60" Type="http://schemas.openxmlformats.org/officeDocument/2006/relationships/oleObject" Target="embeddings/oleObject31.bin"/><Relationship Id="rId65" Type="http://schemas.openxmlformats.org/officeDocument/2006/relationships/oleObject" Target="embeddings/oleObject35.bin"/><Relationship Id="rId73" Type="http://schemas.openxmlformats.org/officeDocument/2006/relationships/oleObject" Target="embeddings/oleObject41.bin"/><Relationship Id="rId78" Type="http://schemas.openxmlformats.org/officeDocument/2006/relationships/image" Target="media/image28.wmf"/><Relationship Id="rId81" Type="http://schemas.openxmlformats.org/officeDocument/2006/relationships/image" Target="media/image29.wmf"/><Relationship Id="rId86" Type="http://schemas.openxmlformats.org/officeDocument/2006/relationships/oleObject" Target="embeddings/oleObject48.bin"/><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C4AA43-EBE5-46A6-80DB-6E8700EE0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3348</Words>
  <Characters>19090</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22394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2010-05-04T18:18:00Z</cp:lastPrinted>
  <dcterms:created xsi:type="dcterms:W3CDTF">2013-09-30T23:31:00Z</dcterms:created>
  <dcterms:modified xsi:type="dcterms:W3CDTF">2013-09-30T23:31:00Z</dcterms:modified>
</cp:coreProperties>
</file>