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98147C">
        <w:rPr>
          <w:rFonts w:cs="Arial"/>
          <w:sz w:val="24"/>
          <w:szCs w:val="24"/>
          <w:lang w:val="en-US" w:eastAsia="ja-JP"/>
        </w:rPr>
        <w:t>68</w:t>
      </w:r>
      <w:r w:rsidR="000566FE">
        <w:rPr>
          <w:rFonts w:cs="Arial"/>
          <w:sz w:val="24"/>
          <w:szCs w:val="24"/>
          <w:lang w:val="en-US" w:eastAsia="ja-JP"/>
        </w:rPr>
        <w:t>bis</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8C7FE0">
        <w:rPr>
          <w:rFonts w:cs="Arial"/>
          <w:sz w:val="24"/>
          <w:szCs w:val="24"/>
          <w:lang w:val="en-US"/>
        </w:rPr>
        <w:t>4965</w:t>
      </w:r>
    </w:p>
    <w:p w:rsidR="00445267" w:rsidRPr="007408EB" w:rsidRDefault="003A04C8"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Riga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Latvia</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537EE2">
        <w:rPr>
          <w:rFonts w:ascii="Arial" w:hAnsi="Arial" w:cs="Arial"/>
          <w:b/>
          <w:sz w:val="24"/>
          <w:szCs w:val="24"/>
          <w:lang w:eastAsia="ja-JP"/>
        </w:rPr>
        <w:t>October</w:t>
      </w:r>
      <w:r w:rsidR="00453547">
        <w:rPr>
          <w:rFonts w:ascii="Arial" w:hAnsi="Arial" w:cs="Arial"/>
          <w:b/>
          <w:sz w:val="24"/>
          <w:szCs w:val="24"/>
          <w:lang w:eastAsia="ja-JP"/>
        </w:rPr>
        <w:t xml:space="preserve"> </w:t>
      </w:r>
      <w:r w:rsidR="00A742BA">
        <w:rPr>
          <w:rFonts w:ascii="Arial" w:hAnsi="Arial" w:cs="Arial"/>
          <w:b/>
          <w:sz w:val="24"/>
          <w:szCs w:val="24"/>
          <w:lang w:eastAsia="ja-JP"/>
        </w:rPr>
        <w:t>7</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742BA">
        <w:rPr>
          <w:rFonts w:ascii="Arial" w:hAnsi="Arial" w:cs="Arial"/>
          <w:b/>
          <w:sz w:val="24"/>
          <w:szCs w:val="24"/>
          <w:lang w:eastAsia="ja-JP"/>
        </w:rPr>
        <w:t>11</w:t>
      </w:r>
      <w:r w:rsidR="00A742BA"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FD1A62">
        <w:rPr>
          <w:rFonts w:ascii="Arial" w:hAnsi="Arial" w:cs="Arial"/>
          <w:sz w:val="24"/>
          <w:lang w:val="en-US"/>
        </w:rPr>
        <w:t>8.</w:t>
      </w:r>
      <w:r w:rsidR="007039B9">
        <w:rPr>
          <w:rFonts w:ascii="Arial" w:hAnsi="Arial" w:cs="Arial"/>
          <w:sz w:val="24"/>
          <w:lang w:val="en-US"/>
        </w:rPr>
        <w:t>24</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7039B9" w:rsidRPr="007039B9">
        <w:rPr>
          <w:rFonts w:ascii="Arial" w:hAnsi="Arial" w:cs="Arial"/>
          <w:sz w:val="24"/>
          <w:szCs w:val="24"/>
        </w:rPr>
        <w:t>UE s</w:t>
      </w:r>
      <w:r w:rsidR="000041E0">
        <w:rPr>
          <w:rFonts w:ascii="Arial" w:hAnsi="Arial" w:cs="Arial"/>
          <w:sz w:val="24"/>
          <w:szCs w:val="24"/>
        </w:rPr>
        <w:t>elf-desensitization noise density requirement</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r w:rsidR="007039B9">
        <w:rPr>
          <w:rFonts w:ascii="Arial" w:hAnsi="Arial" w:cs="Arial"/>
          <w:sz w:val="24"/>
          <w:lang w:eastAsia="ja-JP"/>
        </w:rPr>
        <w:t xml:space="preserve"> and approval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7039B9" w:rsidP="00FD1A62">
      <w:pPr>
        <w:spacing w:after="120"/>
        <w:jc w:val="both"/>
        <w:rPr>
          <w:rFonts w:ascii="Arial" w:hAnsi="Arial" w:cs="Arial"/>
          <w:lang w:eastAsia="ja-JP"/>
        </w:rPr>
      </w:pPr>
      <w:r>
        <w:rPr>
          <w:rFonts w:ascii="Arial" w:hAnsi="Arial" w:cs="Arial"/>
          <w:lang w:eastAsia="ja-JP"/>
        </w:rPr>
        <w:t xml:space="preserve">UE self-desensitization has been </w:t>
      </w:r>
      <w:r w:rsidR="00231B01">
        <w:rPr>
          <w:rFonts w:ascii="Arial" w:hAnsi="Arial" w:cs="Arial"/>
          <w:lang w:eastAsia="ja-JP"/>
        </w:rPr>
        <w:t xml:space="preserve">a key factor </w:t>
      </w:r>
      <w:r>
        <w:rPr>
          <w:rFonts w:ascii="Arial" w:hAnsi="Arial" w:cs="Arial"/>
          <w:lang w:eastAsia="ja-JP"/>
        </w:rPr>
        <w:t>used to define</w:t>
      </w:r>
      <w:r w:rsidR="00231B01">
        <w:rPr>
          <w:rFonts w:ascii="Arial" w:hAnsi="Arial" w:cs="Arial"/>
          <w:lang w:eastAsia="ja-JP"/>
        </w:rPr>
        <w:t xml:space="preserve"> various requirements in LTE carrier aggregation development. However, the amount of sensitivity degradation has not been explicitly stated which might create a fuzzy boundary in some of the requirement definitions. In this contribution, </w:t>
      </w:r>
      <w:r w:rsidR="003A04C8">
        <w:rPr>
          <w:rFonts w:ascii="Arial" w:hAnsi="Arial" w:cs="Arial"/>
          <w:lang w:eastAsia="ja-JP"/>
        </w:rPr>
        <w:t xml:space="preserve">we provide our view on UE self-desensitization analysis and suggest a </w:t>
      </w:r>
      <w:r w:rsidR="000041E0">
        <w:rPr>
          <w:rFonts w:ascii="Arial" w:hAnsi="Arial" w:cs="Arial"/>
          <w:lang w:eastAsia="ja-JP"/>
        </w:rPr>
        <w:t xml:space="preserve">desensitization noise density </w:t>
      </w:r>
      <w:r w:rsidR="003A04C8">
        <w:rPr>
          <w:rFonts w:ascii="Arial" w:hAnsi="Arial" w:cs="Arial"/>
          <w:lang w:eastAsia="ja-JP"/>
        </w:rPr>
        <w:t xml:space="preserve">requirement </w:t>
      </w:r>
      <w:r w:rsidR="00537EE2">
        <w:rPr>
          <w:rFonts w:ascii="Arial" w:hAnsi="Arial" w:cs="Arial"/>
          <w:lang w:eastAsia="ja-JP"/>
        </w:rPr>
        <w:t xml:space="preserve">for RAN4 to reference in future specifications development. </w:t>
      </w:r>
      <w:r w:rsidR="00231B01">
        <w:rPr>
          <w:rFonts w:ascii="Arial" w:hAnsi="Arial" w:cs="Arial"/>
          <w:lang w:eastAsia="ja-JP"/>
        </w:rPr>
        <w:t xml:space="preserve"> </w:t>
      </w:r>
      <w:r>
        <w:rPr>
          <w:rFonts w:ascii="Arial" w:hAnsi="Arial" w:cs="Arial"/>
          <w:lang w:eastAsia="ja-JP"/>
        </w:rPr>
        <w:t xml:space="preserve"> </w:t>
      </w:r>
      <w:r w:rsidR="00E02DF1">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C22806" w:rsidRDefault="00A742BA" w:rsidP="00FD1A62">
      <w:pPr>
        <w:spacing w:after="120"/>
        <w:jc w:val="both"/>
        <w:rPr>
          <w:rFonts w:ascii="Arial" w:hAnsi="Arial" w:cs="Arial"/>
          <w:lang w:eastAsia="ja-JP"/>
        </w:rPr>
      </w:pPr>
      <w:r>
        <w:rPr>
          <w:rFonts w:ascii="Arial" w:hAnsi="Arial" w:cs="Arial"/>
          <w:lang w:eastAsia="ja-JP"/>
        </w:rPr>
        <w:t xml:space="preserve">UE self-desensitization has been a key factor </w:t>
      </w:r>
      <w:r w:rsidR="00BE010E">
        <w:rPr>
          <w:rFonts w:ascii="Arial" w:hAnsi="Arial" w:cs="Arial"/>
          <w:lang w:eastAsia="ja-JP"/>
        </w:rPr>
        <w:t xml:space="preserve">in defining various </w:t>
      </w:r>
      <w:r>
        <w:rPr>
          <w:rFonts w:ascii="Arial" w:hAnsi="Arial" w:cs="Arial"/>
          <w:lang w:eastAsia="ja-JP"/>
        </w:rPr>
        <w:t xml:space="preserve">LTE carrier aggregation </w:t>
      </w:r>
      <w:r w:rsidR="00BE010E">
        <w:rPr>
          <w:rFonts w:ascii="Arial" w:hAnsi="Arial" w:cs="Arial"/>
          <w:lang w:eastAsia="ja-JP"/>
        </w:rPr>
        <w:t>requirements,</w:t>
      </w:r>
      <w:r>
        <w:rPr>
          <w:rFonts w:ascii="Arial" w:hAnsi="Arial" w:cs="Arial"/>
          <w:lang w:eastAsia="ja-JP"/>
        </w:rPr>
        <w:t xml:space="preserve"> for example, the UL RB allocations in intra-band NC CA reference sensitivity tests [</w:t>
      </w:r>
      <w:r w:rsidR="000041E0">
        <w:rPr>
          <w:rFonts w:ascii="Arial" w:hAnsi="Arial" w:cs="Arial"/>
          <w:lang w:eastAsia="ja-JP"/>
        </w:rPr>
        <w:t>1</w:t>
      </w:r>
      <w:r>
        <w:rPr>
          <w:rFonts w:ascii="Arial" w:hAnsi="Arial" w:cs="Arial"/>
          <w:lang w:eastAsia="ja-JP"/>
        </w:rPr>
        <w:t xml:space="preserve">], </w:t>
      </w:r>
      <w:r w:rsidR="00B95024">
        <w:rPr>
          <w:rFonts w:ascii="Arial" w:hAnsi="Arial" w:cs="Arial"/>
          <w:lang w:eastAsia="ja-JP"/>
        </w:rPr>
        <w:t xml:space="preserve">and also the inter-band CA </w:t>
      </w:r>
      <w:r w:rsidR="003F3E3E">
        <w:rPr>
          <w:rFonts w:ascii="Arial" w:hAnsi="Arial" w:cs="Arial"/>
          <w:lang w:eastAsia="ja-JP"/>
        </w:rPr>
        <w:t>band classification</w:t>
      </w:r>
      <w:r w:rsidR="00B95024">
        <w:rPr>
          <w:rFonts w:ascii="Arial" w:hAnsi="Arial" w:cs="Arial"/>
          <w:lang w:eastAsia="ja-JP"/>
        </w:rPr>
        <w:t xml:space="preserve"> [</w:t>
      </w:r>
      <w:r w:rsidR="000041E0">
        <w:rPr>
          <w:rFonts w:ascii="Arial" w:hAnsi="Arial" w:cs="Arial"/>
          <w:lang w:eastAsia="ja-JP"/>
        </w:rPr>
        <w:t>2</w:t>
      </w:r>
      <w:r w:rsidR="00B95024">
        <w:rPr>
          <w:rFonts w:ascii="Arial" w:hAnsi="Arial" w:cs="Arial"/>
          <w:lang w:eastAsia="ja-JP"/>
        </w:rPr>
        <w:t xml:space="preserve">]. In recent </w:t>
      </w:r>
      <w:r w:rsidR="00BE010E">
        <w:rPr>
          <w:rFonts w:ascii="Arial" w:hAnsi="Arial" w:cs="Arial"/>
          <w:lang w:eastAsia="ja-JP"/>
        </w:rPr>
        <w:t xml:space="preserve">RAN4 </w:t>
      </w:r>
      <w:r w:rsidR="00B95024">
        <w:rPr>
          <w:rFonts w:ascii="Arial" w:hAnsi="Arial" w:cs="Arial"/>
          <w:lang w:eastAsia="ja-JP"/>
        </w:rPr>
        <w:t>discussions</w:t>
      </w:r>
      <w:r w:rsidR="00B23429">
        <w:rPr>
          <w:rFonts w:ascii="Arial" w:hAnsi="Arial" w:cs="Arial"/>
          <w:lang w:eastAsia="ja-JP"/>
        </w:rPr>
        <w:t xml:space="preserve"> relating to inter-band 2</w:t>
      </w:r>
      <w:r w:rsidR="00CC695D">
        <w:rPr>
          <w:rFonts w:ascii="Arial" w:hAnsi="Arial" w:cs="Arial"/>
          <w:lang w:eastAsia="ja-JP"/>
        </w:rPr>
        <w:t>UL CA</w:t>
      </w:r>
      <w:r w:rsidR="00B95024">
        <w:rPr>
          <w:rFonts w:ascii="Arial" w:hAnsi="Arial" w:cs="Arial"/>
          <w:lang w:eastAsia="ja-JP"/>
        </w:rPr>
        <w:t xml:space="preserve">, there was a suggestion to include IMD5 in </w:t>
      </w:r>
      <w:r w:rsidR="00DC4AA1">
        <w:rPr>
          <w:rFonts w:ascii="Arial" w:hAnsi="Arial" w:cs="Arial"/>
          <w:lang w:eastAsia="ja-JP"/>
        </w:rPr>
        <w:t xml:space="preserve">UE </w:t>
      </w:r>
      <w:r w:rsidR="00B95024">
        <w:rPr>
          <w:rFonts w:ascii="Arial" w:hAnsi="Arial" w:cs="Arial"/>
          <w:lang w:eastAsia="ja-JP"/>
        </w:rPr>
        <w:t>self-desensitization analysis</w:t>
      </w:r>
      <w:r w:rsidR="00DC4AA1">
        <w:rPr>
          <w:rFonts w:ascii="Arial" w:hAnsi="Arial" w:cs="Arial"/>
          <w:lang w:eastAsia="ja-JP"/>
        </w:rPr>
        <w:t xml:space="preserve"> [</w:t>
      </w:r>
      <w:r w:rsidR="000041E0">
        <w:rPr>
          <w:rFonts w:ascii="Arial" w:hAnsi="Arial" w:cs="Arial"/>
          <w:lang w:eastAsia="ja-JP"/>
        </w:rPr>
        <w:t>3-4</w:t>
      </w:r>
      <w:r w:rsidR="00DC4AA1">
        <w:rPr>
          <w:rFonts w:ascii="Arial" w:hAnsi="Arial" w:cs="Arial"/>
          <w:lang w:eastAsia="ja-JP"/>
        </w:rPr>
        <w:t xml:space="preserve">], which could potentially alter the original inter-band CA band class definition where only lower-order IMD (IMD2 and IMD3) was considered. </w:t>
      </w:r>
      <w:r w:rsidR="00CC695D">
        <w:rPr>
          <w:rFonts w:ascii="Arial" w:hAnsi="Arial" w:cs="Arial"/>
          <w:lang w:eastAsia="ja-JP"/>
        </w:rPr>
        <w:t>However, if the amount of sensitivity degradation caused</w:t>
      </w:r>
      <w:r w:rsidR="00C22806">
        <w:rPr>
          <w:rFonts w:ascii="Arial" w:hAnsi="Arial" w:cs="Arial"/>
          <w:lang w:eastAsia="ja-JP"/>
        </w:rPr>
        <w:t xml:space="preserve"> by</w:t>
      </w:r>
      <w:r w:rsidR="00CC695D">
        <w:rPr>
          <w:rFonts w:ascii="Arial" w:hAnsi="Arial" w:cs="Arial"/>
          <w:lang w:eastAsia="ja-JP"/>
        </w:rPr>
        <w:t xml:space="preserve"> IMD interference </w:t>
      </w:r>
      <w:r w:rsidR="000041E0">
        <w:rPr>
          <w:rFonts w:ascii="Arial" w:hAnsi="Arial" w:cs="Arial"/>
          <w:lang w:eastAsia="ja-JP"/>
        </w:rPr>
        <w:t xml:space="preserve">or interference level </w:t>
      </w:r>
      <w:r w:rsidR="00CC695D">
        <w:rPr>
          <w:rFonts w:ascii="Arial" w:hAnsi="Arial" w:cs="Arial"/>
          <w:lang w:eastAsia="ja-JP"/>
        </w:rPr>
        <w:t>is not clearly defined, it is arguable whether IMD5, or even higher-order IMD sh</w:t>
      </w:r>
      <w:r w:rsidR="003F3E3E">
        <w:rPr>
          <w:rFonts w:ascii="Arial" w:hAnsi="Arial" w:cs="Arial"/>
          <w:lang w:eastAsia="ja-JP"/>
        </w:rPr>
        <w:t>all be considered in the analysis. Therefore, to avoid ambiguity in de</w:t>
      </w:r>
      <w:r w:rsidR="0013517C">
        <w:rPr>
          <w:rFonts w:ascii="Arial" w:hAnsi="Arial" w:cs="Arial"/>
          <w:lang w:eastAsia="ja-JP"/>
        </w:rPr>
        <w:t>riving</w:t>
      </w:r>
      <w:r w:rsidR="00C22806">
        <w:rPr>
          <w:rFonts w:ascii="Arial" w:hAnsi="Arial" w:cs="Arial"/>
          <w:lang w:eastAsia="ja-JP"/>
        </w:rPr>
        <w:t xml:space="preserve"> reference sensitivity and </w:t>
      </w:r>
      <w:r w:rsidR="000041E0">
        <w:rPr>
          <w:rFonts w:ascii="Arial" w:hAnsi="Arial" w:cs="Arial"/>
          <w:lang w:eastAsia="ja-JP"/>
        </w:rPr>
        <w:t>MPR</w:t>
      </w:r>
      <w:r w:rsidR="0013517C">
        <w:rPr>
          <w:rFonts w:ascii="Arial" w:hAnsi="Arial" w:cs="Arial"/>
          <w:lang w:eastAsia="ja-JP"/>
        </w:rPr>
        <w:t xml:space="preserve"> associated specifications</w:t>
      </w:r>
      <w:r w:rsidR="00C22806">
        <w:rPr>
          <w:rFonts w:ascii="Arial" w:hAnsi="Arial" w:cs="Arial"/>
          <w:lang w:eastAsia="ja-JP"/>
        </w:rPr>
        <w:t>, UE self-desensitization interference level shall be clearly defined.</w:t>
      </w:r>
    </w:p>
    <w:p w:rsidR="00C22806" w:rsidRDefault="00C22806" w:rsidP="00992260">
      <w:pPr>
        <w:spacing w:after="0"/>
        <w:jc w:val="both"/>
        <w:rPr>
          <w:rFonts w:ascii="Arial" w:hAnsi="Arial" w:cs="Arial"/>
          <w:lang w:eastAsia="ja-JP"/>
        </w:rPr>
      </w:pPr>
    </w:p>
    <w:p w:rsidR="0013517C" w:rsidRPr="000041E0" w:rsidRDefault="000041E0" w:rsidP="00FD1A62">
      <w:pPr>
        <w:spacing w:after="120"/>
        <w:jc w:val="both"/>
        <w:rPr>
          <w:rFonts w:ascii="Arial" w:hAnsi="Arial" w:cs="Arial"/>
          <w:b/>
          <w:i/>
          <w:lang w:eastAsia="ja-JP"/>
        </w:rPr>
      </w:pPr>
      <w:r w:rsidRPr="000041E0">
        <w:rPr>
          <w:rFonts w:ascii="Arial" w:hAnsi="Arial" w:cs="Arial"/>
          <w:b/>
          <w:i/>
          <w:lang w:eastAsia="ja-JP"/>
        </w:rPr>
        <w:t>Proposal 1:</w:t>
      </w:r>
      <w:r w:rsidR="0013517C" w:rsidRPr="000041E0">
        <w:rPr>
          <w:rFonts w:ascii="Arial" w:hAnsi="Arial" w:cs="Arial"/>
          <w:b/>
          <w:i/>
          <w:lang w:eastAsia="ja-JP"/>
        </w:rPr>
        <w:t xml:space="preserve"> RAN4 shall clearly define UE self-desensitization interference level to avoid ambiguity in deriving reference sensitivity and </w:t>
      </w:r>
      <w:r w:rsidRPr="000041E0">
        <w:rPr>
          <w:rFonts w:ascii="Arial" w:hAnsi="Arial" w:cs="Arial"/>
          <w:b/>
          <w:i/>
          <w:lang w:eastAsia="ja-JP"/>
        </w:rPr>
        <w:t>MPR</w:t>
      </w:r>
      <w:r w:rsidR="0013517C" w:rsidRPr="000041E0">
        <w:rPr>
          <w:rFonts w:ascii="Arial" w:hAnsi="Arial" w:cs="Arial"/>
          <w:b/>
          <w:i/>
          <w:lang w:eastAsia="ja-JP"/>
        </w:rPr>
        <w:t xml:space="preserve"> associated specifications</w:t>
      </w:r>
      <w:r w:rsidRPr="000041E0">
        <w:rPr>
          <w:rFonts w:ascii="Arial" w:hAnsi="Arial" w:cs="Arial"/>
          <w:b/>
          <w:i/>
          <w:lang w:eastAsia="ja-JP"/>
        </w:rPr>
        <w:t>.</w:t>
      </w:r>
    </w:p>
    <w:p w:rsidR="0013517C" w:rsidRDefault="0013517C" w:rsidP="00992260">
      <w:pPr>
        <w:spacing w:after="0"/>
        <w:jc w:val="both"/>
        <w:rPr>
          <w:rFonts w:ascii="Arial" w:hAnsi="Arial" w:cs="Arial"/>
          <w:lang w:eastAsia="ja-JP"/>
        </w:rPr>
      </w:pPr>
    </w:p>
    <w:p w:rsidR="0013517C" w:rsidRPr="00992260" w:rsidRDefault="0013517C" w:rsidP="00992260">
      <w:pPr>
        <w:pStyle w:val="Heading4"/>
        <w:numPr>
          <w:ilvl w:val="1"/>
          <w:numId w:val="23"/>
        </w:numPr>
        <w:spacing w:before="180"/>
        <w:ind w:left="576" w:hanging="576"/>
        <w:rPr>
          <w:lang w:eastAsia="ja-JP"/>
        </w:rPr>
      </w:pPr>
      <w:r>
        <w:rPr>
          <w:lang w:eastAsia="ja-JP"/>
        </w:rPr>
        <w:t>UE self-desensitization analysis</w:t>
      </w:r>
    </w:p>
    <w:p w:rsidR="00B8583C" w:rsidRDefault="00C00E22" w:rsidP="00FD1A62">
      <w:pPr>
        <w:spacing w:after="120"/>
        <w:jc w:val="both"/>
        <w:rPr>
          <w:rFonts w:ascii="Arial" w:hAnsi="Arial" w:cs="Arial"/>
          <w:lang w:eastAsia="ja-JP"/>
        </w:rPr>
      </w:pPr>
      <w:r>
        <w:rPr>
          <w:rFonts w:ascii="Arial" w:hAnsi="Arial" w:cs="Arial"/>
          <w:lang w:eastAsia="ja-JP"/>
        </w:rPr>
        <w:t>R</w:t>
      </w:r>
      <w:r w:rsidR="00B8583C">
        <w:rPr>
          <w:rFonts w:ascii="Arial" w:hAnsi="Arial" w:cs="Arial"/>
          <w:lang w:eastAsia="ja-JP"/>
        </w:rPr>
        <w:t>adio receiver sensitivity (S) has been commonly defined as,</w:t>
      </w:r>
    </w:p>
    <w:p w:rsidR="00B8583C" w:rsidRDefault="00B8583C" w:rsidP="00992260">
      <w:pPr>
        <w:spacing w:after="0"/>
        <w:jc w:val="both"/>
        <w:rPr>
          <w:rFonts w:ascii="Arial" w:hAnsi="Arial" w:cs="Arial"/>
          <w:lang w:eastAsia="ja-JP"/>
        </w:rPr>
      </w:pPr>
    </w:p>
    <w:p w:rsidR="00B8583C" w:rsidRDefault="00B8583C" w:rsidP="00FD1A62">
      <w:pPr>
        <w:spacing w:after="120"/>
        <w:jc w:val="both"/>
        <w:rPr>
          <w:rFonts w:ascii="Arial" w:hAnsi="Arial" w:cs="Arial"/>
          <w:lang w:eastAsia="ja-JP"/>
        </w:rPr>
      </w:pPr>
      <w:r>
        <w:rPr>
          <w:rFonts w:ascii="Arial" w:hAnsi="Arial" w:cs="Arial"/>
          <w:lang w:eastAsia="ja-JP"/>
        </w:rPr>
        <w:t>S = -174 dBm/Hz + 10</w:t>
      </w:r>
      <w:r w:rsidR="00B23429">
        <w:rPr>
          <w:rFonts w:ascii="Arial" w:hAnsi="Arial" w:cs="Arial"/>
          <w:lang w:eastAsia="ja-JP"/>
        </w:rPr>
        <w:t>*</w:t>
      </w:r>
      <w:r>
        <w:rPr>
          <w:rFonts w:ascii="Arial" w:hAnsi="Arial" w:cs="Arial"/>
          <w:lang w:eastAsia="ja-JP"/>
        </w:rPr>
        <w:t>log(BW) + NF + SNR</w:t>
      </w:r>
      <w:r w:rsidRPr="00B8583C">
        <w:rPr>
          <w:rFonts w:ascii="Arial" w:hAnsi="Arial" w:cs="Arial"/>
          <w:vertAlign w:val="subscript"/>
          <w:lang w:eastAsia="ja-JP"/>
        </w:rPr>
        <w:t>demod</w:t>
      </w:r>
      <w:r w:rsidR="00C00E22">
        <w:rPr>
          <w:rFonts w:ascii="Arial" w:hAnsi="Arial" w:cs="Arial"/>
          <w:lang w:eastAsia="ja-JP"/>
        </w:rPr>
        <w:t xml:space="preserve"> (in unit of dBm)</w:t>
      </w:r>
    </w:p>
    <w:p w:rsidR="00B8583C" w:rsidRDefault="00B8583C" w:rsidP="00992260">
      <w:pPr>
        <w:spacing w:after="0"/>
        <w:jc w:val="both"/>
        <w:rPr>
          <w:rFonts w:ascii="Arial" w:hAnsi="Arial" w:cs="Arial"/>
          <w:lang w:eastAsia="ja-JP"/>
        </w:rPr>
      </w:pPr>
    </w:p>
    <w:p w:rsidR="00C00E22" w:rsidRDefault="00C00E22" w:rsidP="00FD1A62">
      <w:pPr>
        <w:spacing w:after="120"/>
        <w:jc w:val="both"/>
        <w:rPr>
          <w:rFonts w:ascii="Arial" w:hAnsi="Arial" w:cs="Arial"/>
          <w:lang w:eastAsia="ja-JP"/>
        </w:rPr>
      </w:pPr>
      <w:r>
        <w:rPr>
          <w:rFonts w:ascii="Arial" w:hAnsi="Arial" w:cs="Arial"/>
          <w:lang w:eastAsia="ja-JP"/>
        </w:rPr>
        <w:t xml:space="preserve">where </w:t>
      </w:r>
      <w:r w:rsidR="00992260">
        <w:rPr>
          <w:rFonts w:ascii="Arial" w:hAnsi="Arial" w:cs="Arial"/>
          <w:lang w:eastAsia="ja-JP"/>
        </w:rPr>
        <w:t xml:space="preserve">-174 dBm/Hz is the thermal noise floor at receiver antenna input, </w:t>
      </w:r>
      <w:r>
        <w:rPr>
          <w:rFonts w:ascii="Arial" w:hAnsi="Arial" w:cs="Arial"/>
          <w:lang w:eastAsia="ja-JP"/>
        </w:rPr>
        <w:t>BW is signal modulation bandwidth, NF is receiver noise figure, and SNR</w:t>
      </w:r>
      <w:r w:rsidRPr="00B8583C">
        <w:rPr>
          <w:rFonts w:ascii="Arial" w:hAnsi="Arial" w:cs="Arial"/>
          <w:vertAlign w:val="subscript"/>
          <w:lang w:eastAsia="ja-JP"/>
        </w:rPr>
        <w:t>demod</w:t>
      </w:r>
      <w:r w:rsidR="00992260">
        <w:rPr>
          <w:rFonts w:ascii="Arial" w:hAnsi="Arial" w:cs="Arial"/>
          <w:lang w:eastAsia="ja-JP"/>
        </w:rPr>
        <w:t xml:space="preserve"> is the signal-to-noise-</w:t>
      </w:r>
      <w:r>
        <w:rPr>
          <w:rFonts w:ascii="Arial" w:hAnsi="Arial" w:cs="Arial"/>
          <w:lang w:eastAsia="ja-JP"/>
        </w:rPr>
        <w:t>radio requirement for a demodulator to achieve certain bit error rate or demodulated signal quality.</w:t>
      </w:r>
    </w:p>
    <w:p w:rsidR="00C00E22" w:rsidRDefault="00C00E22" w:rsidP="00992260">
      <w:pPr>
        <w:spacing w:after="0"/>
        <w:jc w:val="both"/>
        <w:rPr>
          <w:rFonts w:ascii="Arial" w:hAnsi="Arial" w:cs="Arial"/>
          <w:lang w:eastAsia="ja-JP"/>
        </w:rPr>
      </w:pPr>
    </w:p>
    <w:p w:rsidR="002F4F69" w:rsidRDefault="00C00E22" w:rsidP="00FD1A62">
      <w:pPr>
        <w:spacing w:after="120"/>
        <w:jc w:val="both"/>
        <w:rPr>
          <w:rFonts w:ascii="Arial" w:hAnsi="Arial" w:cs="Arial"/>
          <w:lang w:eastAsia="ja-JP"/>
        </w:rPr>
      </w:pPr>
      <w:r>
        <w:rPr>
          <w:rFonts w:ascii="Arial" w:hAnsi="Arial" w:cs="Arial"/>
          <w:lang w:eastAsia="ja-JP"/>
        </w:rPr>
        <w:t xml:space="preserve">In FDD operation, receiver sensitivity could be further degraded </w:t>
      </w:r>
      <w:r w:rsidR="006A0AC7">
        <w:rPr>
          <w:rFonts w:ascii="Arial" w:hAnsi="Arial" w:cs="Arial"/>
          <w:lang w:eastAsia="ja-JP"/>
        </w:rPr>
        <w:t xml:space="preserve">by the noise induced from its own transmitter through transmission noise floor, receiver IP2 conversion and local oscillator reciprocal mixing. In CA operations, additional noise source </w:t>
      </w:r>
      <w:r w:rsidR="00B55680">
        <w:rPr>
          <w:rFonts w:ascii="Arial" w:hAnsi="Arial" w:cs="Arial"/>
          <w:lang w:eastAsia="ja-JP"/>
        </w:rPr>
        <w:t xml:space="preserve">into receiver </w:t>
      </w:r>
      <w:r w:rsidR="006A0AC7">
        <w:rPr>
          <w:rFonts w:ascii="Arial" w:hAnsi="Arial" w:cs="Arial"/>
          <w:lang w:eastAsia="ja-JP"/>
        </w:rPr>
        <w:t xml:space="preserve">could </w:t>
      </w:r>
      <w:r w:rsidR="00B55680">
        <w:rPr>
          <w:rFonts w:ascii="Arial" w:hAnsi="Arial" w:cs="Arial"/>
          <w:lang w:eastAsia="ja-JP"/>
        </w:rPr>
        <w:t>be introduced by</w:t>
      </w:r>
      <w:r w:rsidR="006A0AC7">
        <w:rPr>
          <w:rFonts w:ascii="Arial" w:hAnsi="Arial" w:cs="Arial"/>
          <w:lang w:eastAsia="ja-JP"/>
        </w:rPr>
        <w:t xml:space="preserve"> transmit</w:t>
      </w:r>
      <w:r w:rsidR="00B55680">
        <w:rPr>
          <w:rFonts w:ascii="Arial" w:hAnsi="Arial" w:cs="Arial"/>
          <w:lang w:eastAsia="ja-JP"/>
        </w:rPr>
        <w:t xml:space="preserve"> signal ACLR, harmonics, and </w:t>
      </w:r>
      <w:r w:rsidR="00B23429">
        <w:rPr>
          <w:rFonts w:ascii="Arial" w:hAnsi="Arial" w:cs="Arial"/>
          <w:lang w:eastAsia="ja-JP"/>
        </w:rPr>
        <w:t>intermodulation products from 2</w:t>
      </w:r>
      <w:r w:rsidR="00B55680">
        <w:rPr>
          <w:rFonts w:ascii="Arial" w:hAnsi="Arial" w:cs="Arial"/>
          <w:lang w:eastAsia="ja-JP"/>
        </w:rPr>
        <w:t>UL transmissions. These interference effects can all be con</w:t>
      </w:r>
      <w:r w:rsidR="009E29C2">
        <w:rPr>
          <w:rFonts w:ascii="Arial" w:hAnsi="Arial" w:cs="Arial"/>
          <w:lang w:eastAsia="ja-JP"/>
        </w:rPr>
        <w:t>sidered as self-desensitization.</w:t>
      </w:r>
    </w:p>
    <w:p w:rsidR="002F4F69" w:rsidRDefault="002F4F69" w:rsidP="00992260">
      <w:pPr>
        <w:spacing w:after="0"/>
        <w:jc w:val="both"/>
        <w:rPr>
          <w:rFonts w:ascii="Arial" w:hAnsi="Arial" w:cs="Arial"/>
          <w:lang w:eastAsia="ja-JP"/>
        </w:rPr>
      </w:pPr>
    </w:p>
    <w:p w:rsidR="000041E0" w:rsidRDefault="000041E0" w:rsidP="00FD1A62">
      <w:pPr>
        <w:spacing w:after="120"/>
        <w:jc w:val="both"/>
        <w:rPr>
          <w:rFonts w:ascii="Arial" w:hAnsi="Arial" w:cs="Arial"/>
          <w:lang w:eastAsia="ja-JP"/>
        </w:rPr>
      </w:pPr>
      <w:r>
        <w:rPr>
          <w:rFonts w:ascii="Arial" w:hAnsi="Arial" w:cs="Arial"/>
          <w:lang w:eastAsia="ja-JP"/>
        </w:rPr>
        <w:t xml:space="preserve">Figure 2.1-1 shows the amount of sensitivity degradation as a function of interference noise density and receiver intrinsic NF. It can be seen that under the same interference noise density, for example, -170 dBm/Hz, the desensitization level could vary from 4.12 dB to 0.64 dB when receiver intrinsic NF ranges from 2 </w:t>
      </w:r>
      <w:r>
        <w:rPr>
          <w:rFonts w:ascii="Arial" w:hAnsi="Arial" w:cs="Arial"/>
          <w:lang w:eastAsia="ja-JP"/>
        </w:rPr>
        <w:lastRenderedPageBreak/>
        <w:t>dB to 12 dB. On the other hand, if desensitization level is kept at one fixed value, let’s say, 1 dB, the required interference noise density would differ from -178 dBm/Hz to -168 dBm/Hz when receiver intrinsic NF extends from 2 dB to 12 dB.</w:t>
      </w:r>
    </w:p>
    <w:p w:rsidR="000041E0" w:rsidRDefault="000041E0" w:rsidP="00FD1A62">
      <w:pPr>
        <w:spacing w:after="120"/>
        <w:jc w:val="both"/>
        <w:rPr>
          <w:rFonts w:ascii="Arial" w:hAnsi="Arial" w:cs="Arial"/>
          <w:lang w:eastAsia="ja-JP"/>
        </w:rPr>
      </w:pPr>
    </w:p>
    <w:p w:rsidR="008D6197" w:rsidRDefault="000041E0" w:rsidP="000041E0">
      <w:pPr>
        <w:spacing w:after="120"/>
        <w:jc w:val="center"/>
        <w:rPr>
          <w:rFonts w:ascii="Arial" w:hAnsi="Arial" w:cs="Arial"/>
        </w:rPr>
      </w:pPr>
      <w:r w:rsidRPr="000041E0">
        <w:rPr>
          <w:rFonts w:ascii="Arial" w:hAnsi="Arial" w:cs="Arial"/>
          <w:noProof/>
          <w:lang w:val="en-US" w:eastAsia="zh-CN"/>
        </w:rPr>
        <w:drawing>
          <wp:inline distT="0" distB="0" distL="0" distR="0">
            <wp:extent cx="4572000" cy="2743200"/>
            <wp:effectExtent l="19050" t="0" r="1905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84B0D" w:rsidRDefault="00784B0D" w:rsidP="000041E0">
      <w:pPr>
        <w:spacing w:after="0"/>
        <w:rPr>
          <w:rFonts w:ascii="Arial" w:hAnsi="Arial" w:cs="Arial"/>
          <w:b/>
        </w:rPr>
      </w:pPr>
    </w:p>
    <w:p w:rsidR="008D6197" w:rsidRDefault="000041E0" w:rsidP="00FD1A62">
      <w:pPr>
        <w:spacing w:after="120"/>
        <w:jc w:val="center"/>
        <w:rPr>
          <w:rFonts w:ascii="Arial" w:hAnsi="Arial" w:cs="Arial"/>
        </w:rPr>
      </w:pPr>
      <w:r>
        <w:rPr>
          <w:rFonts w:ascii="Arial" w:hAnsi="Arial" w:cs="Arial"/>
          <w:b/>
        </w:rPr>
        <w:t>Figure 2.1-1</w:t>
      </w:r>
      <w:r w:rsidR="00784B0D">
        <w:rPr>
          <w:rFonts w:ascii="Arial" w:hAnsi="Arial" w:cs="Arial"/>
          <w:b/>
        </w:rPr>
        <w:t xml:space="preserve"> </w:t>
      </w:r>
      <w:r>
        <w:rPr>
          <w:rFonts w:ascii="Arial" w:hAnsi="Arial" w:cs="Arial"/>
          <w:b/>
        </w:rPr>
        <w:t>Rx desensitization level as a function of interference noise density and intrinsic NF</w:t>
      </w:r>
    </w:p>
    <w:p w:rsidR="000041E0" w:rsidRDefault="000041E0" w:rsidP="00992260">
      <w:pPr>
        <w:spacing w:after="0"/>
        <w:jc w:val="both"/>
        <w:rPr>
          <w:rFonts w:ascii="Arial" w:hAnsi="Arial" w:cs="Arial"/>
        </w:rPr>
      </w:pPr>
    </w:p>
    <w:p w:rsidR="000041E0" w:rsidRPr="00992260" w:rsidRDefault="000041E0" w:rsidP="00992260">
      <w:pPr>
        <w:pStyle w:val="Heading4"/>
        <w:numPr>
          <w:ilvl w:val="1"/>
          <w:numId w:val="23"/>
        </w:numPr>
        <w:spacing w:before="180"/>
        <w:ind w:left="576" w:hanging="576"/>
        <w:rPr>
          <w:lang w:eastAsia="ja-JP"/>
        </w:rPr>
      </w:pPr>
      <w:r>
        <w:rPr>
          <w:lang w:eastAsia="ja-JP"/>
        </w:rPr>
        <w:t>UE self-desensitization noise density requirement</w:t>
      </w:r>
    </w:p>
    <w:p w:rsidR="00992260" w:rsidRDefault="000041E0" w:rsidP="00FD1A62">
      <w:pPr>
        <w:spacing w:after="120"/>
        <w:jc w:val="both"/>
        <w:rPr>
          <w:rFonts w:ascii="Arial" w:hAnsi="Arial" w:cs="Arial"/>
        </w:rPr>
      </w:pPr>
      <w:r>
        <w:rPr>
          <w:rFonts w:ascii="Arial" w:hAnsi="Arial" w:cs="Arial"/>
        </w:rPr>
        <w:t>The interference level requirement in principle can be kept relatively low, for example, less than -180 dBm/Hz, which would result in sensitivity degradation to less than 0.7 dB for receiver intrinsic NF ranging from 2 dB to 12 dB. However, this requirement could be excessively specified if it would be based upon to introduce additional MPR and/or cascade more front-end filter components.</w:t>
      </w:r>
    </w:p>
    <w:p w:rsidR="000041E0" w:rsidRDefault="000041E0" w:rsidP="00992260">
      <w:pPr>
        <w:spacing w:after="0"/>
        <w:jc w:val="both"/>
        <w:rPr>
          <w:rFonts w:ascii="Arial" w:hAnsi="Arial" w:cs="Arial"/>
        </w:rPr>
      </w:pPr>
      <w:r>
        <w:rPr>
          <w:rFonts w:ascii="Arial" w:hAnsi="Arial" w:cs="Arial"/>
        </w:rPr>
        <w:t xml:space="preserve"> </w:t>
      </w:r>
    </w:p>
    <w:p w:rsidR="000041E0" w:rsidRDefault="000041E0" w:rsidP="00FD1A62">
      <w:pPr>
        <w:spacing w:after="120"/>
        <w:jc w:val="both"/>
        <w:rPr>
          <w:rFonts w:ascii="Arial" w:hAnsi="Arial" w:cs="Arial"/>
        </w:rPr>
      </w:pPr>
      <w:r>
        <w:rPr>
          <w:rFonts w:ascii="Arial" w:hAnsi="Arial" w:cs="Arial"/>
        </w:rPr>
        <w:t>Considering that a typical UE receiver NF could range from 4 dB to 12 dB (including front-end passive insertion loss), and sensitivity degradation up to 1 dB is allowed without any mitigation in desensitization noise suppression (where the benefit of noise reduction could potentially be washed out by other side effects), a reasonable desensitization noise density requirement can be set at -177 dBm/Hz.</w:t>
      </w:r>
    </w:p>
    <w:p w:rsidR="000041E0" w:rsidRDefault="000041E0" w:rsidP="00992260">
      <w:pPr>
        <w:spacing w:after="0"/>
        <w:jc w:val="both"/>
        <w:rPr>
          <w:rFonts w:ascii="Arial" w:hAnsi="Arial" w:cs="Arial"/>
        </w:rPr>
      </w:pPr>
    </w:p>
    <w:p w:rsidR="000041E0" w:rsidRPr="000041E0" w:rsidRDefault="000041E0" w:rsidP="00FD1A62">
      <w:pPr>
        <w:spacing w:after="120"/>
        <w:jc w:val="both"/>
        <w:rPr>
          <w:rFonts w:ascii="Arial" w:hAnsi="Arial" w:cs="Arial"/>
          <w:b/>
          <w:i/>
        </w:rPr>
      </w:pPr>
      <w:r w:rsidRPr="000041E0">
        <w:rPr>
          <w:rFonts w:ascii="Arial" w:hAnsi="Arial" w:cs="Arial"/>
          <w:b/>
          <w:i/>
          <w:lang w:eastAsia="ja-JP"/>
        </w:rPr>
        <w:t>Proposal 2: UE self-desensitization interference noise density requirement is defined at -177 dBm/Hz.</w:t>
      </w:r>
    </w:p>
    <w:p w:rsidR="000041E0" w:rsidRDefault="000041E0" w:rsidP="00992260">
      <w:pPr>
        <w:spacing w:after="0"/>
        <w:jc w:val="both"/>
        <w:rPr>
          <w:rFonts w:ascii="Arial" w:hAnsi="Arial" w:cs="Arial"/>
        </w:rPr>
      </w:pPr>
      <w:r>
        <w:rPr>
          <w:rFonts w:ascii="Arial" w:hAnsi="Arial" w:cs="Arial"/>
        </w:rPr>
        <w:t xml:space="preserve"> </w:t>
      </w:r>
    </w:p>
    <w:p w:rsidR="000041E0" w:rsidRDefault="000041E0" w:rsidP="00FD1A62">
      <w:pPr>
        <w:spacing w:after="120"/>
        <w:jc w:val="both"/>
        <w:rPr>
          <w:rFonts w:ascii="Arial" w:hAnsi="Arial" w:cs="Arial"/>
        </w:rPr>
      </w:pPr>
      <w:r>
        <w:rPr>
          <w:rFonts w:ascii="Arial" w:hAnsi="Arial" w:cs="Arial"/>
        </w:rPr>
        <w:t xml:space="preserve">Figure 2.2-1 shows the amount of sensitivity degradation caused by -177 dBm/Hz desensitization noise for receiver intrinsic NF from 4 dB to 12 dB. Using this noise density requirement as a reference, we can derive the minimum IMD power level to </w:t>
      </w:r>
      <w:r w:rsidR="00B173A6">
        <w:rPr>
          <w:rFonts w:ascii="Arial" w:hAnsi="Arial" w:cs="Arial"/>
        </w:rPr>
        <w:t>cause self-desensitization in 2</w:t>
      </w:r>
      <w:r>
        <w:rPr>
          <w:rFonts w:ascii="Arial" w:hAnsi="Arial" w:cs="Arial"/>
        </w:rPr>
        <w:t>UL inter-band CA, which is,</w:t>
      </w:r>
    </w:p>
    <w:p w:rsidR="000041E0" w:rsidRDefault="000041E0" w:rsidP="00992260">
      <w:pPr>
        <w:spacing w:after="0"/>
        <w:jc w:val="both"/>
        <w:rPr>
          <w:rFonts w:ascii="Arial" w:hAnsi="Arial" w:cs="Arial"/>
        </w:rPr>
      </w:pPr>
    </w:p>
    <w:p w:rsidR="000041E0" w:rsidRDefault="000041E0" w:rsidP="00FD1A62">
      <w:pPr>
        <w:spacing w:after="120"/>
        <w:jc w:val="both"/>
        <w:rPr>
          <w:rFonts w:ascii="Arial" w:hAnsi="Arial" w:cs="Arial"/>
        </w:rPr>
      </w:pPr>
      <w:r>
        <w:rPr>
          <w:rFonts w:ascii="Arial" w:hAnsi="Arial" w:cs="Arial"/>
        </w:rPr>
        <w:t>P_IMD</w:t>
      </w:r>
      <w:r w:rsidRPr="000041E0">
        <w:rPr>
          <w:rFonts w:ascii="Arial" w:hAnsi="Arial" w:cs="Arial"/>
          <w:vertAlign w:val="subscript"/>
        </w:rPr>
        <w:t>min</w:t>
      </w:r>
      <w:r>
        <w:rPr>
          <w:rFonts w:ascii="Arial" w:hAnsi="Arial" w:cs="Arial"/>
        </w:rPr>
        <w:t xml:space="preserve"> = -177 dBm/Hz + 10</w:t>
      </w:r>
      <w:r w:rsidR="00B173A6">
        <w:rPr>
          <w:rFonts w:ascii="Arial" w:hAnsi="Arial" w:cs="Arial"/>
        </w:rPr>
        <w:t>*</w:t>
      </w:r>
      <w:r>
        <w:rPr>
          <w:rFonts w:ascii="Arial" w:hAnsi="Arial" w:cs="Arial"/>
        </w:rPr>
        <w:t>log(5 MHz) = -110 dBm</w:t>
      </w:r>
    </w:p>
    <w:p w:rsidR="000041E0" w:rsidRDefault="000041E0" w:rsidP="00992260">
      <w:pPr>
        <w:spacing w:after="0"/>
        <w:jc w:val="both"/>
        <w:rPr>
          <w:rFonts w:ascii="Arial" w:hAnsi="Arial" w:cs="Arial"/>
        </w:rPr>
      </w:pPr>
    </w:p>
    <w:p w:rsidR="000041E0" w:rsidRPr="000041E0" w:rsidRDefault="000041E0" w:rsidP="00FD1A62">
      <w:pPr>
        <w:spacing w:after="120"/>
        <w:jc w:val="both"/>
        <w:rPr>
          <w:rFonts w:ascii="Arial" w:hAnsi="Arial" w:cs="Arial"/>
        </w:rPr>
      </w:pPr>
      <w:r>
        <w:rPr>
          <w:rFonts w:ascii="Arial" w:hAnsi="Arial" w:cs="Arial"/>
        </w:rPr>
        <w:t>where 5 MHz is the minimum IMD bandwidth from all inter-band CA combinations.</w:t>
      </w:r>
    </w:p>
    <w:p w:rsidR="000041E0" w:rsidRDefault="000041E0" w:rsidP="00FD1A62">
      <w:pPr>
        <w:spacing w:after="120"/>
        <w:jc w:val="both"/>
        <w:rPr>
          <w:rFonts w:ascii="Arial" w:hAnsi="Arial" w:cs="Arial"/>
        </w:rPr>
      </w:pPr>
    </w:p>
    <w:p w:rsidR="000041E0" w:rsidRDefault="000041E0" w:rsidP="000041E0">
      <w:pPr>
        <w:spacing w:after="120"/>
        <w:jc w:val="center"/>
        <w:rPr>
          <w:rFonts w:ascii="Arial" w:hAnsi="Arial" w:cs="Arial"/>
        </w:rPr>
      </w:pPr>
      <w:r w:rsidRPr="000041E0">
        <w:rPr>
          <w:rFonts w:ascii="Arial" w:hAnsi="Arial" w:cs="Arial"/>
          <w:noProof/>
          <w:lang w:val="en-US" w:eastAsia="zh-CN"/>
        </w:rPr>
        <w:lastRenderedPageBreak/>
        <w:drawing>
          <wp:inline distT="0" distB="0" distL="0" distR="0">
            <wp:extent cx="4572000" cy="2743200"/>
            <wp:effectExtent l="19050" t="0" r="1905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30415" w:rsidRDefault="00A30415" w:rsidP="00705A69">
      <w:pPr>
        <w:spacing w:after="0"/>
        <w:jc w:val="center"/>
        <w:rPr>
          <w:rFonts w:ascii="Arial" w:hAnsi="Arial" w:cs="Arial"/>
        </w:rPr>
      </w:pPr>
    </w:p>
    <w:p w:rsidR="000854BB" w:rsidRPr="00992260" w:rsidRDefault="000041E0" w:rsidP="00992260">
      <w:pPr>
        <w:spacing w:after="120"/>
        <w:jc w:val="center"/>
        <w:rPr>
          <w:rFonts w:ascii="Arial" w:hAnsi="Arial" w:cs="Arial"/>
          <w:b/>
        </w:rPr>
      </w:pPr>
      <w:r>
        <w:rPr>
          <w:rFonts w:ascii="Arial" w:hAnsi="Arial" w:cs="Arial"/>
          <w:b/>
        </w:rPr>
        <w:t>Figure 2.2-1</w:t>
      </w:r>
      <w:r w:rsidR="00D556F6">
        <w:rPr>
          <w:rFonts w:ascii="Arial" w:hAnsi="Arial" w:cs="Arial"/>
          <w:b/>
        </w:rPr>
        <w:t xml:space="preserve"> </w:t>
      </w:r>
      <w:r>
        <w:rPr>
          <w:rFonts w:ascii="Arial" w:hAnsi="Arial" w:cs="Arial"/>
          <w:b/>
        </w:rPr>
        <w:t>Rx desensitization level caused by interference noise density at -177 dBm/Hz</w:t>
      </w:r>
      <w:r w:rsidR="00D556F6">
        <w:rPr>
          <w:rFonts w:ascii="Arial" w:hAnsi="Arial" w:cs="Arial"/>
          <w:b/>
        </w:rPr>
        <w:t xml:space="preserve"> </w:t>
      </w:r>
    </w:p>
    <w:p w:rsidR="00F43368" w:rsidRDefault="00F43368" w:rsidP="00992260">
      <w:pPr>
        <w:spacing w:after="0"/>
        <w:jc w:val="both"/>
        <w:rPr>
          <w:rFonts w:ascii="Arial" w:hAnsi="Arial" w:cs="Arial"/>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0041E0" w:rsidRDefault="00F14520" w:rsidP="00FD1A62">
      <w:pPr>
        <w:spacing w:after="120"/>
        <w:jc w:val="both"/>
        <w:rPr>
          <w:rFonts w:ascii="Arial" w:hAnsi="Arial" w:cs="Arial"/>
          <w:lang w:eastAsia="ja-JP"/>
        </w:rPr>
      </w:pPr>
      <w:r>
        <w:rPr>
          <w:rFonts w:ascii="Arial" w:hAnsi="Arial" w:cs="Arial"/>
          <w:lang w:eastAsia="ja-JP"/>
        </w:rPr>
        <w:t xml:space="preserve">In this paper, </w:t>
      </w:r>
      <w:r w:rsidR="000041E0">
        <w:rPr>
          <w:rFonts w:ascii="Arial" w:hAnsi="Arial" w:cs="Arial"/>
          <w:lang w:eastAsia="ja-JP"/>
        </w:rPr>
        <w:t>we provide our view on UE self-desensitization analysis and suggest the following two proposals for approval in RAN4,</w:t>
      </w:r>
    </w:p>
    <w:p w:rsidR="000041E0" w:rsidRDefault="000041E0" w:rsidP="00FD1A62">
      <w:pPr>
        <w:spacing w:after="120"/>
        <w:jc w:val="both"/>
        <w:rPr>
          <w:rFonts w:ascii="Arial" w:hAnsi="Arial" w:cs="Arial"/>
          <w:lang w:eastAsia="ja-JP"/>
        </w:rPr>
      </w:pPr>
    </w:p>
    <w:p w:rsidR="000041E0" w:rsidRPr="000041E0" w:rsidRDefault="000041E0" w:rsidP="00FD1A62">
      <w:pPr>
        <w:spacing w:after="120"/>
        <w:jc w:val="both"/>
        <w:rPr>
          <w:rFonts w:ascii="Arial" w:hAnsi="Arial" w:cs="Arial"/>
          <w:b/>
          <w:i/>
          <w:lang w:eastAsia="ja-JP"/>
        </w:rPr>
      </w:pPr>
      <w:r w:rsidRPr="000041E0">
        <w:rPr>
          <w:rFonts w:ascii="Arial" w:hAnsi="Arial" w:cs="Arial"/>
          <w:b/>
          <w:i/>
          <w:lang w:eastAsia="ja-JP"/>
        </w:rPr>
        <w:t>Proposal 1: RAN4 shall clearly define UE self-desensitization interference level to avoid ambiguity in deriving reference sensitivity and MPR associated specifications.</w:t>
      </w:r>
    </w:p>
    <w:p w:rsidR="000041E0" w:rsidRDefault="000041E0" w:rsidP="009E29C2">
      <w:pPr>
        <w:spacing w:after="0"/>
        <w:jc w:val="both"/>
        <w:rPr>
          <w:rFonts w:ascii="Arial" w:hAnsi="Arial" w:cs="Arial"/>
          <w:lang w:eastAsia="ja-JP"/>
        </w:rPr>
      </w:pPr>
    </w:p>
    <w:p w:rsidR="000041E0" w:rsidRPr="000041E0" w:rsidRDefault="000041E0" w:rsidP="00FD1A62">
      <w:pPr>
        <w:spacing w:after="120"/>
        <w:jc w:val="both"/>
        <w:rPr>
          <w:rFonts w:ascii="Arial" w:hAnsi="Arial" w:cs="Arial"/>
          <w:b/>
          <w:i/>
          <w:lang w:eastAsia="ja-JP"/>
        </w:rPr>
      </w:pPr>
      <w:r w:rsidRPr="000041E0">
        <w:rPr>
          <w:rFonts w:ascii="Arial" w:hAnsi="Arial" w:cs="Arial"/>
          <w:b/>
          <w:i/>
          <w:lang w:eastAsia="ja-JP"/>
        </w:rPr>
        <w:t>Proposal 2: UE self-desensitization interference noise density requirement is defined at -177 dBm/Hz.</w:t>
      </w:r>
    </w:p>
    <w:p w:rsidR="00657E86" w:rsidRDefault="00574E78" w:rsidP="00992260">
      <w:pPr>
        <w:spacing w:after="0"/>
        <w:jc w:val="both"/>
        <w:rPr>
          <w:rFonts w:ascii="Arial" w:hAnsi="Arial" w:cs="Arial"/>
          <w:lang w:eastAsia="ja-JP"/>
        </w:rPr>
      </w:pPr>
      <w:r>
        <w:rPr>
          <w:rFonts w:ascii="Arial" w:hAnsi="Arial" w:cs="Arial"/>
          <w:lang w:eastAsia="ja-JP"/>
        </w:rPr>
        <w:t xml:space="preserve"> </w:t>
      </w:r>
    </w:p>
    <w:p w:rsidR="009C5363" w:rsidRPr="007408EB" w:rsidRDefault="009C5363" w:rsidP="009C5363">
      <w:pPr>
        <w:pStyle w:val="Heading2"/>
        <w:rPr>
          <w:rFonts w:cs="Arial"/>
        </w:rPr>
      </w:pPr>
      <w:r w:rsidRPr="007408EB">
        <w:rPr>
          <w:rFonts w:cs="Arial"/>
        </w:rPr>
        <w:t>4</w:t>
      </w:r>
      <w:r w:rsidRPr="007408EB">
        <w:rPr>
          <w:rFonts w:cs="Arial"/>
        </w:rPr>
        <w:tab/>
        <w:t>References</w:t>
      </w:r>
    </w:p>
    <w:p w:rsidR="00E84D30" w:rsidRDefault="000041E0" w:rsidP="009C5363">
      <w:pPr>
        <w:pStyle w:val="B1"/>
        <w:numPr>
          <w:ilvl w:val="0"/>
          <w:numId w:val="1"/>
        </w:numPr>
        <w:jc w:val="both"/>
        <w:rPr>
          <w:rFonts w:ascii="Arial" w:hAnsi="Arial" w:cs="Arial"/>
          <w:lang w:eastAsia="ja-JP"/>
        </w:rPr>
      </w:pPr>
      <w:r w:rsidRPr="000041E0">
        <w:rPr>
          <w:rFonts w:ascii="Arial" w:hAnsi="Arial" w:cs="Arial"/>
          <w:lang w:eastAsia="ja-JP"/>
        </w:rPr>
        <w:t>3GPP TR 36.823 V11.0.0 (2013-03)</w:t>
      </w:r>
    </w:p>
    <w:p w:rsidR="00E84D30" w:rsidRDefault="000041E0" w:rsidP="009C5363">
      <w:pPr>
        <w:pStyle w:val="B1"/>
        <w:numPr>
          <w:ilvl w:val="0"/>
          <w:numId w:val="1"/>
        </w:numPr>
        <w:jc w:val="both"/>
        <w:rPr>
          <w:rFonts w:ascii="Arial" w:hAnsi="Arial" w:cs="Arial"/>
          <w:lang w:eastAsia="ja-JP"/>
        </w:rPr>
      </w:pPr>
      <w:r w:rsidRPr="000041E0">
        <w:rPr>
          <w:rFonts w:ascii="Arial" w:hAnsi="Arial" w:cs="Arial"/>
          <w:lang w:eastAsia="ja-JP"/>
        </w:rPr>
        <w:t>3GPP TR 36.850 V11.1.0 (2013-07)</w:t>
      </w:r>
    </w:p>
    <w:p w:rsidR="007A2916" w:rsidRDefault="000041E0" w:rsidP="009C5363">
      <w:pPr>
        <w:pStyle w:val="B1"/>
        <w:numPr>
          <w:ilvl w:val="0"/>
          <w:numId w:val="1"/>
        </w:numPr>
        <w:jc w:val="both"/>
        <w:rPr>
          <w:rFonts w:ascii="Arial" w:hAnsi="Arial" w:cs="Arial"/>
          <w:lang w:eastAsia="ja-JP"/>
        </w:rPr>
      </w:pPr>
      <w:r w:rsidRPr="000041E0">
        <w:rPr>
          <w:rFonts w:ascii="Arial" w:hAnsi="Arial" w:cs="Arial"/>
          <w:lang w:eastAsia="ja-JP"/>
        </w:rPr>
        <w:t>R4-133666</w:t>
      </w:r>
      <w:r w:rsidR="007A2916">
        <w:rPr>
          <w:rFonts w:ascii="Arial" w:hAnsi="Arial" w:cs="Arial"/>
          <w:lang w:eastAsia="ja-JP"/>
        </w:rPr>
        <w:t>, “</w:t>
      </w:r>
      <w:r w:rsidRPr="000041E0">
        <w:rPr>
          <w:rFonts w:ascii="Arial" w:hAnsi="Arial" w:cs="Arial"/>
          <w:lang w:eastAsia="ja-JP"/>
        </w:rPr>
        <w:t>Dual Uplink Interband CA: A4 scope and conflicts with GNSS and ISM frequencies</w:t>
      </w:r>
      <w:r w:rsidR="007A2916">
        <w:rPr>
          <w:rFonts w:ascii="Arial" w:hAnsi="Arial" w:cs="Arial"/>
          <w:lang w:eastAsia="ja-JP"/>
        </w:rPr>
        <w:t xml:space="preserve">” </w:t>
      </w:r>
      <w:r>
        <w:rPr>
          <w:rFonts w:ascii="Arial" w:hAnsi="Arial" w:cs="Arial"/>
          <w:lang w:eastAsia="ja-JP"/>
        </w:rPr>
        <w:t>Nokia Corporation</w:t>
      </w:r>
      <w:r w:rsidR="007A2916">
        <w:rPr>
          <w:rFonts w:ascii="Arial" w:hAnsi="Arial" w:cs="Arial"/>
          <w:lang w:eastAsia="ja-JP"/>
        </w:rPr>
        <w:t xml:space="preserve">, </w:t>
      </w:r>
      <w:r w:rsidR="007A2916" w:rsidRPr="0095765D">
        <w:rPr>
          <w:rFonts w:ascii="Arial" w:hAnsi="Arial" w:cs="Arial"/>
          <w:lang w:eastAsia="ja-JP"/>
        </w:rPr>
        <w:t xml:space="preserve">TSG-RAN WG4 Meeting </w:t>
      </w:r>
      <w:r w:rsidR="007A2916">
        <w:rPr>
          <w:rFonts w:ascii="Arial" w:hAnsi="Arial" w:cs="Arial"/>
          <w:lang w:eastAsia="ja-JP"/>
        </w:rPr>
        <w:t>#6</w:t>
      </w:r>
      <w:r>
        <w:rPr>
          <w:rFonts w:ascii="Arial" w:hAnsi="Arial" w:cs="Arial"/>
          <w:lang w:eastAsia="ja-JP"/>
        </w:rPr>
        <w:t>8</w:t>
      </w:r>
      <w:r w:rsidR="007A2916">
        <w:rPr>
          <w:rFonts w:ascii="Arial" w:hAnsi="Arial" w:cs="Arial"/>
          <w:lang w:eastAsia="ja-JP"/>
        </w:rPr>
        <w:t xml:space="preserve">, </w:t>
      </w:r>
      <w:r>
        <w:rPr>
          <w:rFonts w:ascii="Arial" w:hAnsi="Arial" w:cs="Arial"/>
          <w:lang w:eastAsia="ja-JP"/>
        </w:rPr>
        <w:t>Barcelona</w:t>
      </w:r>
      <w:r w:rsidR="007A2916">
        <w:rPr>
          <w:rFonts w:ascii="Arial" w:hAnsi="Arial" w:cs="Arial"/>
          <w:lang w:eastAsia="ja-JP"/>
        </w:rPr>
        <w:t xml:space="preserve">, </w:t>
      </w:r>
      <w:r>
        <w:rPr>
          <w:rFonts w:ascii="Arial" w:hAnsi="Arial" w:cs="Arial"/>
          <w:lang w:eastAsia="ja-JP"/>
        </w:rPr>
        <w:t>Spain</w:t>
      </w:r>
      <w:r w:rsidR="007A2916">
        <w:rPr>
          <w:rFonts w:ascii="Arial" w:hAnsi="Arial" w:cs="Arial"/>
          <w:lang w:eastAsia="ja-JP"/>
        </w:rPr>
        <w:t xml:space="preserve">, </w:t>
      </w:r>
      <w:r>
        <w:rPr>
          <w:rFonts w:ascii="Arial" w:hAnsi="Arial" w:cs="Arial"/>
          <w:lang w:eastAsia="ja-JP"/>
        </w:rPr>
        <w:t>August</w:t>
      </w:r>
      <w:r w:rsidR="007A2916">
        <w:rPr>
          <w:rFonts w:ascii="Arial" w:hAnsi="Arial" w:cs="Arial"/>
          <w:lang w:eastAsia="ja-JP"/>
        </w:rPr>
        <w:t xml:space="preserve"> 1</w:t>
      </w:r>
      <w:r>
        <w:rPr>
          <w:rFonts w:ascii="Arial" w:hAnsi="Arial" w:cs="Arial"/>
          <w:lang w:eastAsia="ja-JP"/>
        </w:rPr>
        <w:t>9</w:t>
      </w:r>
      <w:r w:rsidR="007A2916" w:rsidRPr="0095765D">
        <w:rPr>
          <w:rFonts w:ascii="Arial" w:hAnsi="Arial" w:cs="Arial"/>
          <w:vertAlign w:val="superscript"/>
          <w:lang w:eastAsia="ja-JP"/>
        </w:rPr>
        <w:t>th</w:t>
      </w:r>
      <w:r w:rsidR="007A2916">
        <w:rPr>
          <w:rFonts w:ascii="Arial" w:hAnsi="Arial" w:cs="Arial"/>
          <w:lang w:eastAsia="ja-JP"/>
        </w:rPr>
        <w:t xml:space="preserve"> – </w:t>
      </w:r>
      <w:r>
        <w:rPr>
          <w:rFonts w:ascii="Arial" w:hAnsi="Arial" w:cs="Arial"/>
          <w:lang w:eastAsia="ja-JP"/>
        </w:rPr>
        <w:t>23</w:t>
      </w:r>
      <w:r w:rsidRPr="000041E0">
        <w:rPr>
          <w:rFonts w:ascii="Arial" w:hAnsi="Arial" w:cs="Arial"/>
          <w:vertAlign w:val="superscript"/>
          <w:lang w:eastAsia="ja-JP"/>
        </w:rPr>
        <w:t>rd</w:t>
      </w:r>
      <w:r w:rsidR="007A2916" w:rsidRPr="0095765D">
        <w:rPr>
          <w:rFonts w:ascii="Arial" w:hAnsi="Arial" w:cs="Arial"/>
          <w:lang w:eastAsia="ja-JP"/>
        </w:rPr>
        <w:t>, 2013</w:t>
      </w:r>
    </w:p>
    <w:p w:rsidR="009F1646" w:rsidRDefault="000041E0" w:rsidP="009C5363">
      <w:pPr>
        <w:pStyle w:val="B1"/>
        <w:numPr>
          <w:ilvl w:val="0"/>
          <w:numId w:val="1"/>
        </w:numPr>
        <w:jc w:val="both"/>
        <w:rPr>
          <w:rFonts w:ascii="Arial" w:hAnsi="Arial" w:cs="Arial"/>
          <w:lang w:eastAsia="ja-JP"/>
        </w:rPr>
      </w:pPr>
      <w:r w:rsidRPr="000041E0">
        <w:rPr>
          <w:rFonts w:ascii="Arial" w:hAnsi="Arial" w:cs="Arial"/>
          <w:lang w:eastAsia="ja-JP"/>
        </w:rPr>
        <w:t>R4-134090</w:t>
      </w:r>
      <w:r w:rsidR="0088702C">
        <w:rPr>
          <w:rFonts w:ascii="Arial" w:hAnsi="Arial" w:cs="Arial"/>
          <w:lang w:eastAsia="ja-JP"/>
        </w:rPr>
        <w:t>, “</w:t>
      </w:r>
      <w:r w:rsidRPr="000041E0">
        <w:rPr>
          <w:rFonts w:ascii="Arial" w:hAnsi="Arial" w:cs="Arial"/>
          <w:lang w:eastAsia="ja-JP"/>
        </w:rPr>
        <w:t>2UL inter-band CA intermodulation products</w:t>
      </w:r>
      <w:r w:rsidR="0088702C">
        <w:rPr>
          <w:rFonts w:ascii="Arial" w:hAnsi="Arial" w:cs="Arial"/>
          <w:lang w:eastAsia="ja-JP"/>
        </w:rPr>
        <w:t xml:space="preserve">”, </w:t>
      </w:r>
      <w:r w:rsidRPr="000041E0">
        <w:rPr>
          <w:rFonts w:ascii="Arial" w:hAnsi="Arial" w:cs="Arial"/>
          <w:lang w:eastAsia="ja-JP"/>
        </w:rPr>
        <w:t>Qualcomm Incorporated</w:t>
      </w:r>
      <w:r w:rsidR="0088702C">
        <w:rPr>
          <w:rFonts w:ascii="Arial" w:hAnsi="Arial" w:cs="Arial"/>
          <w:lang w:eastAsia="ja-JP"/>
        </w:rPr>
        <w:t xml:space="preserve">, </w:t>
      </w:r>
      <w:r w:rsidRPr="000041E0">
        <w:rPr>
          <w:rFonts w:ascii="Arial" w:hAnsi="Arial" w:cs="Arial"/>
          <w:lang w:eastAsia="ja-JP"/>
        </w:rPr>
        <w:t>TSG-RAN WG4 Meeting #68, Barcelona, Spain, August 19th – 23</w:t>
      </w:r>
      <w:r w:rsidRPr="000041E0">
        <w:rPr>
          <w:rFonts w:ascii="Arial" w:hAnsi="Arial" w:cs="Arial"/>
          <w:vertAlign w:val="superscript"/>
          <w:lang w:eastAsia="ja-JP"/>
        </w:rPr>
        <w:t>rd</w:t>
      </w:r>
      <w:r w:rsidRPr="000041E0">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2"/>
  </w:num>
  <w:num w:numId="3">
    <w:abstractNumId w:val="11"/>
  </w:num>
  <w:num w:numId="4">
    <w:abstractNumId w:val="14"/>
  </w:num>
  <w:num w:numId="5">
    <w:abstractNumId w:val="9"/>
  </w:num>
  <w:num w:numId="6">
    <w:abstractNumId w:val="20"/>
  </w:num>
  <w:num w:numId="7">
    <w:abstractNumId w:val="15"/>
  </w:num>
  <w:num w:numId="8">
    <w:abstractNumId w:val="2"/>
  </w:num>
  <w:num w:numId="9">
    <w:abstractNumId w:val="7"/>
  </w:num>
  <w:num w:numId="10">
    <w:abstractNumId w:val="17"/>
  </w:num>
  <w:num w:numId="11">
    <w:abstractNumId w:val="18"/>
  </w:num>
  <w:num w:numId="12">
    <w:abstractNumId w:val="4"/>
  </w:num>
  <w:num w:numId="13">
    <w:abstractNumId w:val="19"/>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21"/>
  </w:num>
  <w:num w:numId="22">
    <w:abstractNumId w:val="13"/>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4300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1E0"/>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3EF3"/>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6FE"/>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7DD8"/>
    <w:rsid w:val="00150373"/>
    <w:rsid w:val="001523A7"/>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A72"/>
    <w:rsid w:val="00231B01"/>
    <w:rsid w:val="00231F59"/>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4F69"/>
    <w:rsid w:val="002F6223"/>
    <w:rsid w:val="002F6F01"/>
    <w:rsid w:val="002F7E40"/>
    <w:rsid w:val="003000F7"/>
    <w:rsid w:val="00300F9C"/>
    <w:rsid w:val="00301C2F"/>
    <w:rsid w:val="00302BD3"/>
    <w:rsid w:val="0030390D"/>
    <w:rsid w:val="003047B2"/>
    <w:rsid w:val="0030497B"/>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39B"/>
    <w:rsid w:val="003824E5"/>
    <w:rsid w:val="0038318B"/>
    <w:rsid w:val="00384024"/>
    <w:rsid w:val="00385200"/>
    <w:rsid w:val="003862D8"/>
    <w:rsid w:val="00387FD1"/>
    <w:rsid w:val="00390926"/>
    <w:rsid w:val="003914A1"/>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3FB2"/>
    <w:rsid w:val="005748F2"/>
    <w:rsid w:val="00574E78"/>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1796"/>
    <w:rsid w:val="00652F72"/>
    <w:rsid w:val="0065329C"/>
    <w:rsid w:val="006533BF"/>
    <w:rsid w:val="0065426E"/>
    <w:rsid w:val="00655F3E"/>
    <w:rsid w:val="00656755"/>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BBB"/>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7C6"/>
    <w:rsid w:val="0089311C"/>
    <w:rsid w:val="00893E1D"/>
    <w:rsid w:val="00894154"/>
    <w:rsid w:val="00895B37"/>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C7FE0"/>
    <w:rsid w:val="008D04A4"/>
    <w:rsid w:val="008D19A4"/>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3A6"/>
    <w:rsid w:val="00B179BB"/>
    <w:rsid w:val="00B17C9F"/>
    <w:rsid w:val="00B17FB6"/>
    <w:rsid w:val="00B200C2"/>
    <w:rsid w:val="00B20275"/>
    <w:rsid w:val="00B21D27"/>
    <w:rsid w:val="00B22843"/>
    <w:rsid w:val="00B23429"/>
    <w:rsid w:val="00B2444C"/>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35BC"/>
    <w:rsid w:val="00B9439F"/>
    <w:rsid w:val="00B9440C"/>
    <w:rsid w:val="00B945EF"/>
    <w:rsid w:val="00B95024"/>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221"/>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53A"/>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tx>
            <c:v>NF = 2 dB</c:v>
          </c:tx>
          <c:spPr>
            <a:ln w="19050"/>
          </c:spPr>
          <c:marker>
            <c:symbol val="none"/>
          </c:marker>
          <c:xVal>
            <c:numRef>
              <c:f>Sheet1!$A$3:$A$23</c:f>
              <c:numCache>
                <c:formatCode>General</c:formatCode>
                <c:ptCount val="21"/>
                <c:pt idx="0">
                  <c:v>-180</c:v>
                </c:pt>
                <c:pt idx="1">
                  <c:v>-179</c:v>
                </c:pt>
                <c:pt idx="2">
                  <c:v>-178</c:v>
                </c:pt>
                <c:pt idx="3">
                  <c:v>-177</c:v>
                </c:pt>
                <c:pt idx="4">
                  <c:v>-176</c:v>
                </c:pt>
                <c:pt idx="5">
                  <c:v>-175</c:v>
                </c:pt>
                <c:pt idx="6">
                  <c:v>-174</c:v>
                </c:pt>
                <c:pt idx="7">
                  <c:v>-173</c:v>
                </c:pt>
                <c:pt idx="8">
                  <c:v>-172</c:v>
                </c:pt>
                <c:pt idx="9">
                  <c:v>-171</c:v>
                </c:pt>
                <c:pt idx="10">
                  <c:v>-170</c:v>
                </c:pt>
                <c:pt idx="11">
                  <c:v>-169</c:v>
                </c:pt>
                <c:pt idx="12">
                  <c:v>-168</c:v>
                </c:pt>
                <c:pt idx="13">
                  <c:v>-167</c:v>
                </c:pt>
                <c:pt idx="14">
                  <c:v>-166</c:v>
                </c:pt>
                <c:pt idx="15">
                  <c:v>-165</c:v>
                </c:pt>
                <c:pt idx="16">
                  <c:v>-164</c:v>
                </c:pt>
                <c:pt idx="17">
                  <c:v>-163</c:v>
                </c:pt>
                <c:pt idx="18">
                  <c:v>-162</c:v>
                </c:pt>
                <c:pt idx="19">
                  <c:v>-161</c:v>
                </c:pt>
                <c:pt idx="20">
                  <c:v>-160</c:v>
                </c:pt>
              </c:numCache>
            </c:numRef>
          </c:xVal>
          <c:yVal>
            <c:numRef>
              <c:f>Sheet1!$B$3:$B$23</c:f>
              <c:numCache>
                <c:formatCode>0.00</c:formatCode>
                <c:ptCount val="21"/>
                <c:pt idx="0">
                  <c:v>0.63892034143378895</c:v>
                </c:pt>
                <c:pt idx="1">
                  <c:v>0.79009749652567574</c:v>
                </c:pt>
                <c:pt idx="2">
                  <c:v>0.97322793708696043</c:v>
                </c:pt>
                <c:pt idx="3">
                  <c:v>1.1933104806609549</c:v>
                </c:pt>
                <c:pt idx="4">
                  <c:v>1.4554046310929314</c:v>
                </c:pt>
                <c:pt idx="5">
                  <c:v>1.7643486243648574</c:v>
                </c:pt>
                <c:pt idx="6">
                  <c:v>2.1244260279434002</c:v>
                </c:pt>
                <c:pt idx="7">
                  <c:v>2.5390189104386685</c:v>
                </c:pt>
                <c:pt idx="8">
                  <c:v>3.0102999566398125</c:v>
                </c:pt>
                <c:pt idx="9">
                  <c:v>3.53901891043864</c:v>
                </c:pt>
                <c:pt idx="10">
                  <c:v>4.1244260279433957</c:v>
                </c:pt>
                <c:pt idx="11">
                  <c:v>4.7643486243648594</c:v>
                </c:pt>
                <c:pt idx="12">
                  <c:v>5.4554046310929012</c:v>
                </c:pt>
                <c:pt idx="13">
                  <c:v>6.1933104806609549</c:v>
                </c:pt>
                <c:pt idx="14">
                  <c:v>6.9732279370869321</c:v>
                </c:pt>
                <c:pt idx="15">
                  <c:v>7.7900974965256182</c:v>
                </c:pt>
                <c:pt idx="16">
                  <c:v>8.6389203414337778</c:v>
                </c:pt>
                <c:pt idx="17">
                  <c:v>9.5149694202522657</c:v>
                </c:pt>
                <c:pt idx="18">
                  <c:v>10.413926851582268</c:v>
                </c:pt>
                <c:pt idx="19">
                  <c:v>11.331956199884253</c:v>
                </c:pt>
                <c:pt idx="20">
                  <c:v>12.265723755961034</c:v>
                </c:pt>
              </c:numCache>
            </c:numRef>
          </c:yVal>
          <c:smooth val="1"/>
        </c:ser>
        <c:ser>
          <c:idx val="1"/>
          <c:order val="1"/>
          <c:tx>
            <c:v>NF = 4 dB</c:v>
          </c:tx>
          <c:spPr>
            <a:ln w="19050"/>
          </c:spPr>
          <c:marker>
            <c:symbol val="none"/>
          </c:marker>
          <c:xVal>
            <c:numRef>
              <c:f>Sheet1!$A$3:$A$23</c:f>
              <c:numCache>
                <c:formatCode>General</c:formatCode>
                <c:ptCount val="21"/>
                <c:pt idx="0">
                  <c:v>-180</c:v>
                </c:pt>
                <c:pt idx="1">
                  <c:v>-179</c:v>
                </c:pt>
                <c:pt idx="2">
                  <c:v>-178</c:v>
                </c:pt>
                <c:pt idx="3">
                  <c:v>-177</c:v>
                </c:pt>
                <c:pt idx="4">
                  <c:v>-176</c:v>
                </c:pt>
                <c:pt idx="5">
                  <c:v>-175</c:v>
                </c:pt>
                <c:pt idx="6">
                  <c:v>-174</c:v>
                </c:pt>
                <c:pt idx="7">
                  <c:v>-173</c:v>
                </c:pt>
                <c:pt idx="8">
                  <c:v>-172</c:v>
                </c:pt>
                <c:pt idx="9">
                  <c:v>-171</c:v>
                </c:pt>
                <c:pt idx="10">
                  <c:v>-170</c:v>
                </c:pt>
                <c:pt idx="11">
                  <c:v>-169</c:v>
                </c:pt>
                <c:pt idx="12">
                  <c:v>-168</c:v>
                </c:pt>
                <c:pt idx="13">
                  <c:v>-167</c:v>
                </c:pt>
                <c:pt idx="14">
                  <c:v>-166</c:v>
                </c:pt>
                <c:pt idx="15">
                  <c:v>-165</c:v>
                </c:pt>
                <c:pt idx="16">
                  <c:v>-164</c:v>
                </c:pt>
                <c:pt idx="17">
                  <c:v>-163</c:v>
                </c:pt>
                <c:pt idx="18">
                  <c:v>-162</c:v>
                </c:pt>
                <c:pt idx="19">
                  <c:v>-161</c:v>
                </c:pt>
                <c:pt idx="20">
                  <c:v>-160</c:v>
                </c:pt>
              </c:numCache>
            </c:numRef>
          </c:xVal>
          <c:yVal>
            <c:numRef>
              <c:f>Sheet1!$C$3:$C$23</c:f>
              <c:numCache>
                <c:formatCode>0.00</c:formatCode>
                <c:ptCount val="21"/>
                <c:pt idx="0">
                  <c:v>0.41392685158226106</c:v>
                </c:pt>
                <c:pt idx="1">
                  <c:v>0.5149694202523275</c:v>
                </c:pt>
                <c:pt idx="2">
                  <c:v>0.63892034143378895</c:v>
                </c:pt>
                <c:pt idx="3">
                  <c:v>0.79009749652567574</c:v>
                </c:pt>
                <c:pt idx="4">
                  <c:v>0.97322793708696043</c:v>
                </c:pt>
                <c:pt idx="5">
                  <c:v>1.1933104806609549</c:v>
                </c:pt>
                <c:pt idx="6">
                  <c:v>1.4554046310929596</c:v>
                </c:pt>
                <c:pt idx="7">
                  <c:v>1.7643486243648285</c:v>
                </c:pt>
                <c:pt idx="8">
                  <c:v>2.1244260279434002</c:v>
                </c:pt>
                <c:pt idx="9">
                  <c:v>2.5390189104386685</c:v>
                </c:pt>
                <c:pt idx="10">
                  <c:v>3.0102999566398125</c:v>
                </c:pt>
                <c:pt idx="11">
                  <c:v>3.5390189104386969</c:v>
                </c:pt>
                <c:pt idx="12">
                  <c:v>4.1244260279433957</c:v>
                </c:pt>
                <c:pt idx="13">
                  <c:v>4.7643486243648594</c:v>
                </c:pt>
                <c:pt idx="14">
                  <c:v>5.4554046310929012</c:v>
                </c:pt>
                <c:pt idx="15">
                  <c:v>6.1933104806609549</c:v>
                </c:pt>
                <c:pt idx="16">
                  <c:v>6.9732279370869614</c:v>
                </c:pt>
                <c:pt idx="17">
                  <c:v>7.7900974965256182</c:v>
                </c:pt>
                <c:pt idx="18">
                  <c:v>8.6389203414337778</c:v>
                </c:pt>
                <c:pt idx="19">
                  <c:v>9.5149694202522657</c:v>
                </c:pt>
                <c:pt idx="20">
                  <c:v>10.413926851582268</c:v>
                </c:pt>
              </c:numCache>
            </c:numRef>
          </c:yVal>
          <c:smooth val="1"/>
        </c:ser>
        <c:ser>
          <c:idx val="2"/>
          <c:order val="2"/>
          <c:tx>
            <c:v>NF = 6 dB</c:v>
          </c:tx>
          <c:spPr>
            <a:ln w="19050"/>
          </c:spPr>
          <c:marker>
            <c:symbol val="none"/>
          </c:marker>
          <c:xVal>
            <c:numRef>
              <c:f>Sheet1!$A$3:$A$23</c:f>
              <c:numCache>
                <c:formatCode>General</c:formatCode>
                <c:ptCount val="21"/>
                <c:pt idx="0">
                  <c:v>-180</c:v>
                </c:pt>
                <c:pt idx="1">
                  <c:v>-179</c:v>
                </c:pt>
                <c:pt idx="2">
                  <c:v>-178</c:v>
                </c:pt>
                <c:pt idx="3">
                  <c:v>-177</c:v>
                </c:pt>
                <c:pt idx="4">
                  <c:v>-176</c:v>
                </c:pt>
                <c:pt idx="5">
                  <c:v>-175</c:v>
                </c:pt>
                <c:pt idx="6">
                  <c:v>-174</c:v>
                </c:pt>
                <c:pt idx="7">
                  <c:v>-173</c:v>
                </c:pt>
                <c:pt idx="8">
                  <c:v>-172</c:v>
                </c:pt>
                <c:pt idx="9">
                  <c:v>-171</c:v>
                </c:pt>
                <c:pt idx="10">
                  <c:v>-170</c:v>
                </c:pt>
                <c:pt idx="11">
                  <c:v>-169</c:v>
                </c:pt>
                <c:pt idx="12">
                  <c:v>-168</c:v>
                </c:pt>
                <c:pt idx="13">
                  <c:v>-167</c:v>
                </c:pt>
                <c:pt idx="14">
                  <c:v>-166</c:v>
                </c:pt>
                <c:pt idx="15">
                  <c:v>-165</c:v>
                </c:pt>
                <c:pt idx="16">
                  <c:v>-164</c:v>
                </c:pt>
                <c:pt idx="17">
                  <c:v>-163</c:v>
                </c:pt>
                <c:pt idx="18">
                  <c:v>-162</c:v>
                </c:pt>
                <c:pt idx="19">
                  <c:v>-161</c:v>
                </c:pt>
                <c:pt idx="20">
                  <c:v>-160</c:v>
                </c:pt>
              </c:numCache>
            </c:numRef>
          </c:xVal>
          <c:yVal>
            <c:numRef>
              <c:f>Sheet1!$D$3:$D$23</c:f>
              <c:numCache>
                <c:formatCode>0.00</c:formatCode>
                <c:ptCount val="21"/>
                <c:pt idx="0">
                  <c:v>0.2657237559610337</c:v>
                </c:pt>
                <c:pt idx="1">
                  <c:v>0.33195619988424652</c:v>
                </c:pt>
                <c:pt idx="2">
                  <c:v>0.41392685158223247</c:v>
                </c:pt>
                <c:pt idx="3">
                  <c:v>0.51496942025229941</c:v>
                </c:pt>
                <c:pt idx="4">
                  <c:v>0.63892034143378895</c:v>
                </c:pt>
                <c:pt idx="5">
                  <c:v>0.79009749652567574</c:v>
                </c:pt>
                <c:pt idx="6">
                  <c:v>0.97322793708696043</c:v>
                </c:pt>
                <c:pt idx="7">
                  <c:v>1.1933104806609265</c:v>
                </c:pt>
                <c:pt idx="8">
                  <c:v>1.4554046310929032</c:v>
                </c:pt>
                <c:pt idx="9">
                  <c:v>1.7643486243648285</c:v>
                </c:pt>
                <c:pt idx="10">
                  <c:v>2.1244260279434002</c:v>
                </c:pt>
                <c:pt idx="11">
                  <c:v>2.5390189104386685</c:v>
                </c:pt>
                <c:pt idx="12">
                  <c:v>3.0102999566398125</c:v>
                </c:pt>
                <c:pt idx="13">
                  <c:v>3.53901891043864</c:v>
                </c:pt>
                <c:pt idx="14">
                  <c:v>4.1244260279433957</c:v>
                </c:pt>
                <c:pt idx="15">
                  <c:v>4.764348624364831</c:v>
                </c:pt>
                <c:pt idx="16">
                  <c:v>5.4554046310929305</c:v>
                </c:pt>
                <c:pt idx="17">
                  <c:v>6.1933104806609274</c:v>
                </c:pt>
                <c:pt idx="18">
                  <c:v>6.9732279370869614</c:v>
                </c:pt>
                <c:pt idx="19">
                  <c:v>7.7900974965256182</c:v>
                </c:pt>
                <c:pt idx="20">
                  <c:v>8.6389203414337778</c:v>
                </c:pt>
              </c:numCache>
            </c:numRef>
          </c:yVal>
          <c:smooth val="1"/>
        </c:ser>
        <c:ser>
          <c:idx val="3"/>
          <c:order val="3"/>
          <c:tx>
            <c:v>NF = 8 dB</c:v>
          </c:tx>
          <c:spPr>
            <a:ln w="19050"/>
          </c:spPr>
          <c:marker>
            <c:symbol val="none"/>
          </c:marker>
          <c:xVal>
            <c:numRef>
              <c:f>Sheet1!$A$3:$A$23</c:f>
              <c:numCache>
                <c:formatCode>General</c:formatCode>
                <c:ptCount val="21"/>
                <c:pt idx="0">
                  <c:v>-180</c:v>
                </c:pt>
                <c:pt idx="1">
                  <c:v>-179</c:v>
                </c:pt>
                <c:pt idx="2">
                  <c:v>-178</c:v>
                </c:pt>
                <c:pt idx="3">
                  <c:v>-177</c:v>
                </c:pt>
                <c:pt idx="4">
                  <c:v>-176</c:v>
                </c:pt>
                <c:pt idx="5">
                  <c:v>-175</c:v>
                </c:pt>
                <c:pt idx="6">
                  <c:v>-174</c:v>
                </c:pt>
                <c:pt idx="7">
                  <c:v>-173</c:v>
                </c:pt>
                <c:pt idx="8">
                  <c:v>-172</c:v>
                </c:pt>
                <c:pt idx="9">
                  <c:v>-171</c:v>
                </c:pt>
                <c:pt idx="10">
                  <c:v>-170</c:v>
                </c:pt>
                <c:pt idx="11">
                  <c:v>-169</c:v>
                </c:pt>
                <c:pt idx="12">
                  <c:v>-168</c:v>
                </c:pt>
                <c:pt idx="13">
                  <c:v>-167</c:v>
                </c:pt>
                <c:pt idx="14">
                  <c:v>-166</c:v>
                </c:pt>
                <c:pt idx="15">
                  <c:v>-165</c:v>
                </c:pt>
                <c:pt idx="16">
                  <c:v>-164</c:v>
                </c:pt>
                <c:pt idx="17">
                  <c:v>-163</c:v>
                </c:pt>
                <c:pt idx="18">
                  <c:v>-162</c:v>
                </c:pt>
                <c:pt idx="19">
                  <c:v>-161</c:v>
                </c:pt>
                <c:pt idx="20">
                  <c:v>-160</c:v>
                </c:pt>
              </c:numCache>
            </c:numRef>
          </c:xVal>
          <c:yVal>
            <c:numRef>
              <c:f>Sheet1!$E$3:$E$23</c:f>
              <c:numCache>
                <c:formatCode>0.00</c:formatCode>
                <c:ptCount val="21"/>
                <c:pt idx="0">
                  <c:v>0.16954289279530613</c:v>
                </c:pt>
                <c:pt idx="1">
                  <c:v>0.21238401914251881</c:v>
                </c:pt>
                <c:pt idx="2">
                  <c:v>0.26572375596100528</c:v>
                </c:pt>
                <c:pt idx="3">
                  <c:v>0.33195619988424652</c:v>
                </c:pt>
                <c:pt idx="4">
                  <c:v>0.41392685158223247</c:v>
                </c:pt>
                <c:pt idx="5">
                  <c:v>0.51496942025227099</c:v>
                </c:pt>
                <c:pt idx="6">
                  <c:v>0.63892034143378895</c:v>
                </c:pt>
                <c:pt idx="7">
                  <c:v>0.79009749652564665</c:v>
                </c:pt>
                <c:pt idx="8">
                  <c:v>0.973227937086932</c:v>
                </c:pt>
                <c:pt idx="9">
                  <c:v>1.1933104806609265</c:v>
                </c:pt>
                <c:pt idx="10">
                  <c:v>1.4554046310929032</c:v>
                </c:pt>
                <c:pt idx="11">
                  <c:v>1.7643486243648285</c:v>
                </c:pt>
                <c:pt idx="12">
                  <c:v>2.1244260279434002</c:v>
                </c:pt>
                <c:pt idx="13">
                  <c:v>2.53901891043864</c:v>
                </c:pt>
                <c:pt idx="14">
                  <c:v>3.0102999566398125</c:v>
                </c:pt>
                <c:pt idx="15">
                  <c:v>3.53901891043864</c:v>
                </c:pt>
                <c:pt idx="16">
                  <c:v>4.1244260279433691</c:v>
                </c:pt>
                <c:pt idx="17">
                  <c:v>4.764348624364831</c:v>
                </c:pt>
                <c:pt idx="18">
                  <c:v>5.4554046310929305</c:v>
                </c:pt>
                <c:pt idx="19">
                  <c:v>6.1933104806608981</c:v>
                </c:pt>
                <c:pt idx="20">
                  <c:v>6.9732279370869614</c:v>
                </c:pt>
              </c:numCache>
            </c:numRef>
          </c:yVal>
          <c:smooth val="1"/>
        </c:ser>
        <c:ser>
          <c:idx val="4"/>
          <c:order val="4"/>
          <c:tx>
            <c:v>NF = 10 dB</c:v>
          </c:tx>
          <c:spPr>
            <a:ln w="19050"/>
          </c:spPr>
          <c:marker>
            <c:symbol val="none"/>
          </c:marker>
          <c:xVal>
            <c:numRef>
              <c:f>Sheet1!$A$3:$A$23</c:f>
              <c:numCache>
                <c:formatCode>General</c:formatCode>
                <c:ptCount val="21"/>
                <c:pt idx="0">
                  <c:v>-180</c:v>
                </c:pt>
                <c:pt idx="1">
                  <c:v>-179</c:v>
                </c:pt>
                <c:pt idx="2">
                  <c:v>-178</c:v>
                </c:pt>
                <c:pt idx="3">
                  <c:v>-177</c:v>
                </c:pt>
                <c:pt idx="4">
                  <c:v>-176</c:v>
                </c:pt>
                <c:pt idx="5">
                  <c:v>-175</c:v>
                </c:pt>
                <c:pt idx="6">
                  <c:v>-174</c:v>
                </c:pt>
                <c:pt idx="7">
                  <c:v>-173</c:v>
                </c:pt>
                <c:pt idx="8">
                  <c:v>-172</c:v>
                </c:pt>
                <c:pt idx="9">
                  <c:v>-171</c:v>
                </c:pt>
                <c:pt idx="10">
                  <c:v>-170</c:v>
                </c:pt>
                <c:pt idx="11">
                  <c:v>-169</c:v>
                </c:pt>
                <c:pt idx="12">
                  <c:v>-168</c:v>
                </c:pt>
                <c:pt idx="13">
                  <c:v>-167</c:v>
                </c:pt>
                <c:pt idx="14">
                  <c:v>-166</c:v>
                </c:pt>
                <c:pt idx="15">
                  <c:v>-165</c:v>
                </c:pt>
                <c:pt idx="16">
                  <c:v>-164</c:v>
                </c:pt>
                <c:pt idx="17">
                  <c:v>-163</c:v>
                </c:pt>
                <c:pt idx="18">
                  <c:v>-162</c:v>
                </c:pt>
                <c:pt idx="19">
                  <c:v>-161</c:v>
                </c:pt>
                <c:pt idx="20">
                  <c:v>-160</c:v>
                </c:pt>
              </c:numCache>
            </c:numRef>
          </c:xVal>
          <c:yVal>
            <c:numRef>
              <c:f>Sheet1!$F$3:$F$23</c:f>
              <c:numCache>
                <c:formatCode>0.00</c:formatCode>
                <c:ptCount val="21"/>
                <c:pt idx="0">
                  <c:v>0.10774225511957526</c:v>
                </c:pt>
                <c:pt idx="1">
                  <c:v>0.13520922108037334</c:v>
                </c:pt>
                <c:pt idx="2">
                  <c:v>0.16954289279533458</c:v>
                </c:pt>
                <c:pt idx="3">
                  <c:v>0.21238401914254723</c:v>
                </c:pt>
                <c:pt idx="4">
                  <c:v>0.26572375596100528</c:v>
                </c:pt>
                <c:pt idx="5">
                  <c:v>0.33195619988427483</c:v>
                </c:pt>
                <c:pt idx="6">
                  <c:v>0.41392685158226106</c:v>
                </c:pt>
                <c:pt idx="7">
                  <c:v>0.51496942025229941</c:v>
                </c:pt>
                <c:pt idx="8">
                  <c:v>0.63892034143378895</c:v>
                </c:pt>
                <c:pt idx="9">
                  <c:v>0.79009749652564665</c:v>
                </c:pt>
                <c:pt idx="10">
                  <c:v>0.97322793708696043</c:v>
                </c:pt>
                <c:pt idx="11">
                  <c:v>1.1933104806609549</c:v>
                </c:pt>
                <c:pt idx="12">
                  <c:v>1.4554046310929314</c:v>
                </c:pt>
                <c:pt idx="13">
                  <c:v>1.7643486243648574</c:v>
                </c:pt>
                <c:pt idx="14">
                  <c:v>2.1244260279433735</c:v>
                </c:pt>
                <c:pt idx="15">
                  <c:v>2.53901891043864</c:v>
                </c:pt>
                <c:pt idx="16">
                  <c:v>3.0102999566398125</c:v>
                </c:pt>
                <c:pt idx="17">
                  <c:v>3.5390189104386685</c:v>
                </c:pt>
                <c:pt idx="18">
                  <c:v>4.1244260279433957</c:v>
                </c:pt>
                <c:pt idx="19">
                  <c:v>4.764348624364831</c:v>
                </c:pt>
                <c:pt idx="20">
                  <c:v>5.4554046310929305</c:v>
                </c:pt>
              </c:numCache>
            </c:numRef>
          </c:yVal>
          <c:smooth val="1"/>
        </c:ser>
        <c:ser>
          <c:idx val="5"/>
          <c:order val="5"/>
          <c:tx>
            <c:v>NF = 12 dB</c:v>
          </c:tx>
          <c:spPr>
            <a:ln w="19050"/>
          </c:spPr>
          <c:marker>
            <c:symbol val="none"/>
          </c:marker>
          <c:xVal>
            <c:numRef>
              <c:f>Sheet1!$A$3:$A$23</c:f>
              <c:numCache>
                <c:formatCode>General</c:formatCode>
                <c:ptCount val="21"/>
                <c:pt idx="0">
                  <c:v>-180</c:v>
                </c:pt>
                <c:pt idx="1">
                  <c:v>-179</c:v>
                </c:pt>
                <c:pt idx="2">
                  <c:v>-178</c:v>
                </c:pt>
                <c:pt idx="3">
                  <c:v>-177</c:v>
                </c:pt>
                <c:pt idx="4">
                  <c:v>-176</c:v>
                </c:pt>
                <c:pt idx="5">
                  <c:v>-175</c:v>
                </c:pt>
                <c:pt idx="6">
                  <c:v>-174</c:v>
                </c:pt>
                <c:pt idx="7">
                  <c:v>-173</c:v>
                </c:pt>
                <c:pt idx="8">
                  <c:v>-172</c:v>
                </c:pt>
                <c:pt idx="9">
                  <c:v>-171</c:v>
                </c:pt>
                <c:pt idx="10">
                  <c:v>-170</c:v>
                </c:pt>
                <c:pt idx="11">
                  <c:v>-169</c:v>
                </c:pt>
                <c:pt idx="12">
                  <c:v>-168</c:v>
                </c:pt>
                <c:pt idx="13">
                  <c:v>-167</c:v>
                </c:pt>
                <c:pt idx="14">
                  <c:v>-166</c:v>
                </c:pt>
                <c:pt idx="15">
                  <c:v>-165</c:v>
                </c:pt>
                <c:pt idx="16">
                  <c:v>-164</c:v>
                </c:pt>
                <c:pt idx="17">
                  <c:v>-163</c:v>
                </c:pt>
                <c:pt idx="18">
                  <c:v>-162</c:v>
                </c:pt>
                <c:pt idx="19">
                  <c:v>-161</c:v>
                </c:pt>
                <c:pt idx="20">
                  <c:v>-160</c:v>
                </c:pt>
              </c:numCache>
            </c:numRef>
          </c:xVal>
          <c:yVal>
            <c:numRef>
              <c:f>Sheet1!$G$3:$G$23</c:f>
              <c:numCache>
                <c:formatCode>0.00</c:formatCode>
                <c:ptCount val="21"/>
                <c:pt idx="0">
                  <c:v>6.8291283124494839E-2</c:v>
                </c:pt>
                <c:pt idx="1">
                  <c:v>8.5799992300337705E-2</c:v>
                </c:pt>
                <c:pt idx="2">
                  <c:v>0.10774225511954687</c:v>
                </c:pt>
                <c:pt idx="3">
                  <c:v>0.13520922108037334</c:v>
                </c:pt>
                <c:pt idx="4">
                  <c:v>0.16954289279533458</c:v>
                </c:pt>
                <c:pt idx="5">
                  <c:v>0.21238401914254723</c:v>
                </c:pt>
                <c:pt idx="6">
                  <c:v>0.26572375596100528</c:v>
                </c:pt>
                <c:pt idx="7">
                  <c:v>0.33195619988427483</c:v>
                </c:pt>
                <c:pt idx="8">
                  <c:v>0.41392685158226106</c:v>
                </c:pt>
                <c:pt idx="9">
                  <c:v>0.51496942025227099</c:v>
                </c:pt>
                <c:pt idx="10">
                  <c:v>0.63892034143378895</c:v>
                </c:pt>
                <c:pt idx="11">
                  <c:v>0.79009749652567574</c:v>
                </c:pt>
                <c:pt idx="12">
                  <c:v>0.97322793708696043</c:v>
                </c:pt>
                <c:pt idx="13">
                  <c:v>1.1933104806609549</c:v>
                </c:pt>
                <c:pt idx="14">
                  <c:v>1.4554046310929314</c:v>
                </c:pt>
                <c:pt idx="15">
                  <c:v>1.7643486243648574</c:v>
                </c:pt>
                <c:pt idx="16">
                  <c:v>2.1244260279434002</c:v>
                </c:pt>
                <c:pt idx="17">
                  <c:v>2.5390189104386685</c:v>
                </c:pt>
                <c:pt idx="18">
                  <c:v>3.0102999566398125</c:v>
                </c:pt>
                <c:pt idx="19">
                  <c:v>3.53901891043864</c:v>
                </c:pt>
                <c:pt idx="20">
                  <c:v>4.1244260279433957</c:v>
                </c:pt>
              </c:numCache>
            </c:numRef>
          </c:yVal>
          <c:smooth val="1"/>
        </c:ser>
        <c:axId val="349960448"/>
        <c:axId val="365367680"/>
      </c:scatterChart>
      <c:valAx>
        <c:axId val="349960448"/>
        <c:scaling>
          <c:orientation val="minMax"/>
          <c:max val="-160"/>
          <c:min val="-180"/>
        </c:scaling>
        <c:axPos val="b"/>
        <c:majorGridlines/>
        <c:minorGridlines>
          <c:spPr>
            <a:ln>
              <a:solidFill>
                <a:schemeClr val="bg1">
                  <a:lumMod val="85000"/>
                </a:schemeClr>
              </a:solidFill>
            </a:ln>
          </c:spPr>
        </c:minorGridlines>
        <c:title>
          <c:tx>
            <c:rich>
              <a:bodyPr/>
              <a:lstStyle/>
              <a:p>
                <a:pPr>
                  <a:defRPr/>
                </a:pPr>
                <a:r>
                  <a:rPr lang="en-US"/>
                  <a:t>Interference</a:t>
                </a:r>
                <a:r>
                  <a:rPr lang="en-US" baseline="0"/>
                  <a:t> Noise Density (dBm/Hz)</a:t>
                </a:r>
                <a:endParaRPr lang="en-US"/>
              </a:p>
            </c:rich>
          </c:tx>
          <c:layout/>
        </c:title>
        <c:numFmt formatCode="General" sourceLinked="1"/>
        <c:majorTickMark val="in"/>
        <c:tickLblPos val="nextTo"/>
        <c:spPr>
          <a:ln>
            <a:solidFill>
              <a:schemeClr val="tx1"/>
            </a:solidFill>
          </a:ln>
        </c:spPr>
        <c:crossAx val="365367680"/>
        <c:crosses val="autoZero"/>
        <c:crossBetween val="midCat"/>
        <c:majorUnit val="5"/>
      </c:valAx>
      <c:valAx>
        <c:axId val="365367680"/>
        <c:scaling>
          <c:orientation val="minMax"/>
        </c:scaling>
        <c:axPos val="l"/>
        <c:majorGridlines>
          <c:spPr>
            <a:ln>
              <a:solidFill>
                <a:schemeClr val="bg1">
                  <a:lumMod val="75000"/>
                </a:schemeClr>
              </a:solidFill>
            </a:ln>
          </c:spPr>
        </c:majorGridlines>
        <c:title>
          <c:tx>
            <c:rich>
              <a:bodyPr rot="-5400000" vert="horz"/>
              <a:lstStyle/>
              <a:p>
                <a:pPr>
                  <a:defRPr/>
                </a:pPr>
                <a:r>
                  <a:rPr lang="en-US"/>
                  <a:t>Desensitization</a:t>
                </a:r>
                <a:r>
                  <a:rPr lang="en-US" baseline="0"/>
                  <a:t> Level (dB)</a:t>
                </a:r>
                <a:endParaRPr lang="en-US"/>
              </a:p>
            </c:rich>
          </c:tx>
          <c:layout/>
        </c:title>
        <c:numFmt formatCode="0.0" sourceLinked="0"/>
        <c:majorTickMark val="in"/>
        <c:tickLblPos val="nextTo"/>
        <c:spPr>
          <a:ln>
            <a:solidFill>
              <a:schemeClr val="tx1"/>
            </a:solidFill>
          </a:ln>
        </c:spPr>
        <c:crossAx val="349960448"/>
        <c:crossesAt val="-185"/>
        <c:crossBetween val="midCat"/>
      </c:valAx>
      <c:spPr>
        <a:ln>
          <a:solidFill>
            <a:schemeClr val="tx1"/>
          </a:solidFill>
        </a:ln>
      </c:spPr>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spPr>
            <a:ln>
              <a:solidFill>
                <a:schemeClr val="tx2">
                  <a:lumMod val="60000"/>
                  <a:lumOff val="40000"/>
                </a:schemeClr>
              </a:solidFill>
            </a:ln>
          </c:spPr>
          <c:marker>
            <c:symbol val="circle"/>
            <c:size val="5"/>
            <c:spPr>
              <a:solidFill>
                <a:schemeClr val="bg1"/>
              </a:solidFill>
            </c:spPr>
          </c:marker>
          <c:xVal>
            <c:numRef>
              <c:f>Sheet1!$A$25:$A$30</c:f>
              <c:numCache>
                <c:formatCode>General</c:formatCode>
                <c:ptCount val="6"/>
                <c:pt idx="1">
                  <c:v>4</c:v>
                </c:pt>
                <c:pt idx="2">
                  <c:v>6</c:v>
                </c:pt>
                <c:pt idx="3">
                  <c:v>8</c:v>
                </c:pt>
                <c:pt idx="4">
                  <c:v>10</c:v>
                </c:pt>
                <c:pt idx="5">
                  <c:v>12</c:v>
                </c:pt>
              </c:numCache>
            </c:numRef>
          </c:xVal>
          <c:yVal>
            <c:numRef>
              <c:f>Sheet1!$B$25:$B$30</c:f>
              <c:numCache>
                <c:formatCode>General</c:formatCode>
                <c:ptCount val="6"/>
                <c:pt idx="1">
                  <c:v>0.79</c:v>
                </c:pt>
                <c:pt idx="2">
                  <c:v>0.51</c:v>
                </c:pt>
                <c:pt idx="3">
                  <c:v>0.33000000000000024</c:v>
                </c:pt>
                <c:pt idx="4">
                  <c:v>0.21000000000000008</c:v>
                </c:pt>
                <c:pt idx="5">
                  <c:v>0.14000000000000001</c:v>
                </c:pt>
              </c:numCache>
            </c:numRef>
          </c:yVal>
          <c:smooth val="1"/>
        </c:ser>
        <c:axId val="365370368"/>
        <c:axId val="365458944"/>
      </c:scatterChart>
      <c:valAx>
        <c:axId val="365370368"/>
        <c:scaling>
          <c:orientation val="minMax"/>
          <c:max val="12"/>
          <c:min val="4"/>
        </c:scaling>
        <c:axPos val="b"/>
        <c:majorGridlines/>
        <c:minorGridlines/>
        <c:title>
          <c:tx>
            <c:rich>
              <a:bodyPr/>
              <a:lstStyle/>
              <a:p>
                <a:pPr>
                  <a:defRPr/>
                </a:pPr>
                <a:r>
                  <a:rPr lang="en-US"/>
                  <a:t>Rx Intrinsic NF</a:t>
                </a:r>
                <a:r>
                  <a:rPr lang="en-US" baseline="0"/>
                  <a:t> (dB)</a:t>
                </a:r>
                <a:endParaRPr lang="en-US"/>
              </a:p>
            </c:rich>
          </c:tx>
          <c:layout/>
        </c:title>
        <c:numFmt formatCode="General" sourceLinked="1"/>
        <c:majorTickMark val="in"/>
        <c:tickLblPos val="nextTo"/>
        <c:spPr>
          <a:ln>
            <a:solidFill>
              <a:schemeClr val="tx1"/>
            </a:solidFill>
          </a:ln>
        </c:spPr>
        <c:crossAx val="365458944"/>
        <c:crosses val="autoZero"/>
        <c:crossBetween val="midCat"/>
        <c:majorUnit val="2"/>
        <c:minorUnit val="1"/>
      </c:valAx>
      <c:valAx>
        <c:axId val="365458944"/>
        <c:scaling>
          <c:orientation val="minMax"/>
        </c:scaling>
        <c:axPos val="l"/>
        <c:majorGridlines>
          <c:spPr>
            <a:ln>
              <a:solidFill>
                <a:schemeClr val="bg1">
                  <a:lumMod val="75000"/>
                </a:schemeClr>
              </a:solidFill>
            </a:ln>
          </c:spPr>
        </c:majorGridlines>
        <c:title>
          <c:tx>
            <c:rich>
              <a:bodyPr rot="-5400000" vert="horz"/>
              <a:lstStyle/>
              <a:p>
                <a:pPr>
                  <a:defRPr/>
                </a:pPr>
                <a:r>
                  <a:rPr lang="en-US"/>
                  <a:t>Desensitization</a:t>
                </a:r>
                <a:r>
                  <a:rPr lang="en-US" baseline="0"/>
                  <a:t> Level (dB)</a:t>
                </a:r>
                <a:endParaRPr lang="en-US"/>
              </a:p>
            </c:rich>
          </c:tx>
          <c:layout/>
        </c:title>
        <c:numFmt formatCode="General" sourceLinked="1"/>
        <c:majorTickMark val="in"/>
        <c:tickLblPos val="nextTo"/>
        <c:crossAx val="365370368"/>
        <c:crosses val="autoZero"/>
        <c:crossBetween val="midCat"/>
      </c:valAx>
      <c:spPr>
        <a:ln>
          <a:solidFill>
            <a:schemeClr val="tx1"/>
          </a:solidFill>
        </a:ln>
      </c:spPr>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99B0BEAE-EFE2-4B7F-A630-70A01751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3</Pages>
  <Words>836</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3</cp:revision>
  <cp:lastPrinted>2012-09-28T20:55:00Z</cp:lastPrinted>
  <dcterms:created xsi:type="dcterms:W3CDTF">2013-09-25T21:33:00Z</dcterms:created>
  <dcterms:modified xsi:type="dcterms:W3CDTF">2013-09-29T06:46:00Z</dcterms:modified>
</cp:coreProperties>
</file>