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D5E618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425087" w:rsidRPr="00425087">
        <w:rPr>
          <w:rFonts w:ascii="Arial" w:hAnsi="Arial" w:cs="Arial"/>
          <w:b/>
          <w:sz w:val="24"/>
          <w:lang w:val="en-US" w:eastAsia="zh-CN"/>
        </w:rPr>
        <w:t>R4-2514182</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1E5F7E4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098E" w:rsidRPr="005A098E">
        <w:rPr>
          <w:rFonts w:ascii="Arial" w:eastAsia="宋体" w:hAnsi="Arial"/>
          <w:b/>
          <w:sz w:val="24"/>
          <w:lang w:val="en-US" w:eastAsia="zh-CN"/>
        </w:rPr>
        <w:t>Discussion on performance requirements for IoT NTN TDD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7BBA0CAA"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5087">
        <w:rPr>
          <w:rFonts w:ascii="Arial" w:eastAsia="宋体" w:hAnsi="Arial"/>
          <w:b/>
          <w:sz w:val="24"/>
          <w:lang w:val="en-US" w:eastAsia="zh-CN"/>
        </w:rPr>
        <w:t>6.21.2</w:t>
      </w:r>
      <w:bookmarkStart w:id="0" w:name="_GoBack"/>
      <w:bookmarkEnd w:id="0"/>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9D92F94" w14:textId="269E54E1" w:rsidR="00196350" w:rsidRPr="00196350" w:rsidRDefault="00180B3A" w:rsidP="00934067">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w:t>
      </w:r>
      <w:r w:rsidR="00FA17A3">
        <w:rPr>
          <w:rFonts w:eastAsia="宋体" w:hint="eastAsia"/>
          <w:lang w:eastAsia="zh-CN"/>
        </w:rPr>
        <w:t>Rel-19</w:t>
      </w:r>
      <w:r w:rsidR="00FA17A3">
        <w:rPr>
          <w:rFonts w:eastAsia="宋体"/>
          <w:lang w:eastAsia="zh-CN"/>
        </w:rPr>
        <w:t xml:space="preserve"> </w:t>
      </w:r>
      <w:r w:rsidR="00196350">
        <w:rPr>
          <w:rFonts w:eastAsia="宋体"/>
          <w:lang w:eastAsia="zh-CN"/>
        </w:rPr>
        <w:t>IoT NTN TDD</w:t>
      </w:r>
      <w:r w:rsidR="00FA17A3">
        <w:rPr>
          <w:rFonts w:eastAsia="宋体"/>
          <w:lang w:eastAsia="zh-CN"/>
        </w:rPr>
        <w:t xml:space="preserve"> </w:t>
      </w:r>
      <w:r>
        <w:rPr>
          <w:rFonts w:eastAsia="宋体"/>
          <w:lang w:eastAsia="zh-CN"/>
        </w:rPr>
        <w:t xml:space="preserve">are discussed in RAN4#116, and the outcomes are captured in WF [1]. </w:t>
      </w:r>
      <w:r w:rsidR="00934067">
        <w:rPr>
          <w:rFonts w:eastAsia="宋体"/>
          <w:lang w:eastAsia="zh-CN"/>
        </w:rPr>
        <w:t>Based on the work plan, RAN4 should start the performance part of the WI.</w:t>
      </w:r>
    </w:p>
    <w:p w14:paraId="49B56F84" w14:textId="658B593C"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E32205">
        <w:rPr>
          <w:rFonts w:eastAsia="宋体" w:hint="eastAsia"/>
          <w:lang w:eastAsia="zh-CN"/>
        </w:rPr>
        <w:t>RRM</w:t>
      </w:r>
      <w:r w:rsidR="00E32205">
        <w:rPr>
          <w:rFonts w:eastAsia="宋体"/>
          <w:lang w:eastAsia="zh-CN"/>
        </w:rPr>
        <w:t xml:space="preserve"> </w:t>
      </w:r>
      <w:r w:rsidR="003535E2">
        <w:rPr>
          <w:rFonts w:eastAsia="宋体" w:hint="eastAsia"/>
          <w:lang w:eastAsia="zh-CN"/>
        </w:rPr>
        <w:t>performance</w:t>
      </w:r>
      <w:r w:rsidR="003535E2">
        <w:rPr>
          <w:rFonts w:eastAsia="宋体"/>
          <w:lang w:eastAsia="zh-CN"/>
        </w:rPr>
        <w:t xml:space="preserve"> </w:t>
      </w:r>
      <w:r w:rsidR="00E32205">
        <w:rPr>
          <w:rFonts w:eastAsia="宋体" w:hint="eastAsia"/>
          <w:lang w:eastAsia="zh-CN"/>
        </w:rPr>
        <w:t>requirements</w:t>
      </w:r>
      <w:r w:rsidR="00E32205">
        <w:rPr>
          <w:rFonts w:eastAsia="宋体"/>
          <w:lang w:eastAsia="zh-CN"/>
        </w:rPr>
        <w:t xml:space="preserve"> for </w:t>
      </w:r>
      <w:r w:rsidR="00196350">
        <w:rPr>
          <w:rFonts w:eastAsia="宋体"/>
          <w:lang w:eastAsia="zh-CN"/>
        </w:rPr>
        <w:t>IoT NTN TDD</w:t>
      </w:r>
      <w:r>
        <w:rPr>
          <w:rFonts w:eastAsia="宋体"/>
          <w:lang w:eastAsia="zh-CN"/>
        </w:rPr>
        <w:t>.</w:t>
      </w:r>
    </w:p>
    <w:p w14:paraId="0D6E96EF" w14:textId="031FDEAB" w:rsidR="004729BE" w:rsidRDefault="004729BE" w:rsidP="004729BE">
      <w:pPr>
        <w:pStyle w:val="1"/>
        <w:jc w:val="both"/>
        <w:rPr>
          <w:lang w:val="en-US"/>
        </w:rPr>
      </w:pPr>
      <w:r>
        <w:rPr>
          <w:lang w:val="en-US"/>
        </w:rPr>
        <w:t>Discussion</w:t>
      </w:r>
    </w:p>
    <w:p w14:paraId="78ADFC71" w14:textId="2CFA5748" w:rsidR="003535E2" w:rsidRPr="00005DAD" w:rsidRDefault="00005DAD" w:rsidP="003535E2">
      <w:pPr>
        <w:spacing w:before="120" w:after="120"/>
        <w:rPr>
          <w:rFonts w:eastAsiaTheme="minorEastAsia"/>
          <w:lang w:val="en-US" w:eastAsia="zh-CN"/>
        </w:rPr>
      </w:pPr>
      <w:r>
        <w:rPr>
          <w:rFonts w:eastAsiaTheme="minorEastAsia"/>
          <w:lang w:val="en-US" w:eastAsia="zh-CN"/>
        </w:rPr>
        <w:t xml:space="preserve">It is clear that RAN4 needs to define accuracy </w:t>
      </w:r>
      <w:r w:rsidRPr="00005DAD">
        <w:rPr>
          <w:rFonts w:eastAsiaTheme="minorEastAsia"/>
          <w:lang w:val="en-US" w:eastAsia="zh-CN"/>
        </w:rPr>
        <w:t>requirements for NRSRP/Q and channel quality report for IoT NTN TDD</w:t>
      </w:r>
      <w:r>
        <w:rPr>
          <w:rFonts w:eastAsiaTheme="minorEastAsia"/>
          <w:lang w:val="en-US" w:eastAsia="zh-CN"/>
        </w:rPr>
        <w:t>. In our view, the existing requirements for NB-IoT NTN can be re-used</w:t>
      </w:r>
      <w:r w:rsidR="00FE7DB3">
        <w:rPr>
          <w:rFonts w:eastAsiaTheme="minorEastAsia"/>
          <w:lang w:val="en-US" w:eastAsia="zh-CN"/>
        </w:rPr>
        <w:t xml:space="preserve"> except the side condition</w:t>
      </w:r>
      <w:r>
        <w:rPr>
          <w:rFonts w:eastAsiaTheme="minorEastAsia"/>
          <w:lang w:val="en-US" w:eastAsia="zh-CN"/>
        </w:rPr>
        <w:t xml:space="preserve">. Based on </w:t>
      </w:r>
      <w:r w:rsidR="00FE7DB3">
        <w:rPr>
          <w:rFonts w:eastAsiaTheme="minorEastAsia"/>
          <w:lang w:val="en-US" w:eastAsia="zh-CN"/>
        </w:rPr>
        <w:t xml:space="preserve">the agreement in core part, in this WI the target SNR is -1dB, and number of measurement samples is determined to achieve similar accuracy as in existing requirements. In addition, </w:t>
      </w:r>
      <w:r>
        <w:rPr>
          <w:rFonts w:eastAsiaTheme="minorEastAsia"/>
          <w:lang w:val="en-US" w:eastAsia="zh-CN"/>
        </w:rPr>
        <w:t>accuracy is not impacted by the interval between measurement samples</w:t>
      </w:r>
      <w:r w:rsidR="00FE7DB3">
        <w:rPr>
          <w:rFonts w:eastAsiaTheme="minorEastAsia"/>
          <w:lang w:val="en-US" w:eastAsia="zh-CN"/>
        </w:rPr>
        <w:t>.</w:t>
      </w:r>
    </w:p>
    <w:p w14:paraId="1C4E49EE" w14:textId="6D50533F" w:rsidR="003535E2" w:rsidRPr="00FE7DB3" w:rsidRDefault="00B62F13" w:rsidP="003535E2">
      <w:pPr>
        <w:spacing w:before="120" w:after="120"/>
        <w:rPr>
          <w:rFonts w:eastAsiaTheme="minorEastAsia"/>
          <w:b/>
          <w:lang w:val="en-US" w:eastAsia="zh-CN"/>
        </w:rPr>
      </w:pPr>
      <w:r w:rsidRPr="00FE7DB3">
        <w:rPr>
          <w:rFonts w:eastAsiaTheme="minorEastAsia" w:hint="eastAsia"/>
          <w:b/>
          <w:lang w:val="en-US" w:eastAsia="zh-CN"/>
        </w:rPr>
        <w:t>P</w:t>
      </w:r>
      <w:r w:rsidRPr="00FE7DB3">
        <w:rPr>
          <w:rFonts w:eastAsiaTheme="minorEastAsia"/>
          <w:b/>
          <w:lang w:val="en-US" w:eastAsia="zh-CN"/>
        </w:rPr>
        <w:t>roposal 1: RAN4 to define accuracy requirements for NRSRP/Q</w:t>
      </w:r>
      <w:r w:rsidR="004E628B" w:rsidRPr="00FE7DB3">
        <w:rPr>
          <w:rFonts w:eastAsiaTheme="minorEastAsia"/>
          <w:b/>
          <w:lang w:val="en-US" w:eastAsia="zh-CN"/>
        </w:rPr>
        <w:t xml:space="preserve"> and channel quality report</w:t>
      </w:r>
      <w:r w:rsidRPr="00FE7DB3">
        <w:rPr>
          <w:rFonts w:eastAsiaTheme="minorEastAsia"/>
          <w:b/>
          <w:lang w:val="en-US" w:eastAsia="zh-CN"/>
        </w:rPr>
        <w:t xml:space="preserve"> for IoT NTN TDD by re-using the existing requirements for NB-IoT NTN</w:t>
      </w:r>
      <w:r w:rsidR="00005DAD" w:rsidRPr="00FE7DB3">
        <w:rPr>
          <w:rFonts w:eastAsiaTheme="minorEastAsia"/>
          <w:b/>
          <w:lang w:val="en-US" w:eastAsia="zh-CN"/>
        </w:rPr>
        <w:t>, except the side condition</w:t>
      </w:r>
      <w:r w:rsidRPr="00FE7DB3">
        <w:rPr>
          <w:rFonts w:eastAsiaTheme="minorEastAsia"/>
          <w:b/>
          <w:lang w:val="en-US" w:eastAsia="zh-CN"/>
        </w:rPr>
        <w:t>.</w:t>
      </w:r>
    </w:p>
    <w:p w14:paraId="42B10334" w14:textId="4830FE58" w:rsidR="00B62F13" w:rsidRDefault="00FE7DB3" w:rsidP="003535E2">
      <w:pPr>
        <w:spacing w:before="120" w:after="120"/>
        <w:rPr>
          <w:rFonts w:eastAsiaTheme="minorEastAsia"/>
          <w:lang w:val="en-US" w:eastAsia="zh-CN"/>
        </w:rPr>
      </w:pPr>
      <w:r>
        <w:rPr>
          <w:rFonts w:eastAsiaTheme="minorEastAsia"/>
          <w:lang w:val="en-US" w:eastAsia="zh-CN"/>
        </w:rPr>
        <w:t xml:space="preserve">For IoT NTN, RAN4 also defined requirements for PHR reporting, including the evaluation period (1 slot with NPUSCH) and the reporting delay (0ms). In our view, those requirements can be directly re-used for IoT NTN TDD. </w:t>
      </w:r>
    </w:p>
    <w:p w14:paraId="6A7AA770" w14:textId="1620ED22" w:rsidR="00B62F13" w:rsidRPr="00FE7DB3" w:rsidRDefault="00B62F13" w:rsidP="00B62F13">
      <w:pPr>
        <w:spacing w:before="120" w:after="120"/>
        <w:rPr>
          <w:rFonts w:eastAsiaTheme="minorEastAsia"/>
          <w:b/>
          <w:lang w:val="en-US" w:eastAsia="zh-CN"/>
        </w:rPr>
      </w:pPr>
      <w:r w:rsidRPr="00FE7DB3">
        <w:rPr>
          <w:rFonts w:eastAsiaTheme="minorEastAsia" w:hint="eastAsia"/>
          <w:b/>
          <w:lang w:val="en-US" w:eastAsia="zh-CN"/>
        </w:rPr>
        <w:t>P</w:t>
      </w:r>
      <w:r w:rsidRPr="00FE7DB3">
        <w:rPr>
          <w:rFonts w:eastAsiaTheme="minorEastAsia"/>
          <w:b/>
          <w:lang w:val="en-US" w:eastAsia="zh-CN"/>
        </w:rPr>
        <w:t>roposal 2: RAN4 to define PHR requirements for IoT NTN TDD by re-using the existing requirements for NB-IoT NTN.</w:t>
      </w:r>
    </w:p>
    <w:p w14:paraId="3324F1DD" w14:textId="0A241291" w:rsidR="00A0270F" w:rsidRDefault="00FE7DB3" w:rsidP="003535E2">
      <w:pPr>
        <w:spacing w:before="120" w:after="120"/>
        <w:rPr>
          <w:rFonts w:eastAsiaTheme="minorEastAsia"/>
          <w:lang w:val="en-US" w:eastAsia="zh-CN"/>
        </w:rPr>
      </w:pPr>
      <w:r>
        <w:rPr>
          <w:rFonts w:eastAsiaTheme="minorEastAsia"/>
          <w:lang w:val="en-US" w:eastAsia="zh-CN"/>
        </w:rPr>
        <w:t xml:space="preserve">RAN4 also needs to define RRM test cases for IoT NTN TDD. Considering that </w:t>
      </w:r>
      <w:r w:rsidR="00A0270F">
        <w:rPr>
          <w:rFonts w:eastAsiaTheme="minorEastAsia"/>
          <w:lang w:val="en-US" w:eastAsia="zh-CN"/>
        </w:rPr>
        <w:t>a UE may support only band 249, this UE will not be tested against existing test cases for NB-IoT NTN, so it is better to make sure the test cases defined for IoT NTN TDD cover the same requirements as NB-IoT NTN.</w:t>
      </w:r>
    </w:p>
    <w:p w14:paraId="24E90C9C" w14:textId="592DBF0F" w:rsidR="00A0270F" w:rsidRDefault="00A0270F" w:rsidP="003535E2">
      <w:pPr>
        <w:spacing w:before="120" w:after="120"/>
        <w:rPr>
          <w:rFonts w:eastAsiaTheme="minorEastAsia"/>
          <w:lang w:val="en-US" w:eastAsia="zh-CN"/>
        </w:rPr>
      </w:pPr>
      <w:r>
        <w:rPr>
          <w:rFonts w:eastAsiaTheme="minorEastAsia"/>
          <w:lang w:val="en-US" w:eastAsia="zh-CN"/>
        </w:rPr>
        <w:t>On the other hand, the WI focuses on quite specific deployment scenario, so some existing test cases for NB-IoT NTN are not applicable, e.g. those defined for enhanced coverage, time triggered measurement relaxed measurement. Based on existing test cases in A.13, we suggest the following test case list in Proposal 3.</w:t>
      </w:r>
    </w:p>
    <w:p w14:paraId="67EB7C6E" w14:textId="42B1793F" w:rsidR="00B62F13" w:rsidRPr="00A0270F" w:rsidRDefault="00B62F13" w:rsidP="00B62F13">
      <w:pPr>
        <w:spacing w:before="120" w:after="120"/>
        <w:rPr>
          <w:rFonts w:eastAsiaTheme="minorEastAsia"/>
          <w:b/>
          <w:lang w:val="en-US" w:eastAsia="zh-CN"/>
        </w:rPr>
      </w:pPr>
      <w:r w:rsidRPr="00A0270F">
        <w:rPr>
          <w:rFonts w:eastAsiaTheme="minorEastAsia" w:hint="eastAsia"/>
          <w:b/>
          <w:lang w:val="en-US" w:eastAsia="zh-CN"/>
        </w:rPr>
        <w:t>P</w:t>
      </w:r>
      <w:r w:rsidRPr="00A0270F">
        <w:rPr>
          <w:rFonts w:eastAsiaTheme="minorEastAsia"/>
          <w:b/>
          <w:lang w:val="en-US" w:eastAsia="zh-CN"/>
        </w:rPr>
        <w:t>roposal 3: RAN4 to define the following TCs for IoT NTN TDD.</w:t>
      </w:r>
    </w:p>
    <w:p w14:paraId="2D852FFE" w14:textId="1E4E45E4" w:rsidR="00950105" w:rsidRPr="00A0270F" w:rsidRDefault="00216CD5" w:rsidP="00950105">
      <w:pPr>
        <w:pStyle w:val="afe"/>
        <w:numPr>
          <w:ilvl w:val="0"/>
          <w:numId w:val="14"/>
        </w:numPr>
        <w:spacing w:before="120" w:after="120"/>
        <w:rPr>
          <w:rFonts w:eastAsiaTheme="minorEastAsia"/>
          <w:b/>
          <w:lang w:eastAsia="zh-CN"/>
        </w:rPr>
      </w:pPr>
      <w:r w:rsidRPr="00A0270F">
        <w:rPr>
          <w:rFonts w:eastAsiaTheme="minorEastAsia"/>
          <w:b/>
          <w:lang w:eastAsia="zh-CN"/>
        </w:rPr>
        <w:t xml:space="preserve">Intra-frequency cell reselection </w:t>
      </w:r>
    </w:p>
    <w:p w14:paraId="02EC1F7D" w14:textId="34C63C90" w:rsidR="00216CD5" w:rsidRPr="00A0270F" w:rsidRDefault="00216CD5" w:rsidP="00216CD5">
      <w:pPr>
        <w:pStyle w:val="afe"/>
        <w:numPr>
          <w:ilvl w:val="0"/>
          <w:numId w:val="14"/>
        </w:numPr>
        <w:spacing w:before="120" w:after="120"/>
        <w:rPr>
          <w:rFonts w:eastAsiaTheme="minorEastAsia"/>
          <w:b/>
          <w:lang w:eastAsia="zh-CN"/>
        </w:rPr>
      </w:pPr>
      <w:r w:rsidRPr="00A0270F">
        <w:rPr>
          <w:rFonts w:eastAsiaTheme="minorEastAsia"/>
          <w:b/>
          <w:lang w:eastAsia="zh-CN"/>
        </w:rPr>
        <w:t xml:space="preserve">Inter-frequency cell reselection </w:t>
      </w:r>
    </w:p>
    <w:p w14:paraId="340E2459" w14:textId="669CC1E7" w:rsidR="00216CD5" w:rsidRPr="00A0270F" w:rsidRDefault="001240F3" w:rsidP="00216CD5">
      <w:pPr>
        <w:pStyle w:val="afe"/>
        <w:numPr>
          <w:ilvl w:val="0"/>
          <w:numId w:val="14"/>
        </w:numPr>
        <w:spacing w:before="120" w:after="120"/>
        <w:rPr>
          <w:rFonts w:eastAsiaTheme="minorEastAsia"/>
          <w:b/>
          <w:lang w:eastAsia="zh-CN"/>
        </w:rPr>
      </w:pPr>
      <w:r w:rsidRPr="00A0270F">
        <w:rPr>
          <w:rFonts w:eastAsiaTheme="minorEastAsia"/>
          <w:b/>
          <w:lang w:eastAsia="zh-CN"/>
        </w:rPr>
        <w:t xml:space="preserve">Re-establishment </w:t>
      </w:r>
    </w:p>
    <w:p w14:paraId="26C7B773" w14:textId="06185FDE" w:rsidR="001240F3" w:rsidRPr="00A0270F" w:rsidRDefault="001240F3" w:rsidP="00216CD5">
      <w:pPr>
        <w:pStyle w:val="afe"/>
        <w:numPr>
          <w:ilvl w:val="0"/>
          <w:numId w:val="14"/>
        </w:numPr>
        <w:spacing w:before="120" w:after="120"/>
        <w:rPr>
          <w:rFonts w:eastAsiaTheme="minorEastAsia"/>
          <w:b/>
          <w:lang w:eastAsia="zh-CN"/>
        </w:rPr>
      </w:pPr>
      <w:r w:rsidRPr="00A0270F">
        <w:rPr>
          <w:rFonts w:eastAsiaTheme="minorEastAsia"/>
          <w:b/>
          <w:lang w:eastAsia="zh-CN"/>
        </w:rPr>
        <w:t>Random access</w:t>
      </w:r>
    </w:p>
    <w:p w14:paraId="1FDD51FE" w14:textId="13996E7C" w:rsidR="001240F3" w:rsidRPr="00A0270F" w:rsidRDefault="001240F3" w:rsidP="00EA0A4F">
      <w:pPr>
        <w:pStyle w:val="afe"/>
        <w:numPr>
          <w:ilvl w:val="0"/>
          <w:numId w:val="14"/>
        </w:numPr>
        <w:spacing w:before="120" w:after="120"/>
        <w:rPr>
          <w:rFonts w:eastAsiaTheme="minorEastAsia"/>
          <w:b/>
          <w:lang w:eastAsia="zh-CN"/>
        </w:rPr>
      </w:pPr>
      <w:r w:rsidRPr="00A0270F">
        <w:rPr>
          <w:rFonts w:eastAsiaTheme="minorEastAsia"/>
          <w:b/>
          <w:lang w:eastAsia="zh-CN"/>
        </w:rPr>
        <w:t>Transmit timing</w:t>
      </w:r>
      <w:r w:rsidR="00EA0A4F" w:rsidRPr="00A0270F">
        <w:rPr>
          <w:rFonts w:eastAsiaTheme="minorEastAsia"/>
          <w:b/>
          <w:lang w:eastAsia="zh-CN"/>
        </w:rPr>
        <w:t xml:space="preserve"> and </w:t>
      </w:r>
      <w:r w:rsidRPr="00A0270F">
        <w:rPr>
          <w:rFonts w:eastAsiaTheme="minorEastAsia" w:hint="eastAsia"/>
          <w:b/>
          <w:lang w:eastAsia="zh-CN"/>
        </w:rPr>
        <w:t>T</w:t>
      </w:r>
      <w:r w:rsidRPr="00A0270F">
        <w:rPr>
          <w:rFonts w:eastAsiaTheme="minorEastAsia"/>
          <w:b/>
          <w:lang w:eastAsia="zh-CN"/>
        </w:rPr>
        <w:t>A accuracy</w:t>
      </w:r>
    </w:p>
    <w:p w14:paraId="6E599A27" w14:textId="058E6692" w:rsidR="001240F3" w:rsidRPr="00A0270F" w:rsidRDefault="001240F3" w:rsidP="00216CD5">
      <w:pPr>
        <w:pStyle w:val="afe"/>
        <w:numPr>
          <w:ilvl w:val="0"/>
          <w:numId w:val="14"/>
        </w:numPr>
        <w:spacing w:before="120" w:after="120"/>
        <w:rPr>
          <w:rFonts w:eastAsiaTheme="minorEastAsia"/>
          <w:b/>
          <w:lang w:eastAsia="zh-CN"/>
        </w:rPr>
      </w:pPr>
      <w:r w:rsidRPr="00A0270F">
        <w:rPr>
          <w:rFonts w:eastAsiaTheme="minorEastAsia" w:hint="eastAsia"/>
          <w:b/>
          <w:lang w:eastAsia="zh-CN"/>
        </w:rPr>
        <w:t>R</w:t>
      </w:r>
      <w:r w:rsidRPr="00A0270F">
        <w:rPr>
          <w:rFonts w:eastAsiaTheme="minorEastAsia"/>
          <w:b/>
          <w:lang w:eastAsia="zh-CN"/>
        </w:rPr>
        <w:t xml:space="preserve">LM OOS </w:t>
      </w:r>
      <w:r w:rsidR="00F30639" w:rsidRPr="00A0270F">
        <w:rPr>
          <w:rFonts w:eastAsiaTheme="minorEastAsia"/>
          <w:b/>
          <w:lang w:eastAsia="zh-CN"/>
        </w:rPr>
        <w:t xml:space="preserve">and RLM IS, both </w:t>
      </w:r>
      <w:r w:rsidRPr="00A0270F">
        <w:rPr>
          <w:rFonts w:eastAsiaTheme="minorEastAsia"/>
          <w:b/>
          <w:lang w:eastAsia="zh-CN"/>
        </w:rPr>
        <w:t>without DRX and with DRX</w:t>
      </w:r>
    </w:p>
    <w:p w14:paraId="3BDC039C" w14:textId="337858B3" w:rsidR="00216CD5" w:rsidRPr="00A0270F" w:rsidRDefault="00EA0A4F" w:rsidP="00950105">
      <w:pPr>
        <w:pStyle w:val="afe"/>
        <w:numPr>
          <w:ilvl w:val="0"/>
          <w:numId w:val="14"/>
        </w:numPr>
        <w:spacing w:before="120" w:after="120"/>
        <w:rPr>
          <w:rFonts w:eastAsiaTheme="minorEastAsia"/>
          <w:b/>
          <w:lang w:eastAsia="zh-CN"/>
        </w:rPr>
      </w:pPr>
      <w:r w:rsidRPr="00A0270F">
        <w:rPr>
          <w:rFonts w:eastAsiaTheme="minorEastAsia"/>
          <w:b/>
          <w:lang w:eastAsia="zh-CN"/>
        </w:rPr>
        <w:t xml:space="preserve">Intra-frequency neighbor cell measurement, with </w:t>
      </w:r>
      <w:r w:rsidR="00FF29D3" w:rsidRPr="00A0270F">
        <w:rPr>
          <w:rFonts w:eastAsiaTheme="minorEastAsia"/>
          <w:b/>
          <w:lang w:eastAsia="zh-CN"/>
        </w:rPr>
        <w:t xml:space="preserve">radio condition trigger </w:t>
      </w:r>
      <w:r w:rsidRPr="00A0270F">
        <w:rPr>
          <w:rFonts w:eastAsiaTheme="minorEastAsia"/>
          <w:b/>
          <w:lang w:eastAsia="zh-CN"/>
        </w:rPr>
        <w:t>and with location trigger</w:t>
      </w:r>
    </w:p>
    <w:p w14:paraId="2AEFA218" w14:textId="7060AE08" w:rsidR="004E628B" w:rsidRPr="00A0270F" w:rsidRDefault="004E628B" w:rsidP="00950105">
      <w:pPr>
        <w:pStyle w:val="afe"/>
        <w:numPr>
          <w:ilvl w:val="0"/>
          <w:numId w:val="14"/>
        </w:numPr>
        <w:spacing w:before="120" w:after="120"/>
        <w:rPr>
          <w:rFonts w:eastAsiaTheme="minorEastAsia"/>
          <w:b/>
          <w:lang w:eastAsia="zh-CN"/>
        </w:rPr>
      </w:pPr>
      <w:r w:rsidRPr="00A0270F">
        <w:rPr>
          <w:rFonts w:eastAsiaTheme="minorEastAsia"/>
          <w:b/>
          <w:lang w:eastAsia="zh-CN"/>
        </w:rPr>
        <w:t>Inter-frequency neighbor cell measurement with radio condition trigger</w:t>
      </w:r>
    </w:p>
    <w:p w14:paraId="747F8D8C" w14:textId="18220167" w:rsidR="004E628B" w:rsidRPr="00A0270F" w:rsidRDefault="004E628B" w:rsidP="00950105">
      <w:pPr>
        <w:pStyle w:val="afe"/>
        <w:numPr>
          <w:ilvl w:val="0"/>
          <w:numId w:val="14"/>
        </w:numPr>
        <w:spacing w:before="120" w:after="120"/>
        <w:rPr>
          <w:rFonts w:eastAsiaTheme="minorEastAsia"/>
          <w:b/>
          <w:lang w:eastAsia="zh-CN"/>
        </w:rPr>
      </w:pPr>
      <w:r w:rsidRPr="00A0270F">
        <w:rPr>
          <w:rFonts w:eastAsiaTheme="minorEastAsia"/>
          <w:b/>
          <w:lang w:eastAsia="zh-CN"/>
        </w:rPr>
        <w:t>Channel quality reporting accuracy</w:t>
      </w:r>
      <w:r w:rsidR="00A0270F" w:rsidRPr="00A0270F">
        <w:rPr>
          <w:rFonts w:eastAsiaTheme="minorEastAsia"/>
          <w:b/>
          <w:lang w:eastAsia="zh-CN"/>
        </w:rPr>
        <w:t>, in both Msg3 and connected mode</w:t>
      </w:r>
    </w:p>
    <w:p w14:paraId="260101F5" w14:textId="77A07ABB" w:rsidR="003535E2" w:rsidRPr="00A0270F" w:rsidRDefault="00A0270F" w:rsidP="003535E2">
      <w:pPr>
        <w:spacing w:before="120" w:after="120"/>
        <w:rPr>
          <w:rFonts w:eastAsiaTheme="minorEastAsia"/>
          <w:lang w:val="en-US" w:eastAsia="zh-CN"/>
        </w:rPr>
      </w:pPr>
      <w:r>
        <w:rPr>
          <w:rFonts w:eastAsiaTheme="minorEastAsia"/>
          <w:lang w:val="en-US" w:eastAsia="zh-CN"/>
        </w:rPr>
        <w:lastRenderedPageBreak/>
        <w:t xml:space="preserve">Among all the test cases, RLM test cases may require further RAN4 discussion because RAN4 needs to determine the Qin and </w:t>
      </w:r>
      <w:proofErr w:type="spellStart"/>
      <w:r>
        <w:rPr>
          <w:rFonts w:eastAsiaTheme="minorEastAsia"/>
          <w:lang w:val="en-US" w:eastAsia="zh-CN"/>
        </w:rPr>
        <w:t>Qout</w:t>
      </w:r>
      <w:proofErr w:type="spellEnd"/>
      <w:r>
        <w:rPr>
          <w:rFonts w:eastAsiaTheme="minorEastAsia"/>
          <w:lang w:val="en-US" w:eastAsia="zh-CN"/>
        </w:rPr>
        <w:t xml:space="preserve"> which will impact the SNR levels used in the test case. Qin and </w:t>
      </w:r>
      <w:proofErr w:type="spellStart"/>
      <w:r>
        <w:rPr>
          <w:rFonts w:eastAsiaTheme="minorEastAsia"/>
          <w:lang w:val="en-US" w:eastAsia="zh-CN"/>
        </w:rPr>
        <w:t>Qout</w:t>
      </w:r>
      <w:proofErr w:type="spellEnd"/>
      <w:r>
        <w:rPr>
          <w:rFonts w:eastAsiaTheme="minorEastAsia"/>
          <w:lang w:val="en-US" w:eastAsia="zh-CN"/>
        </w:rPr>
        <w:t xml:space="preserve"> depends on the NPDCCH parameter, more specifically the </w:t>
      </w:r>
      <w:proofErr w:type="spellStart"/>
      <w:r>
        <w:rPr>
          <w:rFonts w:eastAsiaTheme="minorEastAsia"/>
          <w:lang w:val="en-US" w:eastAsia="zh-CN"/>
        </w:rPr>
        <w:t>Rmax</w:t>
      </w:r>
      <w:proofErr w:type="spellEnd"/>
      <w:r>
        <w:rPr>
          <w:rFonts w:eastAsiaTheme="minorEastAsia"/>
          <w:lang w:val="en-US" w:eastAsia="zh-CN"/>
        </w:rPr>
        <w:t xml:space="preserve">. </w:t>
      </w:r>
      <w:r w:rsidR="001C7D57">
        <w:rPr>
          <w:rFonts w:eastAsiaTheme="minorEastAsia"/>
          <w:lang w:val="en-US" w:eastAsia="zh-CN"/>
        </w:rPr>
        <w:t xml:space="preserve">The </w:t>
      </w:r>
      <w:proofErr w:type="spellStart"/>
      <w:r w:rsidR="001C7D57">
        <w:rPr>
          <w:rFonts w:eastAsiaTheme="minorEastAsia"/>
          <w:lang w:val="en-US" w:eastAsia="zh-CN"/>
        </w:rPr>
        <w:t>Rmax</w:t>
      </w:r>
      <w:proofErr w:type="spellEnd"/>
      <w:r w:rsidR="001C7D57">
        <w:rPr>
          <w:rFonts w:eastAsiaTheme="minorEastAsia"/>
          <w:lang w:val="en-US" w:eastAsia="zh-CN"/>
        </w:rPr>
        <w:t xml:space="preserve"> used in </w:t>
      </w:r>
      <w:r>
        <w:rPr>
          <w:rFonts w:eastAsiaTheme="minorEastAsia"/>
          <w:lang w:val="en-US" w:eastAsia="zh-CN"/>
        </w:rPr>
        <w:t xml:space="preserve">existing </w:t>
      </w:r>
      <w:r w:rsidR="001C7D57">
        <w:rPr>
          <w:rFonts w:eastAsiaTheme="minorEastAsia"/>
          <w:lang w:val="en-US" w:eastAsia="zh-CN"/>
        </w:rPr>
        <w:t xml:space="preserve">test cases are much larger than 2, the value assumed for this WI, so RAN4 may need to conduct a simulation campaign. </w:t>
      </w:r>
    </w:p>
    <w:p w14:paraId="07E2BBCA" w14:textId="5E5901D3" w:rsidR="00F40BE1" w:rsidRPr="001C7D57" w:rsidRDefault="00F40BE1" w:rsidP="003535E2">
      <w:pPr>
        <w:spacing w:before="120" w:after="120"/>
        <w:rPr>
          <w:rFonts w:eastAsiaTheme="minorEastAsia"/>
          <w:b/>
          <w:lang w:val="en-US" w:eastAsia="zh-CN"/>
        </w:rPr>
      </w:pPr>
      <w:r w:rsidRPr="001C7D57">
        <w:rPr>
          <w:rFonts w:eastAsiaTheme="minorEastAsia" w:hint="eastAsia"/>
          <w:b/>
          <w:lang w:val="en-US" w:eastAsia="zh-CN"/>
        </w:rPr>
        <w:t>P</w:t>
      </w:r>
      <w:r w:rsidRPr="001C7D57">
        <w:rPr>
          <w:rFonts w:eastAsiaTheme="minorEastAsia"/>
          <w:b/>
          <w:lang w:val="en-US" w:eastAsia="zh-CN"/>
        </w:rPr>
        <w:t xml:space="preserve">roposal 4: RAN4 to discuss the </w:t>
      </w:r>
      <w:r w:rsidR="001319F0" w:rsidRPr="001C7D57">
        <w:rPr>
          <w:rFonts w:eastAsiaTheme="minorEastAsia"/>
          <w:b/>
          <w:lang w:val="en-US" w:eastAsia="zh-CN"/>
        </w:rPr>
        <w:t xml:space="preserve">Qin and </w:t>
      </w:r>
      <w:proofErr w:type="spellStart"/>
      <w:r w:rsidR="001319F0" w:rsidRPr="001C7D57">
        <w:rPr>
          <w:rFonts w:eastAsiaTheme="minorEastAsia"/>
          <w:b/>
          <w:lang w:val="en-US" w:eastAsia="zh-CN"/>
        </w:rPr>
        <w:t>Qout</w:t>
      </w:r>
      <w:proofErr w:type="spellEnd"/>
      <w:r w:rsidR="001319F0" w:rsidRPr="001C7D57">
        <w:rPr>
          <w:rFonts w:eastAsiaTheme="minorEastAsia"/>
          <w:b/>
          <w:lang w:val="en-US" w:eastAsia="zh-CN"/>
        </w:rPr>
        <w:t xml:space="preserve"> for RLM test cases</w:t>
      </w:r>
      <w:r w:rsidR="001C7D57">
        <w:rPr>
          <w:rFonts w:eastAsiaTheme="minorEastAsia"/>
          <w:b/>
          <w:lang w:val="en-US" w:eastAsia="zh-CN"/>
        </w:rPr>
        <w:t xml:space="preserve"> based on </w:t>
      </w:r>
      <w:proofErr w:type="spellStart"/>
      <w:r w:rsidR="001C7D57">
        <w:rPr>
          <w:rFonts w:eastAsiaTheme="minorEastAsia"/>
          <w:b/>
          <w:lang w:val="en-US" w:eastAsia="zh-CN"/>
        </w:rPr>
        <w:t>Rmax</w:t>
      </w:r>
      <w:proofErr w:type="spellEnd"/>
      <w:r w:rsidR="001C7D57">
        <w:rPr>
          <w:rFonts w:eastAsiaTheme="minorEastAsia"/>
          <w:b/>
          <w:lang w:val="en-US" w:eastAsia="zh-CN"/>
        </w:rPr>
        <w:t xml:space="preserve"> =2</w:t>
      </w:r>
      <w:r w:rsidR="001319F0" w:rsidRPr="001C7D57">
        <w:rPr>
          <w:rFonts w:eastAsiaTheme="minorEastAsia"/>
          <w:b/>
          <w:lang w:val="en-US" w:eastAsia="zh-CN"/>
        </w:rPr>
        <w:t>.</w:t>
      </w:r>
    </w:p>
    <w:p w14:paraId="3268F873" w14:textId="77777777" w:rsidR="004729BE" w:rsidRDefault="004729BE" w:rsidP="004729BE">
      <w:pPr>
        <w:pStyle w:val="1"/>
        <w:jc w:val="both"/>
        <w:rPr>
          <w:lang w:val="en-US"/>
        </w:rPr>
      </w:pPr>
      <w:r>
        <w:rPr>
          <w:lang w:val="en-US"/>
        </w:rPr>
        <w:t>Conclusions</w:t>
      </w:r>
    </w:p>
    <w:p w14:paraId="00102B00" w14:textId="0F91869E"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3535E2">
        <w:rPr>
          <w:rFonts w:eastAsia="宋体" w:hint="eastAsia"/>
          <w:lang w:eastAsia="zh-CN"/>
        </w:rPr>
        <w:t>RRM</w:t>
      </w:r>
      <w:r w:rsidR="003535E2">
        <w:rPr>
          <w:rFonts w:eastAsia="宋体"/>
          <w:lang w:eastAsia="zh-CN"/>
        </w:rPr>
        <w:t xml:space="preserve"> </w:t>
      </w:r>
      <w:r w:rsidR="003535E2">
        <w:rPr>
          <w:rFonts w:eastAsia="宋体" w:hint="eastAsia"/>
          <w:lang w:eastAsia="zh-CN"/>
        </w:rPr>
        <w:t>performance</w:t>
      </w:r>
      <w:r w:rsidR="003535E2">
        <w:rPr>
          <w:rFonts w:eastAsia="宋体"/>
          <w:lang w:eastAsia="zh-CN"/>
        </w:rPr>
        <w:t xml:space="preserve"> </w:t>
      </w:r>
      <w:r w:rsidR="003535E2">
        <w:rPr>
          <w:rFonts w:eastAsia="宋体" w:hint="eastAsia"/>
          <w:lang w:eastAsia="zh-CN"/>
        </w:rPr>
        <w:t>requirements</w:t>
      </w:r>
      <w:r w:rsidR="003535E2">
        <w:rPr>
          <w:rFonts w:eastAsia="宋体"/>
          <w:lang w:eastAsia="zh-CN"/>
        </w:rPr>
        <w:t xml:space="preserve"> for IoT NTN TDD</w:t>
      </w:r>
      <w:r w:rsidR="00DD2712">
        <w:rPr>
          <w:rFonts w:eastAsia="宋体"/>
          <w:lang w:eastAsia="zh-CN"/>
        </w:rPr>
        <w:t>.</w:t>
      </w:r>
    </w:p>
    <w:p w14:paraId="2444262E" w14:textId="77777777" w:rsidR="001C7D57" w:rsidRPr="00FE7DB3" w:rsidRDefault="001C7D57" w:rsidP="001C7D57">
      <w:pPr>
        <w:spacing w:before="120" w:after="120"/>
        <w:rPr>
          <w:rFonts w:eastAsiaTheme="minorEastAsia"/>
          <w:b/>
          <w:lang w:val="en-US" w:eastAsia="zh-CN"/>
        </w:rPr>
      </w:pPr>
      <w:r w:rsidRPr="00FE7DB3">
        <w:rPr>
          <w:rFonts w:eastAsiaTheme="minorEastAsia" w:hint="eastAsia"/>
          <w:b/>
          <w:lang w:val="en-US" w:eastAsia="zh-CN"/>
        </w:rPr>
        <w:t>P</w:t>
      </w:r>
      <w:r w:rsidRPr="00FE7DB3">
        <w:rPr>
          <w:rFonts w:eastAsiaTheme="minorEastAsia"/>
          <w:b/>
          <w:lang w:val="en-US" w:eastAsia="zh-CN"/>
        </w:rPr>
        <w:t>roposal 1: RAN4 to define accuracy requirements for NRSRP/Q and channel quality report for IoT NTN TDD by re-using the existing requirements for NB-IoT NTN, except the side condition.</w:t>
      </w:r>
    </w:p>
    <w:p w14:paraId="65796775" w14:textId="77777777" w:rsidR="001C7D57" w:rsidRPr="00FE7DB3" w:rsidRDefault="001C7D57" w:rsidP="001C7D57">
      <w:pPr>
        <w:spacing w:before="120" w:after="120"/>
        <w:rPr>
          <w:rFonts w:eastAsiaTheme="minorEastAsia"/>
          <w:b/>
          <w:lang w:val="en-US" w:eastAsia="zh-CN"/>
        </w:rPr>
      </w:pPr>
      <w:r w:rsidRPr="00FE7DB3">
        <w:rPr>
          <w:rFonts w:eastAsiaTheme="minorEastAsia" w:hint="eastAsia"/>
          <w:b/>
          <w:lang w:val="en-US" w:eastAsia="zh-CN"/>
        </w:rPr>
        <w:t>P</w:t>
      </w:r>
      <w:r w:rsidRPr="00FE7DB3">
        <w:rPr>
          <w:rFonts w:eastAsiaTheme="minorEastAsia"/>
          <w:b/>
          <w:lang w:val="en-US" w:eastAsia="zh-CN"/>
        </w:rPr>
        <w:t>roposal 2: RAN4 to define PHR requirements for IoT NTN TDD by re-using the existing requirements for NB-IoT NTN.</w:t>
      </w:r>
    </w:p>
    <w:p w14:paraId="7D82EEE8" w14:textId="77777777" w:rsidR="001C7D57" w:rsidRPr="00A0270F" w:rsidRDefault="001C7D57" w:rsidP="001C7D57">
      <w:pPr>
        <w:spacing w:before="120" w:after="120"/>
        <w:rPr>
          <w:rFonts w:eastAsiaTheme="minorEastAsia"/>
          <w:b/>
          <w:lang w:val="en-US" w:eastAsia="zh-CN"/>
        </w:rPr>
      </w:pPr>
      <w:r w:rsidRPr="00A0270F">
        <w:rPr>
          <w:rFonts w:eastAsiaTheme="minorEastAsia" w:hint="eastAsia"/>
          <w:b/>
          <w:lang w:val="en-US" w:eastAsia="zh-CN"/>
        </w:rPr>
        <w:t>P</w:t>
      </w:r>
      <w:r w:rsidRPr="00A0270F">
        <w:rPr>
          <w:rFonts w:eastAsiaTheme="minorEastAsia"/>
          <w:b/>
          <w:lang w:val="en-US" w:eastAsia="zh-CN"/>
        </w:rPr>
        <w:t>roposal 3: RAN4 to define the following TCs for IoT NTN TDD.</w:t>
      </w:r>
    </w:p>
    <w:p w14:paraId="231440B4"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b/>
          <w:lang w:eastAsia="zh-CN"/>
        </w:rPr>
        <w:t xml:space="preserve">Intra-frequency cell reselection </w:t>
      </w:r>
    </w:p>
    <w:p w14:paraId="5B030E22"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b/>
          <w:lang w:eastAsia="zh-CN"/>
        </w:rPr>
        <w:t xml:space="preserve">Inter-frequency cell reselection </w:t>
      </w:r>
    </w:p>
    <w:p w14:paraId="1F4218E7"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b/>
          <w:lang w:eastAsia="zh-CN"/>
        </w:rPr>
        <w:t xml:space="preserve">Re-establishment </w:t>
      </w:r>
    </w:p>
    <w:p w14:paraId="45C214A2"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b/>
          <w:lang w:eastAsia="zh-CN"/>
        </w:rPr>
        <w:t>Random access</w:t>
      </w:r>
    </w:p>
    <w:p w14:paraId="419E65F7"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b/>
          <w:lang w:eastAsia="zh-CN"/>
        </w:rPr>
        <w:t xml:space="preserve">Transmit timing and </w:t>
      </w:r>
      <w:r w:rsidRPr="00A0270F">
        <w:rPr>
          <w:rFonts w:eastAsiaTheme="minorEastAsia" w:hint="eastAsia"/>
          <w:b/>
          <w:lang w:eastAsia="zh-CN"/>
        </w:rPr>
        <w:t>T</w:t>
      </w:r>
      <w:r w:rsidRPr="00A0270F">
        <w:rPr>
          <w:rFonts w:eastAsiaTheme="minorEastAsia"/>
          <w:b/>
          <w:lang w:eastAsia="zh-CN"/>
        </w:rPr>
        <w:t>A accuracy</w:t>
      </w:r>
    </w:p>
    <w:p w14:paraId="74BA89C5"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hint="eastAsia"/>
          <w:b/>
          <w:lang w:eastAsia="zh-CN"/>
        </w:rPr>
        <w:t>R</w:t>
      </w:r>
      <w:r w:rsidRPr="00A0270F">
        <w:rPr>
          <w:rFonts w:eastAsiaTheme="minorEastAsia"/>
          <w:b/>
          <w:lang w:eastAsia="zh-CN"/>
        </w:rPr>
        <w:t>LM OOS and RLM IS, both without DRX and with DRX</w:t>
      </w:r>
    </w:p>
    <w:p w14:paraId="334450FD"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b/>
          <w:lang w:eastAsia="zh-CN"/>
        </w:rPr>
        <w:t>Intra-frequency neighbor cell measurement, with radio condition trigger and with location trigger</w:t>
      </w:r>
    </w:p>
    <w:p w14:paraId="5EE3CEA7"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b/>
          <w:lang w:eastAsia="zh-CN"/>
        </w:rPr>
        <w:t>Inter-frequency neighbor cell measurement with radio condition trigger</w:t>
      </w:r>
    </w:p>
    <w:p w14:paraId="647BC737" w14:textId="77777777" w:rsidR="001C7D57" w:rsidRPr="00A0270F" w:rsidRDefault="001C7D57" w:rsidP="001C7D57">
      <w:pPr>
        <w:pStyle w:val="afe"/>
        <w:numPr>
          <w:ilvl w:val="0"/>
          <w:numId w:val="14"/>
        </w:numPr>
        <w:spacing w:before="120" w:after="120"/>
        <w:rPr>
          <w:rFonts w:eastAsiaTheme="minorEastAsia"/>
          <w:b/>
          <w:lang w:eastAsia="zh-CN"/>
        </w:rPr>
      </w:pPr>
      <w:r w:rsidRPr="00A0270F">
        <w:rPr>
          <w:rFonts w:eastAsiaTheme="minorEastAsia"/>
          <w:b/>
          <w:lang w:eastAsia="zh-CN"/>
        </w:rPr>
        <w:t>Channel quality reporting accuracy, in both Msg3 and connected mode</w:t>
      </w:r>
    </w:p>
    <w:p w14:paraId="5CE61E28" w14:textId="55091090" w:rsidR="003535E2" w:rsidRPr="001C7D57" w:rsidRDefault="001C7D57" w:rsidP="004729BE">
      <w:pPr>
        <w:spacing w:before="120" w:after="120"/>
        <w:rPr>
          <w:rFonts w:eastAsiaTheme="minorEastAsia"/>
          <w:b/>
          <w:lang w:val="en-US" w:eastAsia="zh-CN"/>
        </w:rPr>
      </w:pPr>
      <w:r w:rsidRPr="001C7D57">
        <w:rPr>
          <w:rFonts w:eastAsiaTheme="minorEastAsia" w:hint="eastAsia"/>
          <w:b/>
          <w:lang w:val="en-US" w:eastAsia="zh-CN"/>
        </w:rPr>
        <w:t>P</w:t>
      </w:r>
      <w:r w:rsidRPr="001C7D57">
        <w:rPr>
          <w:rFonts w:eastAsiaTheme="minorEastAsia"/>
          <w:b/>
          <w:lang w:val="en-US" w:eastAsia="zh-CN"/>
        </w:rPr>
        <w:t xml:space="preserve">roposal 4: RAN4 to discuss the Qin and </w:t>
      </w:r>
      <w:proofErr w:type="spellStart"/>
      <w:r w:rsidRPr="001C7D57">
        <w:rPr>
          <w:rFonts w:eastAsiaTheme="minorEastAsia"/>
          <w:b/>
          <w:lang w:val="en-US" w:eastAsia="zh-CN"/>
        </w:rPr>
        <w:t>Qout</w:t>
      </w:r>
      <w:proofErr w:type="spellEnd"/>
      <w:r w:rsidRPr="001C7D57">
        <w:rPr>
          <w:rFonts w:eastAsiaTheme="minorEastAsia"/>
          <w:b/>
          <w:lang w:val="en-US" w:eastAsia="zh-CN"/>
        </w:rPr>
        <w:t xml:space="preserve"> for RLM test cases</w:t>
      </w:r>
      <w:r>
        <w:rPr>
          <w:rFonts w:eastAsiaTheme="minorEastAsia"/>
          <w:b/>
          <w:lang w:val="en-US" w:eastAsia="zh-CN"/>
        </w:rPr>
        <w:t xml:space="preserve"> based on </w:t>
      </w:r>
      <w:proofErr w:type="spellStart"/>
      <w:r>
        <w:rPr>
          <w:rFonts w:eastAsiaTheme="minorEastAsia"/>
          <w:b/>
          <w:lang w:val="en-US" w:eastAsia="zh-CN"/>
        </w:rPr>
        <w:t>Rmax</w:t>
      </w:r>
      <w:proofErr w:type="spellEnd"/>
      <w:r>
        <w:rPr>
          <w:rFonts w:eastAsiaTheme="minorEastAsia"/>
          <w:b/>
          <w:lang w:val="en-US" w:eastAsia="zh-CN"/>
        </w:rPr>
        <w:t xml:space="preserve"> =2</w:t>
      </w:r>
      <w:r w:rsidRPr="001C7D57">
        <w:rPr>
          <w:rFonts w:eastAsiaTheme="minorEastAsia"/>
          <w:b/>
          <w:lang w:val="en-US" w:eastAsia="zh-CN"/>
        </w:rPr>
        <w:t>.</w:t>
      </w:r>
    </w:p>
    <w:p w14:paraId="2ED084EA" w14:textId="77777777" w:rsidR="00FA0C0C" w:rsidRDefault="00FA0C0C" w:rsidP="00FA0C0C">
      <w:pPr>
        <w:pStyle w:val="1"/>
        <w:jc w:val="both"/>
        <w:rPr>
          <w:lang w:val="en-US"/>
        </w:rPr>
      </w:pPr>
      <w:r w:rsidRPr="00C0754F">
        <w:rPr>
          <w:lang w:val="en-US"/>
        </w:rPr>
        <w:t>Reference</w:t>
      </w:r>
    </w:p>
    <w:p w14:paraId="3AD19FC2" w14:textId="675F9F16" w:rsidR="00271963" w:rsidRDefault="008B003F" w:rsidP="002A6B97">
      <w:pPr>
        <w:numPr>
          <w:ilvl w:val="0"/>
          <w:numId w:val="5"/>
        </w:numPr>
        <w:spacing w:before="120" w:after="120"/>
        <w:rPr>
          <w:rFonts w:eastAsia="宋体"/>
          <w:lang w:val="en-US" w:eastAsia="zh-CN"/>
        </w:rPr>
      </w:pPr>
      <w:r w:rsidRPr="008B003F">
        <w:rPr>
          <w:rFonts w:eastAsia="宋体"/>
          <w:lang w:val="en-US" w:eastAsia="zh-CN"/>
        </w:rPr>
        <w:t>R4-25121</w:t>
      </w:r>
      <w:r w:rsidR="00196350">
        <w:rPr>
          <w:rFonts w:eastAsia="宋体"/>
          <w:lang w:val="en-US" w:eastAsia="zh-CN"/>
        </w:rPr>
        <w:t>49</w:t>
      </w:r>
      <w:r>
        <w:rPr>
          <w:rFonts w:eastAsia="宋体"/>
          <w:lang w:val="en-US" w:eastAsia="zh-CN"/>
        </w:rPr>
        <w:t xml:space="preserve">, </w:t>
      </w:r>
      <w:r w:rsidR="00196350" w:rsidRPr="00196350">
        <w:rPr>
          <w:rFonts w:eastAsia="宋体"/>
          <w:lang w:val="en-US" w:eastAsia="zh-CN"/>
        </w:rPr>
        <w:t xml:space="preserve">WF on RRM requirements for </w:t>
      </w:r>
      <w:proofErr w:type="spellStart"/>
      <w:r w:rsidR="00196350" w:rsidRPr="00196350">
        <w:rPr>
          <w:rFonts w:eastAsia="宋体"/>
          <w:lang w:val="en-US" w:eastAsia="zh-CN"/>
        </w:rPr>
        <w:t>IoT_NTN_TDD</w:t>
      </w:r>
      <w:proofErr w:type="spellEnd"/>
      <w:r>
        <w:rPr>
          <w:rFonts w:eastAsia="宋体"/>
          <w:lang w:val="en-US" w:eastAsia="zh-CN"/>
        </w:rPr>
        <w:t xml:space="preserve">, </w:t>
      </w:r>
      <w:r w:rsidR="00196350" w:rsidRPr="00196350">
        <w:rPr>
          <w:rFonts w:eastAsia="宋体"/>
          <w:lang w:val="en-US" w:eastAsia="zh-CN"/>
        </w:rPr>
        <w:t>Moderator (Qualcomm Incorporated)</w:t>
      </w:r>
    </w:p>
    <w:sectPr w:rsidR="0027196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D8C71" w14:textId="77777777" w:rsidR="00BE7BF5" w:rsidRDefault="00BE7BF5">
      <w:pPr>
        <w:spacing w:before="120" w:after="120"/>
      </w:pPr>
      <w:r>
        <w:separator/>
      </w:r>
    </w:p>
  </w:endnote>
  <w:endnote w:type="continuationSeparator" w:id="0">
    <w:p w14:paraId="1CCFE345" w14:textId="77777777" w:rsidR="00BE7BF5" w:rsidRDefault="00BE7BF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17CB7" w14:textId="77777777" w:rsidR="00BE7BF5" w:rsidRDefault="00BE7BF5">
      <w:pPr>
        <w:spacing w:before="120" w:after="120"/>
      </w:pPr>
      <w:r>
        <w:separator/>
      </w:r>
    </w:p>
  </w:footnote>
  <w:footnote w:type="continuationSeparator" w:id="0">
    <w:p w14:paraId="5AF97688" w14:textId="77777777" w:rsidR="00BE7BF5" w:rsidRDefault="00BE7BF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AD71C8"/>
    <w:multiLevelType w:val="hybridMultilevel"/>
    <w:tmpl w:val="B9B619C0"/>
    <w:lvl w:ilvl="0" w:tplc="8F3A4D9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0"/>
  </w:num>
  <w:num w:numId="3">
    <w:abstractNumId w:val="13"/>
  </w:num>
  <w:num w:numId="4">
    <w:abstractNumId w:val="1"/>
  </w:num>
  <w:num w:numId="5">
    <w:abstractNumId w:val="3"/>
  </w:num>
  <w:num w:numId="6">
    <w:abstractNumId w:val="9"/>
  </w:num>
  <w:num w:numId="7">
    <w:abstractNumId w:val="6"/>
  </w:num>
  <w:num w:numId="8">
    <w:abstractNumId w:val="14"/>
    <w:lvlOverride w:ilvl="0">
      <w:startOverride w:val="1"/>
    </w:lvlOverride>
  </w:num>
  <w:num w:numId="9">
    <w:abstractNumId w:val="7"/>
  </w:num>
  <w:num w:numId="10">
    <w:abstractNumId w:val="12"/>
  </w:num>
  <w:num w:numId="11">
    <w:abstractNumId w:val="11"/>
  </w:num>
  <w:num w:numId="12">
    <w:abstractNumId w:val="5"/>
  </w:num>
  <w:num w:numId="13">
    <w:abstractNumId w:val="0"/>
  </w:num>
  <w:num w:numId="14">
    <w:abstractNumId w:val="2"/>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5DAD"/>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1E"/>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28"/>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27"/>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0F3"/>
    <w:rsid w:val="00124252"/>
    <w:rsid w:val="001243E2"/>
    <w:rsid w:val="00124543"/>
    <w:rsid w:val="00124802"/>
    <w:rsid w:val="00124944"/>
    <w:rsid w:val="00124C7E"/>
    <w:rsid w:val="00125A3A"/>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9F0"/>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4AAF"/>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350"/>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57"/>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CD5"/>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4EC"/>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D87"/>
    <w:rsid w:val="00270F79"/>
    <w:rsid w:val="0027102E"/>
    <w:rsid w:val="0027178E"/>
    <w:rsid w:val="00271963"/>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4A0"/>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03"/>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5E2"/>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CE9"/>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087"/>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0F76"/>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28B"/>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98E"/>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5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7B0"/>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9F4"/>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278"/>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C21"/>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2B92"/>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5AA"/>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EA6"/>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1A"/>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418"/>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4CB"/>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0E4"/>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03F"/>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723"/>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67"/>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105"/>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514"/>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3"/>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007"/>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0F"/>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19B2"/>
    <w:rsid w:val="00A924F0"/>
    <w:rsid w:val="00A92641"/>
    <w:rsid w:val="00A92AFD"/>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001"/>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2F13"/>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BF5"/>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1B1"/>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368"/>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58A"/>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F01"/>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D6C"/>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A4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639"/>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0BE1"/>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DB3"/>
    <w:rsid w:val="00FE7EB7"/>
    <w:rsid w:val="00FF0C6E"/>
    <w:rsid w:val="00FF0DAF"/>
    <w:rsid w:val="00FF1437"/>
    <w:rsid w:val="00FF14AD"/>
    <w:rsid w:val="00FF1694"/>
    <w:rsid w:val="00FF18C0"/>
    <w:rsid w:val="00FF1C4B"/>
    <w:rsid w:val="00FF1E81"/>
    <w:rsid w:val="00FF2308"/>
    <w:rsid w:val="00FF25EB"/>
    <w:rsid w:val="00FF28CE"/>
    <w:rsid w:val="00FF29D3"/>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34"/>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qFormat/>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42554F-B8C6-41F7-9B4E-320AD3EB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57529</TotalTime>
  <Pages>2</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557</cp:revision>
  <cp:lastPrinted>2009-04-22T06:01:00Z</cp:lastPrinted>
  <dcterms:created xsi:type="dcterms:W3CDTF">2023-05-06T02:02:00Z</dcterms:created>
  <dcterms:modified xsi:type="dcterms:W3CDTF">2025-10-03T12:43:00Z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