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7E78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bookmarkStart w:id="10" w:name="_GoBack"/>
      <w:r>
        <w:rPr>
          <w:rFonts w:hint="eastAsia" w:ascii="Arial" w:hAnsi="Arial" w:cs="Arial"/>
          <w:b/>
          <w:sz w:val="24"/>
          <w:szCs w:val="24"/>
          <w:highlight w:val="none"/>
        </w:rPr>
        <w:t>R4-2513357</w:t>
      </w:r>
      <w:bookmarkEnd w:id="10"/>
    </w:p>
    <w:p w14:paraId="7EB7DE3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r>
        <w:rPr>
          <w:rFonts w:hint="eastAsia" w:ascii="Arial" w:hAnsi="Arial" w:cs="Arial"/>
          <w:b/>
          <w:sz w:val="24"/>
          <w:szCs w:val="24"/>
          <w:highlight w:val="none"/>
        </w:rPr>
        <w:t>Prague, Czech Republic, Oct. 13-17, 2025</w:t>
      </w:r>
    </w:p>
    <w:p w14:paraId="08992FB2">
      <w:pPr>
        <w:rPr>
          <w:rFonts w:ascii="Arial" w:hAnsi="Arial" w:cs="Arial"/>
          <w:b/>
          <w:bCs/>
          <w:sz w:val="24"/>
          <w:szCs w:val="28"/>
        </w:rPr>
      </w:pPr>
    </w:p>
    <w:p w14:paraId="191B5019">
      <w:pPr>
        <w:tabs>
          <w:tab w:val="left" w:pos="1980"/>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4</w:t>
      </w:r>
      <w:r>
        <w:rPr>
          <w:rFonts w:hint="eastAsia" w:ascii="Arial" w:hAnsi="Arial" w:cs="Arial"/>
          <w:b/>
          <w:sz w:val="24"/>
          <w:szCs w:val="24"/>
        </w:rPr>
        <w:t>.2</w:t>
      </w:r>
      <w:r>
        <w:rPr>
          <w:rFonts w:hint="eastAsia" w:ascii="Arial" w:hAnsi="Arial" w:cs="Arial"/>
          <w:b/>
          <w:sz w:val="24"/>
          <w:szCs w:val="24"/>
          <w:lang w:val="en-US" w:eastAsia="zh-CN"/>
        </w:rPr>
        <w:t>0</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1</w:t>
      </w:r>
    </w:p>
    <w:p w14:paraId="47DC912B">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73BA006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14:paraId="41AE4AD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567997E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7E70201C">
      <w:pPr>
        <w:spacing w:after="180"/>
        <w:rPr>
          <w:rFonts w:ascii="Times New Roman" w:hAnsi="Times New Roman"/>
          <w:sz w:val="20"/>
        </w:rPr>
      </w:pPr>
      <w:r>
        <w:rPr>
          <w:rFonts w:hint="eastAsia" w:ascii="Times New Roman" w:hAnsi="Times New Roman"/>
          <w:sz w:val="20"/>
        </w:rPr>
        <w:t>In RAN plenary #106 meeting, a new WI[1] of A-IoT is approved with following RAN4 lead RF part objectives:</w:t>
      </w:r>
    </w:p>
    <w:p w14:paraId="2E8CBD05">
      <w:pPr>
        <w:numPr>
          <w:ilvl w:val="0"/>
          <w:numId w:val="2"/>
        </w:numPr>
        <w:spacing w:after="180"/>
        <w:rPr>
          <w:rFonts w:ascii="Times New Roman" w:hAnsi="Times New Roman"/>
          <w:sz w:val="20"/>
        </w:rPr>
      </w:pPr>
      <w:r>
        <w:rPr>
          <w:rFonts w:ascii="Times New Roman" w:hAnsi="Times New Roman"/>
          <w:sz w:val="20"/>
        </w:rPr>
        <w:t>RAN4 scope:</w:t>
      </w:r>
    </w:p>
    <w:p w14:paraId="683C438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6AF87726">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58FFE178">
      <w:pPr>
        <w:numPr>
          <w:ilvl w:val="2"/>
          <w:numId w:val="2"/>
        </w:numPr>
        <w:spacing w:after="180"/>
        <w:rPr>
          <w:rFonts w:ascii="Times New Roman" w:hAnsi="Times New Roman"/>
          <w:bCs/>
          <w:sz w:val="20"/>
        </w:rPr>
      </w:pPr>
      <w:r>
        <w:rPr>
          <w:rFonts w:ascii="Times New Roman" w:hAnsi="Times New Roman"/>
          <w:bCs/>
          <w:sz w:val="20"/>
        </w:rPr>
        <w:t>RF requirements for device 1</w:t>
      </w:r>
    </w:p>
    <w:p w14:paraId="6B798B63">
      <w:pPr>
        <w:numPr>
          <w:ilvl w:val="2"/>
          <w:numId w:val="2"/>
        </w:numPr>
        <w:spacing w:after="180"/>
        <w:rPr>
          <w:rFonts w:ascii="Times New Roman" w:hAnsi="Times New Roman"/>
          <w:bCs/>
          <w:sz w:val="20"/>
        </w:rPr>
      </w:pPr>
      <w:r>
        <w:rPr>
          <w:rFonts w:ascii="Times New Roman" w:hAnsi="Times New Roman"/>
          <w:bCs/>
          <w:sz w:val="20"/>
        </w:rPr>
        <w:t>RF requirements for CW</w:t>
      </w:r>
    </w:p>
    <w:p w14:paraId="30E54A27">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675A974D">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196B5CB6">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46D06FA2">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45577890">
      <w:pPr>
        <w:numPr>
          <w:ilvl w:val="1"/>
          <w:numId w:val="2"/>
        </w:numPr>
        <w:spacing w:after="180"/>
        <w:rPr>
          <w:rFonts w:ascii="Times New Roman" w:hAnsi="Times New Roman"/>
          <w:bCs/>
          <w:sz w:val="20"/>
        </w:rPr>
      </w:pPr>
      <w:r>
        <w:rPr>
          <w:rFonts w:ascii="Times New Roman" w:hAnsi="Times New Roman"/>
          <w:bCs/>
          <w:sz w:val="20"/>
        </w:rPr>
        <w:t>Use band n8 as an example band</w:t>
      </w:r>
    </w:p>
    <w:p w14:paraId="33545AB0">
      <w:pPr>
        <w:spacing w:before="156" w:beforeLines="50"/>
        <w:rPr>
          <w:rFonts w:ascii="Times New Roman" w:hAnsi="Times New Roman"/>
          <w:sz w:val="20"/>
        </w:rPr>
      </w:pPr>
      <w:r>
        <w:rPr>
          <w:rFonts w:hint="eastAsia" w:ascii="Times New Roman" w:hAnsi="Times New Roman"/>
          <w:bCs/>
          <w:sz w:val="20"/>
          <w:szCs w:val="20"/>
        </w:rPr>
        <w:t>In this contribution, we discuss the RF requirements A-IOT devices.</w:t>
      </w:r>
    </w:p>
    <w:p w14:paraId="2C1A5C02">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9CE8AC6">
      <w:pPr>
        <w:pStyle w:val="4"/>
        <w:spacing w:before="156" w:after="156"/>
      </w:pPr>
      <w:r>
        <w:rPr>
          <w:rFonts w:hint="eastAsia"/>
        </w:rPr>
        <w:t xml:space="preserve">2.1 </w:t>
      </w:r>
      <w:r>
        <w:rPr>
          <w:rFonts w:hint="eastAsia" w:eastAsiaTheme="minorEastAsia"/>
        </w:rPr>
        <w:t>Tx requirements</w:t>
      </w:r>
    </w:p>
    <w:p w14:paraId="159DC4AA">
      <w:pPr>
        <w:numPr>
          <w:ilvl w:val="0"/>
          <w:numId w:val="4"/>
        </w:numPr>
        <w:spacing w:after="180"/>
        <w:ind w:left="420" w:leftChars="0" w:hanging="420" w:firstLineChars="0"/>
        <w:jc w:val="left"/>
        <w:rPr>
          <w:rFonts w:ascii="Times New Roman" w:hAnsi="Times New Roman"/>
          <w:b/>
          <w:bCs/>
          <w:sz w:val="20"/>
          <w:szCs w:val="20"/>
        </w:rPr>
      </w:pPr>
      <w:r>
        <w:rPr>
          <w:rFonts w:hint="eastAsia" w:ascii="Times New Roman" w:hAnsi="Times New Roman"/>
          <w:b/>
          <w:bCs/>
          <w:sz w:val="20"/>
          <w:szCs w:val="20"/>
          <w:lang w:val="en-US" w:eastAsia="zh-CN"/>
        </w:rPr>
        <w:t>Backscattering power</w:t>
      </w:r>
    </w:p>
    <w:p w14:paraId="26110C64">
      <w:pPr>
        <w:spacing w:after="180"/>
        <w:jc w:val="left"/>
        <w:rPr>
          <w:rFonts w:hint="eastAsia" w:ascii="Times New Roman" w:hAnsi="Times New Roman"/>
          <w:sz w:val="20"/>
          <w:szCs w:val="20"/>
          <w:lang w:val="en-US" w:eastAsia="zh-CN"/>
        </w:rPr>
      </w:pPr>
      <w:bookmarkStart w:id="1" w:name="OLE_LINK33"/>
      <w:r>
        <w:rPr>
          <w:rFonts w:hint="eastAsia" w:ascii="Times New Roman" w:hAnsi="Times New Roman"/>
          <w:sz w:val="20"/>
          <w:szCs w:val="20"/>
          <w:lang w:val="en-US" w:eastAsia="zh-CN"/>
        </w:rPr>
        <w:t>Last meeting agreements are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27C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9E37F8A">
            <w:pPr>
              <w:widowControl/>
              <w:spacing w:before="120" w:after="180" w:afterLines="0" w:line="240" w:lineRule="auto"/>
              <w:ind w:firstLine="0" w:firstLineChars="0"/>
              <w:jc w:val="left"/>
              <w:rPr>
                <w:rFonts w:hint="default" w:ascii="Times New Roman" w:hAnsi="Times New Roman" w:eastAsia="等线" w:cs="Times New Roman"/>
                <w:b/>
                <w:bCs/>
                <w:kern w:val="0"/>
                <w:szCs w:val="20"/>
                <w:u w:val="single"/>
              </w:rPr>
            </w:pPr>
            <w:r>
              <w:rPr>
                <w:rFonts w:hint="default" w:ascii="Times New Roman" w:hAnsi="Times New Roman" w:eastAsia="等线" w:cs="Times New Roman"/>
                <w:b/>
                <w:bCs/>
                <w:kern w:val="0"/>
                <w:szCs w:val="20"/>
                <w:u w:val="single"/>
              </w:rPr>
              <w:t xml:space="preserve">Issue 3-1-1: Transmit output power </w:t>
            </w:r>
          </w:p>
          <w:p w14:paraId="652C42A8">
            <w:pPr>
              <w:widowControl/>
              <w:spacing w:before="120" w:after="180" w:afterLines="0" w:line="240" w:lineRule="auto"/>
              <w:ind w:firstLine="0" w:firstLineChars="0"/>
              <w:jc w:val="left"/>
              <w:rPr>
                <w:rFonts w:hint="default" w:ascii="Times New Roman" w:hAnsi="Times New Roman" w:eastAsia="等线" w:cs="Times New Roman"/>
                <w:b/>
                <w:bCs/>
                <w:kern w:val="0"/>
                <w:szCs w:val="20"/>
                <w:u w:val="single"/>
              </w:rPr>
            </w:pPr>
            <w:r>
              <w:rPr>
                <w:rFonts w:hint="default" w:ascii="Times New Roman" w:hAnsi="Times New Roman" w:eastAsia="等线" w:cs="Times New Roman"/>
                <w:b/>
                <w:bCs/>
                <w:kern w:val="0"/>
                <w:szCs w:val="20"/>
                <w:lang w:val="en-GB"/>
              </w:rPr>
              <w:t>Agreement:</w:t>
            </w:r>
          </w:p>
          <w:p w14:paraId="4E55144B">
            <w:pPr>
              <w:widowControl/>
              <w:numPr>
                <w:ilvl w:val="0"/>
                <w:numId w:val="5"/>
              </w:numPr>
              <w:spacing w:before="120" w:after="180" w:afterLines="0" w:line="240" w:lineRule="auto"/>
              <w:ind w:firstLine="0" w:firstLineChars="0"/>
              <w:jc w:val="left"/>
              <w:rPr>
                <w:rFonts w:hint="default" w:ascii="Times New Roman" w:hAnsi="Times New Roman" w:eastAsia="等线" w:cs="Times New Roman"/>
                <w:kern w:val="0"/>
                <w:szCs w:val="20"/>
              </w:rPr>
            </w:pPr>
            <w:r>
              <w:rPr>
                <w:rFonts w:hint="default" w:ascii="Times New Roman" w:hAnsi="Times New Roman" w:eastAsia="等线" w:cs="Times New Roman"/>
                <w:kern w:val="0"/>
                <w:szCs w:val="20"/>
              </w:rPr>
              <w:t>Define requirements only at the peak antenna gain direction.</w:t>
            </w:r>
          </w:p>
          <w:p w14:paraId="5EB6EB8F">
            <w:pPr>
              <w:widowControl/>
              <w:numPr>
                <w:ilvl w:val="0"/>
                <w:numId w:val="5"/>
              </w:numPr>
              <w:spacing w:before="120" w:after="180" w:afterLines="0" w:line="240" w:lineRule="auto"/>
              <w:ind w:firstLine="0" w:firstLineChars="0"/>
              <w:jc w:val="left"/>
              <w:rPr>
                <w:rFonts w:hint="default" w:ascii="Times New Roman" w:hAnsi="Times New Roman" w:eastAsia="等线" w:cs="Times New Roman"/>
                <w:kern w:val="0"/>
                <w:szCs w:val="20"/>
              </w:rPr>
            </w:pPr>
            <w:r>
              <w:rPr>
                <w:rFonts w:hint="default" w:ascii="Times New Roman" w:hAnsi="Times New Roman" w:eastAsia="等线" w:cs="Times New Roman"/>
                <w:kern w:val="0"/>
                <w:szCs w:val="20"/>
              </w:rPr>
              <w:t xml:space="preserve">When input CW level is -27dBm, the backscatter loss&lt;=10dB for OOK and &lt;=6dB for BPSK </w:t>
            </w:r>
          </w:p>
          <w:p w14:paraId="735FF3F1">
            <w:pPr>
              <w:widowControl/>
              <w:numPr>
                <w:ilvl w:val="1"/>
                <w:numId w:val="6"/>
              </w:numPr>
              <w:tabs>
                <w:tab w:val="left" w:pos="1680"/>
              </w:tabs>
              <w:spacing w:before="120" w:after="180" w:afterLines="0" w:line="240" w:lineRule="auto"/>
              <w:ind w:firstLineChars="0"/>
              <w:jc w:val="left"/>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kern w:val="0"/>
                <w:szCs w:val="20"/>
              </w:rPr>
              <w:t>When input CW level is-10dBm, the backscatter power is larger than -25dBm for OOK, and -21dBm for BPSK respectively.</w:t>
            </w:r>
          </w:p>
        </w:tc>
      </w:tr>
      <w:bookmarkEnd w:id="1"/>
    </w:tbl>
    <w:p w14:paraId="5B6421F8">
      <w:pPr>
        <w:spacing w:after="180"/>
        <w:jc w:val="left"/>
        <w:rPr>
          <w:rFonts w:hint="default" w:ascii="Times New Roman" w:hAnsi="Times New Roman"/>
          <w:b/>
          <w:bCs/>
          <w:sz w:val="20"/>
          <w:szCs w:val="20"/>
          <w:lang w:val="en-US" w:eastAsia="zh-CN"/>
        </w:rPr>
      </w:pPr>
    </w:p>
    <w:p w14:paraId="6196E411">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it was proposed to define max backscatter power upper limit considering unwanted emisison related requirements are only applicable for corresponding max backscatter power and when backscatter power is larger than the power upper limit, the unwanted emission would exceed corresponding limit. The opponent thinks the power limit has been implicitly defined as testing input power and A-IoT use licensed band which don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need to limit power upper bound. </w:t>
      </w:r>
    </w:p>
    <w:p w14:paraId="04E9B11A">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From our point of view,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not limit the upper bound and leave enough space for real deployment. Besides,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very hard to define one uniform upper limit. For example, the max backscatter power = input CW level - loss. In spec, we only define minimum loss requirements but commercial devices will have better loss performance. One issue is which loss should be used, if we use the minimum loss requirements(15dB) which means actual backscatter power must be larger than the backscatter power upper bound. Otherwise if we use ideal loss (6dB for OOK) to derive backscatter power upper limit, it means most device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achieve such power and it is not reasonable to use it for unwanted emission, then it seems meaningless for such power limit. So it seems very hard to define power upper limit.</w:t>
      </w:r>
    </w:p>
    <w:p w14:paraId="5AB58471">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it seems hard to define one uniform backscatter power upper limit. Proponent are suggested to propose some reasonable value for this power limit.</w:t>
      </w:r>
    </w:p>
    <w:p w14:paraId="014373E4">
      <w:pPr>
        <w:pStyle w:val="4"/>
        <w:spacing w:before="156" w:after="156"/>
      </w:pPr>
      <w:r>
        <w:rPr>
          <w:rFonts w:hint="eastAsia"/>
        </w:rPr>
        <w:t xml:space="preserve">2.1 </w:t>
      </w:r>
      <w:r>
        <w:rPr>
          <w:rFonts w:hint="eastAsia" w:eastAsiaTheme="minorEastAsia"/>
        </w:rPr>
        <w:t>Rx requirements</w:t>
      </w:r>
    </w:p>
    <w:p w14:paraId="72ACB4B3">
      <w:pPr>
        <w:numPr>
          <w:ilvl w:val="0"/>
          <w:numId w:val="7"/>
        </w:numPr>
        <w:spacing w:after="180"/>
        <w:ind w:left="420" w:leftChars="0" w:hanging="420" w:firstLineChars="0"/>
        <w:jc w:val="left"/>
        <w:rPr>
          <w:rFonts w:ascii="Times New Roman" w:hAnsi="Times New Roman"/>
          <w:sz w:val="20"/>
          <w:szCs w:val="20"/>
        </w:rPr>
      </w:pPr>
      <w:r>
        <w:rPr>
          <w:rFonts w:hint="eastAsia" w:ascii="Times New Roman" w:hAnsi="Times New Roman"/>
          <w:sz w:val="20"/>
          <w:szCs w:val="20"/>
          <w:lang w:val="en-US" w:eastAsia="zh-CN"/>
        </w:rPr>
        <w:t>REFSENSE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228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2CE435F">
            <w:pPr>
              <w:widowControl/>
              <w:spacing w:before="120" w:after="180" w:afterLines="0" w:line="240" w:lineRule="auto"/>
              <w:ind w:firstLine="0" w:firstLineChars="0"/>
              <w:jc w:val="left"/>
              <w:rPr>
                <w:rFonts w:eastAsia="等线"/>
                <w:b/>
                <w:bCs/>
                <w:kern w:val="0"/>
                <w:szCs w:val="20"/>
                <w:u w:val="single"/>
              </w:rPr>
            </w:pPr>
            <w:r>
              <w:rPr>
                <w:rFonts w:hint="eastAsia" w:eastAsia="等线"/>
                <w:b/>
                <w:bCs/>
                <w:kern w:val="0"/>
                <w:szCs w:val="20"/>
                <w:u w:val="single"/>
              </w:rPr>
              <w:t>Issue 3-4-1: Reference sensitivity</w:t>
            </w:r>
          </w:p>
          <w:p w14:paraId="479A54A0">
            <w:pPr>
              <w:widowControl/>
              <w:spacing w:before="120" w:after="180" w:afterLines="0" w:line="240" w:lineRule="auto"/>
              <w:ind w:firstLine="0" w:firstLineChars="0"/>
              <w:jc w:val="left"/>
              <w:rPr>
                <w:rFonts w:eastAsia="等线"/>
                <w:b/>
                <w:bCs/>
                <w:kern w:val="0"/>
                <w:szCs w:val="20"/>
                <w:u w:val="single"/>
              </w:rPr>
            </w:pPr>
            <w:r>
              <w:rPr>
                <w:rFonts w:hint="eastAsia" w:eastAsia="等线"/>
                <w:b/>
                <w:bCs/>
                <w:kern w:val="0"/>
                <w:szCs w:val="20"/>
                <w:lang w:val="en-GB"/>
              </w:rPr>
              <w:t>Agreement:</w:t>
            </w:r>
          </w:p>
          <w:p w14:paraId="4DFB62EF">
            <w:pPr>
              <w:numPr>
                <w:ilvl w:val="0"/>
                <w:numId w:val="8"/>
              </w:numPr>
              <w:overflowPunct w:val="0"/>
              <w:autoSpaceDE w:val="0"/>
              <w:autoSpaceDN w:val="0"/>
              <w:adjustRightInd w:val="0"/>
              <w:spacing w:before="120" w:after="120" w:line="280" w:lineRule="atLeast"/>
              <w:ind w:firstLineChars="0"/>
              <w:textAlignment w:val="baseline"/>
              <w:rPr>
                <w:rFonts w:eastAsia="等线"/>
              </w:rPr>
            </w:pPr>
            <w:bookmarkStart w:id="2" w:name="OLE_LINK124"/>
            <w:r>
              <w:rPr>
                <w:rFonts w:eastAsia="等线"/>
              </w:rPr>
              <w:t>EIS at peak antenna gain direction is -34dBm. Additional peak EIS levels can be added in the future if needed</w:t>
            </w:r>
          </w:p>
          <w:p w14:paraId="400F5958">
            <w:pPr>
              <w:numPr>
                <w:ilvl w:val="0"/>
                <w:numId w:val="8"/>
              </w:numPr>
              <w:tabs>
                <w:tab w:val="left" w:pos="840"/>
              </w:tabs>
              <w:overflowPunct w:val="0"/>
              <w:autoSpaceDE w:val="0"/>
              <w:autoSpaceDN w:val="0"/>
              <w:adjustRightInd w:val="0"/>
              <w:spacing w:before="120" w:after="120" w:line="280" w:lineRule="atLeast"/>
              <w:ind w:firstLineChars="0"/>
              <w:textAlignment w:val="baseline"/>
              <w:rPr>
                <w:rFonts w:eastAsia="等线"/>
              </w:rPr>
            </w:pPr>
            <w:r>
              <w:rPr>
                <w:rFonts w:hint="eastAsia" w:eastAsia="等线"/>
              </w:rPr>
              <w:t xml:space="preserve">EIS spherical coverage requirement is defined as sensitivity over partial sphere, i.e. </w:t>
            </w:r>
            <w:r>
              <w:rPr>
                <w:rFonts w:eastAsia="等线"/>
              </w:rPr>
              <w:t>X</w:t>
            </w:r>
            <w:r>
              <w:rPr>
                <w:rFonts w:hint="eastAsia" w:eastAsia="等线"/>
              </w:rPr>
              <w:t xml:space="preserve">dBm at </w:t>
            </w:r>
            <w:r>
              <w:rPr>
                <w:rFonts w:eastAsia="等线"/>
              </w:rPr>
              <w:t>Y</w:t>
            </w:r>
            <w:r>
              <w:rPr>
                <w:rFonts w:hint="eastAsia" w:eastAsia="等线"/>
              </w:rPr>
              <w:t xml:space="preserve"> solid angle range partial sphere . Y is suggested to be +-45 degree with respect to the bore sight direction (or UE declared direction),  X is suggested to be 5.5dB</w:t>
            </w:r>
            <w:r>
              <w:rPr>
                <w:rFonts w:eastAsia="等线"/>
              </w:rPr>
              <w:t xml:space="preserve"> </w:t>
            </w:r>
            <w:r>
              <w:rPr>
                <w:rFonts w:hint="eastAsia" w:eastAsia="等线"/>
              </w:rPr>
              <w:t>worse than peak EIS.</w:t>
            </w:r>
          </w:p>
          <w:p w14:paraId="27E35BBD">
            <w:pPr>
              <w:numPr>
                <w:ilvl w:val="1"/>
                <w:numId w:val="8"/>
              </w:numPr>
              <w:overflowPunct w:val="0"/>
              <w:autoSpaceDE w:val="0"/>
              <w:autoSpaceDN w:val="0"/>
              <w:adjustRightInd w:val="0"/>
              <w:spacing w:before="120" w:after="120" w:line="280" w:lineRule="atLeast"/>
              <w:ind w:firstLineChars="0"/>
              <w:textAlignment w:val="baseline"/>
              <w:rPr>
                <w:rFonts w:eastAsia="等线"/>
              </w:rPr>
            </w:pPr>
            <w:r>
              <w:rPr>
                <w:rFonts w:eastAsia="等线"/>
              </w:rPr>
              <w:t>For testing</w:t>
            </w:r>
          </w:p>
          <w:p w14:paraId="5843222C">
            <w:pPr>
              <w:widowControl/>
              <w:numPr>
                <w:ilvl w:val="2"/>
                <w:numId w:val="8"/>
              </w:numPr>
              <w:spacing w:before="120" w:after="180" w:afterLines="0" w:line="240" w:lineRule="auto"/>
              <w:ind w:firstLine="0" w:firstLineChars="0"/>
              <w:jc w:val="left"/>
              <w:rPr>
                <w:rFonts w:eastAsia="等线"/>
                <w:kern w:val="0"/>
                <w:szCs w:val="20"/>
              </w:rPr>
            </w:pPr>
            <w:r>
              <w:rPr>
                <w:rFonts w:eastAsia="等线"/>
                <w:kern w:val="0"/>
                <w:szCs w:val="20"/>
              </w:rPr>
              <w:t>90% success rate.</w:t>
            </w:r>
          </w:p>
          <w:p w14:paraId="2282DAE3">
            <w:pPr>
              <w:widowControl/>
              <w:numPr>
                <w:ilvl w:val="2"/>
                <w:numId w:val="8"/>
              </w:numPr>
              <w:spacing w:before="120" w:after="180" w:afterLines="0" w:line="240" w:lineRule="auto"/>
              <w:ind w:firstLine="0" w:firstLineChars="0"/>
              <w:jc w:val="left"/>
              <w:rPr>
                <w:rFonts w:eastAsia="等线"/>
                <w:kern w:val="0"/>
                <w:szCs w:val="20"/>
              </w:rPr>
            </w:pPr>
            <w:r>
              <w:rPr>
                <w:rFonts w:eastAsia="等线"/>
                <w:kern w:val="0"/>
                <w:szCs w:val="20"/>
              </w:rPr>
              <w:t xml:space="preserve">Use CFRA for REFSENS test procedure </w:t>
            </w:r>
          </w:p>
          <w:p w14:paraId="1113F555">
            <w:pPr>
              <w:widowControl/>
              <w:numPr>
                <w:ilvl w:val="2"/>
                <w:numId w:val="8"/>
              </w:numPr>
              <w:spacing w:before="120" w:after="180" w:afterLines="0" w:line="240" w:lineRule="auto"/>
              <w:ind w:firstLine="0" w:firstLineChars="0"/>
              <w:jc w:val="left"/>
              <w:rPr>
                <w:rFonts w:eastAsia="等线"/>
                <w:kern w:val="0"/>
                <w:szCs w:val="20"/>
              </w:rPr>
            </w:pPr>
            <w:r>
              <w:rPr>
                <w:rFonts w:eastAsia="等线"/>
                <w:kern w:val="0"/>
                <w:szCs w:val="20"/>
              </w:rPr>
              <w:t xml:space="preserve">Allow set time + SFO for the device response time. </w:t>
            </w:r>
          </w:p>
          <w:p w14:paraId="45B78091">
            <w:pPr>
              <w:widowControl/>
              <w:numPr>
                <w:ilvl w:val="2"/>
                <w:numId w:val="8"/>
              </w:numPr>
              <w:spacing w:before="120" w:after="180" w:afterLines="0" w:line="240" w:lineRule="auto"/>
              <w:ind w:firstLine="0" w:firstLineChars="0"/>
              <w:jc w:val="left"/>
              <w:rPr>
                <w:rFonts w:eastAsia="等线"/>
                <w:kern w:val="0"/>
                <w:szCs w:val="20"/>
              </w:rPr>
            </w:pPr>
            <w:r>
              <w:rPr>
                <w:rFonts w:eastAsia="等线"/>
                <w:kern w:val="0"/>
                <w:szCs w:val="20"/>
              </w:rPr>
              <w:t>Leave number of repeats to reach 90% success rate for the RAN5 to determine.</w:t>
            </w:r>
          </w:p>
          <w:p w14:paraId="2BCC077B">
            <w:pPr>
              <w:widowControl/>
              <w:numPr>
                <w:ilvl w:val="2"/>
                <w:numId w:val="8"/>
              </w:numPr>
              <w:spacing w:before="120" w:after="180" w:afterLines="0" w:line="240" w:lineRule="auto"/>
              <w:ind w:firstLine="0" w:firstLineChars="0"/>
              <w:jc w:val="left"/>
              <w:rPr>
                <w:rFonts w:eastAsia="等线"/>
                <w:kern w:val="0"/>
                <w:szCs w:val="20"/>
              </w:rPr>
            </w:pPr>
            <w:r>
              <w:rPr>
                <w:rFonts w:eastAsia="等线"/>
                <w:kern w:val="0"/>
                <w:szCs w:val="20"/>
              </w:rPr>
              <w:t>Further discuss if false alarm test can be considered in demod.</w:t>
            </w:r>
          </w:p>
          <w:bookmarkEnd w:id="2"/>
          <w:p w14:paraId="4D47B421">
            <w:pPr>
              <w:numPr>
                <w:ilvl w:val="0"/>
                <w:numId w:val="8"/>
              </w:numPr>
              <w:overflowPunct w:val="0"/>
              <w:autoSpaceDE w:val="0"/>
              <w:autoSpaceDN w:val="0"/>
              <w:adjustRightInd w:val="0"/>
              <w:spacing w:before="120" w:after="120" w:line="280" w:lineRule="atLeast"/>
              <w:ind w:firstLineChars="0"/>
              <w:textAlignment w:val="baseline"/>
              <w:rPr>
                <w:rFonts w:eastAsia="等线"/>
              </w:rPr>
            </w:pPr>
            <w:r>
              <w:rPr>
                <w:rFonts w:eastAsia="等线"/>
              </w:rPr>
              <w:t>FRC is listed as below (note: it does not mean UE should be tested for all specified FRC)</w:t>
            </w:r>
          </w:p>
          <w:tbl>
            <w:tblPr>
              <w:tblStyle w:val="17"/>
              <w:tblW w:w="7845" w:type="dxa"/>
              <w:jc w:val="center"/>
              <w:tblLayout w:type="autofit"/>
              <w:tblCellMar>
                <w:top w:w="0" w:type="dxa"/>
                <w:left w:w="108" w:type="dxa"/>
                <w:bottom w:w="0" w:type="dxa"/>
                <w:right w:w="108" w:type="dxa"/>
              </w:tblCellMar>
            </w:tblPr>
            <w:tblGrid>
              <w:gridCol w:w="1547"/>
              <w:gridCol w:w="1518"/>
              <w:gridCol w:w="1544"/>
              <w:gridCol w:w="1078"/>
              <w:gridCol w:w="1079"/>
              <w:gridCol w:w="1079"/>
            </w:tblGrid>
            <w:tr w14:paraId="3CBF2AE5">
              <w:tblPrEx>
                <w:tblCellMar>
                  <w:top w:w="0" w:type="dxa"/>
                  <w:left w:w="108" w:type="dxa"/>
                  <w:bottom w:w="0" w:type="dxa"/>
                  <w:right w:w="108" w:type="dxa"/>
                </w:tblCellMar>
              </w:tblPrEx>
              <w:trPr>
                <w:trHeight w:val="300" w:hRule="atLeast"/>
                <w:jc w:val="center"/>
              </w:trPr>
              <w:tc>
                <w:tcPr>
                  <w:tcW w:w="1547" w:type="dxa"/>
                  <w:tcBorders>
                    <w:top w:val="single" w:color="000000" w:sz="8" w:space="0"/>
                    <w:left w:val="single" w:color="000000" w:sz="8" w:space="0"/>
                    <w:bottom w:val="single" w:color="000000" w:sz="8" w:space="0"/>
                    <w:right w:val="single" w:color="000000" w:sz="8" w:space="0"/>
                  </w:tcBorders>
                  <w:shd w:val="clear" w:color="auto" w:fill="D6E3BC"/>
                  <w:noWrap/>
                  <w:vAlign w:val="bottom"/>
                </w:tcPr>
                <w:p w14:paraId="52D6238A">
                  <w:pPr>
                    <w:widowControl/>
                    <w:spacing w:after="180" w:afterLines="0" w:line="240" w:lineRule="auto"/>
                    <w:ind w:firstLine="0" w:firstLineChars="0"/>
                    <w:jc w:val="left"/>
                    <w:rPr>
                      <w:rFonts w:ascii="等线" w:hAnsi="等线" w:eastAsia="等线" w:cs="等线"/>
                      <w:color w:val="000000"/>
                      <w:kern w:val="0"/>
                      <w:sz w:val="22"/>
                      <w:szCs w:val="22"/>
                      <w:lang w:val="en-GB" w:eastAsia="en-US"/>
                    </w:rPr>
                  </w:pPr>
                </w:p>
              </w:tc>
              <w:tc>
                <w:tcPr>
                  <w:tcW w:w="1518" w:type="dxa"/>
                  <w:tcBorders>
                    <w:top w:val="single" w:color="000000" w:sz="8" w:space="0"/>
                    <w:left w:val="single" w:color="000000" w:sz="8" w:space="0"/>
                    <w:bottom w:val="single" w:color="000000" w:sz="8" w:space="0"/>
                    <w:right w:val="single" w:color="000000" w:sz="8" w:space="0"/>
                  </w:tcBorders>
                  <w:shd w:val="clear" w:color="auto" w:fill="D6E3BC"/>
                </w:tcPr>
                <w:p w14:paraId="7C1E3EE5">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SCS</w:t>
                  </w:r>
                </w:p>
              </w:tc>
              <w:tc>
                <w:tcPr>
                  <w:tcW w:w="1544" w:type="dxa"/>
                  <w:tcBorders>
                    <w:top w:val="single" w:color="000000" w:sz="8" w:space="0"/>
                    <w:left w:val="single" w:color="000000" w:sz="8" w:space="0"/>
                    <w:bottom w:val="single" w:color="000000" w:sz="8" w:space="0"/>
                    <w:right w:val="single" w:color="000000" w:sz="8" w:space="0"/>
                  </w:tcBorders>
                  <w:shd w:val="clear" w:color="auto" w:fill="D6E3BC"/>
                </w:tcPr>
                <w:p w14:paraId="2F5FC842">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15</w:t>
                  </w:r>
                </w:p>
              </w:tc>
              <w:tc>
                <w:tcPr>
                  <w:tcW w:w="1078" w:type="dxa"/>
                  <w:tcBorders>
                    <w:top w:val="single" w:color="000000" w:sz="8" w:space="0"/>
                    <w:left w:val="single" w:color="000000" w:sz="8" w:space="0"/>
                    <w:bottom w:val="single" w:color="000000" w:sz="8" w:space="0"/>
                    <w:right w:val="single" w:color="000000" w:sz="8" w:space="0"/>
                  </w:tcBorders>
                  <w:shd w:val="clear" w:color="auto" w:fill="D6E3BC"/>
                </w:tcPr>
                <w:p w14:paraId="0892699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15</w:t>
                  </w:r>
                </w:p>
              </w:tc>
              <w:tc>
                <w:tcPr>
                  <w:tcW w:w="1079" w:type="dxa"/>
                  <w:tcBorders>
                    <w:top w:val="single" w:color="000000" w:sz="8" w:space="0"/>
                    <w:left w:val="single" w:color="000000" w:sz="8" w:space="0"/>
                    <w:bottom w:val="single" w:color="000000" w:sz="8" w:space="0"/>
                    <w:right w:val="single" w:color="000000" w:sz="8" w:space="0"/>
                  </w:tcBorders>
                  <w:shd w:val="clear" w:color="auto" w:fill="D6E3BC"/>
                </w:tcPr>
                <w:p w14:paraId="73E88E2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15</w:t>
                  </w:r>
                </w:p>
              </w:tc>
              <w:tc>
                <w:tcPr>
                  <w:tcW w:w="1079" w:type="dxa"/>
                  <w:tcBorders>
                    <w:top w:val="single" w:color="000000" w:sz="8" w:space="0"/>
                    <w:left w:val="single" w:color="000000" w:sz="8" w:space="0"/>
                    <w:bottom w:val="single" w:color="000000" w:sz="8" w:space="0"/>
                    <w:right w:val="single" w:color="000000" w:sz="8" w:space="0"/>
                  </w:tcBorders>
                  <w:shd w:val="clear" w:color="auto" w:fill="D6E3BC"/>
                </w:tcPr>
                <w:p w14:paraId="3BA1798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15</w:t>
                  </w:r>
                </w:p>
              </w:tc>
            </w:tr>
            <w:tr w14:paraId="13C9E9AF">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D6E3BC"/>
                </w:tcPr>
                <w:p w14:paraId="0CDD75A7">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D6E3BC"/>
                </w:tcPr>
                <w:p w14:paraId="26F72EB5">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PRB</w:t>
                  </w:r>
                </w:p>
              </w:tc>
              <w:tc>
                <w:tcPr>
                  <w:tcW w:w="1544" w:type="dxa"/>
                  <w:tcBorders>
                    <w:top w:val="nil"/>
                    <w:left w:val="single" w:color="000000" w:sz="8" w:space="0"/>
                    <w:bottom w:val="single" w:color="000000" w:sz="8" w:space="0"/>
                    <w:right w:val="single" w:color="000000" w:sz="8" w:space="0"/>
                  </w:tcBorders>
                  <w:shd w:val="clear" w:color="auto" w:fill="D6E3BC"/>
                </w:tcPr>
                <w:p w14:paraId="73C7A194">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w:t>
                  </w:r>
                </w:p>
              </w:tc>
              <w:tc>
                <w:tcPr>
                  <w:tcW w:w="1078" w:type="dxa"/>
                  <w:tcBorders>
                    <w:top w:val="nil"/>
                    <w:left w:val="single" w:color="000000" w:sz="8" w:space="0"/>
                    <w:bottom w:val="single" w:color="000000" w:sz="8" w:space="0"/>
                    <w:right w:val="single" w:color="000000" w:sz="8" w:space="0"/>
                  </w:tcBorders>
                  <w:shd w:val="clear" w:color="auto" w:fill="D6E3BC"/>
                </w:tcPr>
                <w:p w14:paraId="4C8EA41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D6E3BC"/>
                </w:tcPr>
                <w:p w14:paraId="173949BE">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3</w:t>
                  </w:r>
                </w:p>
              </w:tc>
              <w:tc>
                <w:tcPr>
                  <w:tcW w:w="1079" w:type="dxa"/>
                  <w:tcBorders>
                    <w:top w:val="nil"/>
                    <w:left w:val="single" w:color="000000" w:sz="8" w:space="0"/>
                    <w:bottom w:val="single" w:color="000000" w:sz="8" w:space="0"/>
                    <w:right w:val="single" w:color="000000" w:sz="8" w:space="0"/>
                  </w:tcBorders>
                  <w:shd w:val="clear" w:color="auto" w:fill="D6E3BC"/>
                </w:tcPr>
                <w:p w14:paraId="0BCEB387">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r>
            <w:tr w14:paraId="0818A28B">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tcPr>
                <w:p w14:paraId="4416956C">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SIP</w:t>
                  </w:r>
                </w:p>
              </w:tc>
              <w:tc>
                <w:tcPr>
                  <w:tcW w:w="1518" w:type="dxa"/>
                  <w:tcBorders>
                    <w:top w:val="nil"/>
                    <w:left w:val="single" w:color="000000" w:sz="8" w:space="0"/>
                    <w:bottom w:val="single" w:color="000000" w:sz="8" w:space="0"/>
                    <w:right w:val="single" w:color="000000" w:sz="8" w:space="0"/>
                  </w:tcBorders>
                  <w:shd w:val="clear" w:color="auto" w:fill="FFC000"/>
                </w:tcPr>
                <w:p w14:paraId="316F289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Bit length</w:t>
                  </w:r>
                </w:p>
              </w:tc>
              <w:tc>
                <w:tcPr>
                  <w:tcW w:w="1544" w:type="dxa"/>
                  <w:tcBorders>
                    <w:top w:val="nil"/>
                    <w:left w:val="single" w:color="000000" w:sz="8" w:space="0"/>
                    <w:bottom w:val="single" w:color="000000" w:sz="8" w:space="0"/>
                    <w:right w:val="single" w:color="000000" w:sz="8" w:space="0"/>
                  </w:tcBorders>
                  <w:shd w:val="clear" w:color="auto" w:fill="FFC000"/>
                </w:tcPr>
                <w:p w14:paraId="10746F2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8</w:t>
                  </w:r>
                </w:p>
              </w:tc>
              <w:tc>
                <w:tcPr>
                  <w:tcW w:w="1078" w:type="dxa"/>
                  <w:tcBorders>
                    <w:top w:val="nil"/>
                    <w:left w:val="single" w:color="000000" w:sz="8" w:space="0"/>
                    <w:bottom w:val="single" w:color="000000" w:sz="8" w:space="0"/>
                    <w:right w:val="single" w:color="000000" w:sz="8" w:space="0"/>
                  </w:tcBorders>
                  <w:shd w:val="clear" w:color="auto" w:fill="FFC000"/>
                </w:tcPr>
                <w:p w14:paraId="5DD956F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8</w:t>
                  </w:r>
                </w:p>
              </w:tc>
              <w:tc>
                <w:tcPr>
                  <w:tcW w:w="1079" w:type="dxa"/>
                  <w:tcBorders>
                    <w:top w:val="nil"/>
                    <w:left w:val="single" w:color="000000" w:sz="8" w:space="0"/>
                    <w:bottom w:val="single" w:color="000000" w:sz="8" w:space="0"/>
                    <w:right w:val="single" w:color="000000" w:sz="8" w:space="0"/>
                  </w:tcBorders>
                  <w:shd w:val="clear" w:color="auto" w:fill="FFC000"/>
                </w:tcPr>
                <w:p w14:paraId="75EAA1E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8</w:t>
                  </w:r>
                </w:p>
              </w:tc>
              <w:tc>
                <w:tcPr>
                  <w:tcW w:w="1079" w:type="dxa"/>
                  <w:tcBorders>
                    <w:top w:val="nil"/>
                    <w:left w:val="single" w:color="000000" w:sz="8" w:space="0"/>
                    <w:bottom w:val="single" w:color="000000" w:sz="8" w:space="0"/>
                    <w:right w:val="single" w:color="000000" w:sz="8" w:space="0"/>
                  </w:tcBorders>
                  <w:shd w:val="clear" w:color="auto" w:fill="FFC000"/>
                </w:tcPr>
                <w:p w14:paraId="455279D4">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8</w:t>
                  </w:r>
                </w:p>
              </w:tc>
            </w:tr>
            <w:tr w14:paraId="12154861">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tcPr>
                <w:p w14:paraId="342070E2">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FC000"/>
                </w:tcPr>
                <w:p w14:paraId="5B976564">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M_SIP</w:t>
                  </w:r>
                </w:p>
              </w:tc>
              <w:tc>
                <w:tcPr>
                  <w:tcW w:w="1544" w:type="dxa"/>
                  <w:tcBorders>
                    <w:top w:val="nil"/>
                    <w:left w:val="single" w:color="000000" w:sz="8" w:space="0"/>
                    <w:bottom w:val="single" w:color="000000" w:sz="8" w:space="0"/>
                    <w:right w:val="single" w:color="000000" w:sz="8" w:space="0"/>
                  </w:tcBorders>
                  <w:shd w:val="clear" w:color="auto" w:fill="FFC000"/>
                </w:tcPr>
                <w:p w14:paraId="5A199E9E">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8" w:type="dxa"/>
                  <w:tcBorders>
                    <w:top w:val="nil"/>
                    <w:left w:val="single" w:color="000000" w:sz="8" w:space="0"/>
                    <w:bottom w:val="single" w:color="000000" w:sz="8" w:space="0"/>
                    <w:right w:val="single" w:color="000000" w:sz="8" w:space="0"/>
                  </w:tcBorders>
                  <w:shd w:val="clear" w:color="auto" w:fill="FFC000"/>
                </w:tcPr>
                <w:p w14:paraId="23E705D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FFC000"/>
                </w:tcPr>
                <w:p w14:paraId="70D6E469">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FFC000"/>
                </w:tcPr>
                <w:p w14:paraId="7F0586E7">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r>
            <w:tr w14:paraId="40B1F6F3">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tcPr>
                <w:p w14:paraId="55865979">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FC000"/>
                </w:tcPr>
                <w:p w14:paraId="1E23658E">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OOK</w:t>
                  </w:r>
                </w:p>
              </w:tc>
              <w:tc>
                <w:tcPr>
                  <w:tcW w:w="1544" w:type="dxa"/>
                  <w:tcBorders>
                    <w:top w:val="nil"/>
                    <w:left w:val="single" w:color="000000" w:sz="8" w:space="0"/>
                    <w:bottom w:val="single" w:color="000000" w:sz="8" w:space="0"/>
                    <w:right w:val="single" w:color="000000" w:sz="8" w:space="0"/>
                  </w:tcBorders>
                  <w:shd w:val="clear" w:color="auto" w:fill="FFC000"/>
                </w:tcPr>
                <w:p w14:paraId="4EFBAFF5">
                  <w:pPr>
                    <w:widowControl/>
                    <w:spacing w:after="180" w:afterLines="0" w:line="240" w:lineRule="auto"/>
                    <w:ind w:firstLine="0" w:firstLineChars="0"/>
                    <w:rPr>
                      <w:rFonts w:eastAsia="等线"/>
                      <w:color w:val="000000"/>
                      <w:kern w:val="0"/>
                      <w:sz w:val="21"/>
                      <w:szCs w:val="21"/>
                      <w:lang w:val="en-GB" w:eastAsia="en-US"/>
                    </w:rPr>
                  </w:pPr>
                </w:p>
              </w:tc>
              <w:tc>
                <w:tcPr>
                  <w:tcW w:w="1078" w:type="dxa"/>
                  <w:tcBorders>
                    <w:top w:val="nil"/>
                    <w:left w:val="single" w:color="000000" w:sz="8" w:space="0"/>
                    <w:bottom w:val="single" w:color="000000" w:sz="8" w:space="0"/>
                    <w:right w:val="single" w:color="000000" w:sz="8" w:space="0"/>
                  </w:tcBorders>
                  <w:shd w:val="clear" w:color="auto" w:fill="FFC000"/>
                </w:tcPr>
                <w:p w14:paraId="289A2CC3">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FC000"/>
                </w:tcPr>
                <w:p w14:paraId="3DB3F7C0">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FC000"/>
                </w:tcPr>
                <w:p w14:paraId="3C346275">
                  <w:pPr>
                    <w:widowControl/>
                    <w:spacing w:after="180" w:afterLines="0" w:line="240" w:lineRule="auto"/>
                    <w:ind w:firstLine="0" w:firstLineChars="0"/>
                    <w:rPr>
                      <w:rFonts w:eastAsia="等线"/>
                      <w:color w:val="000000"/>
                      <w:kern w:val="0"/>
                      <w:sz w:val="21"/>
                      <w:szCs w:val="21"/>
                      <w:lang w:val="en-GB" w:eastAsia="en-US"/>
                    </w:rPr>
                  </w:pPr>
                </w:p>
              </w:tc>
            </w:tr>
            <w:tr w14:paraId="7B716297">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FC000"/>
                </w:tcPr>
                <w:p w14:paraId="065B96F5">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FC000"/>
                </w:tcPr>
                <w:p w14:paraId="02BADDD8">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OFDM</w:t>
                  </w:r>
                </w:p>
              </w:tc>
              <w:tc>
                <w:tcPr>
                  <w:tcW w:w="1544" w:type="dxa"/>
                  <w:tcBorders>
                    <w:top w:val="nil"/>
                    <w:left w:val="single" w:color="000000" w:sz="8" w:space="0"/>
                    <w:bottom w:val="single" w:color="000000" w:sz="8" w:space="0"/>
                    <w:right w:val="single" w:color="000000" w:sz="8" w:space="0"/>
                  </w:tcBorders>
                  <w:shd w:val="clear" w:color="auto" w:fill="FFC000"/>
                </w:tcPr>
                <w:p w14:paraId="55DD5AB8">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8" w:type="dxa"/>
                  <w:tcBorders>
                    <w:top w:val="nil"/>
                    <w:left w:val="single" w:color="000000" w:sz="8" w:space="0"/>
                    <w:bottom w:val="single" w:color="000000" w:sz="8" w:space="0"/>
                    <w:right w:val="single" w:color="000000" w:sz="8" w:space="0"/>
                  </w:tcBorders>
                  <w:shd w:val="clear" w:color="auto" w:fill="FFC000"/>
                </w:tcPr>
                <w:p w14:paraId="27EE27F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FFC000"/>
                </w:tcPr>
                <w:p w14:paraId="7680783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FFC000"/>
                </w:tcPr>
                <w:p w14:paraId="39909A04">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r>
            <w:tr w14:paraId="6208D292">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tcPr>
                <w:p w14:paraId="47E0449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CAP</w:t>
                  </w:r>
                </w:p>
              </w:tc>
              <w:tc>
                <w:tcPr>
                  <w:tcW w:w="1518" w:type="dxa"/>
                  <w:tcBorders>
                    <w:top w:val="nil"/>
                    <w:left w:val="single" w:color="000000" w:sz="8" w:space="0"/>
                    <w:bottom w:val="single" w:color="000000" w:sz="8" w:space="0"/>
                    <w:right w:val="single" w:color="000000" w:sz="8" w:space="0"/>
                  </w:tcBorders>
                  <w:shd w:val="clear" w:color="auto" w:fill="7F7F7F"/>
                </w:tcPr>
                <w:p w14:paraId="01B38FD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Bit length</w:t>
                  </w:r>
                </w:p>
              </w:tc>
              <w:tc>
                <w:tcPr>
                  <w:tcW w:w="1544" w:type="dxa"/>
                  <w:tcBorders>
                    <w:top w:val="nil"/>
                    <w:left w:val="single" w:color="000000" w:sz="8" w:space="0"/>
                    <w:bottom w:val="single" w:color="000000" w:sz="8" w:space="0"/>
                    <w:right w:val="single" w:color="000000" w:sz="8" w:space="0"/>
                  </w:tcBorders>
                  <w:shd w:val="clear" w:color="auto" w:fill="7F7F7F"/>
                </w:tcPr>
                <w:p w14:paraId="60A2468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8" w:type="dxa"/>
                  <w:tcBorders>
                    <w:top w:val="nil"/>
                    <w:left w:val="single" w:color="000000" w:sz="8" w:space="0"/>
                    <w:bottom w:val="single" w:color="000000" w:sz="8" w:space="0"/>
                    <w:right w:val="single" w:color="000000" w:sz="8" w:space="0"/>
                  </w:tcBorders>
                  <w:shd w:val="clear" w:color="auto" w:fill="7F7F7F"/>
                </w:tcPr>
                <w:p w14:paraId="4C77B86D">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7F7F7F"/>
                </w:tcPr>
                <w:p w14:paraId="27EB1E37">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7F7F7F"/>
                </w:tcPr>
                <w:p w14:paraId="01F2FE0C">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r>
            <w:tr w14:paraId="75C0832A">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tcPr>
                <w:p w14:paraId="07831E6F">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7F7F7F"/>
                </w:tcPr>
                <w:p w14:paraId="4C334850">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M</w:t>
                  </w:r>
                </w:p>
              </w:tc>
              <w:tc>
                <w:tcPr>
                  <w:tcW w:w="1544" w:type="dxa"/>
                  <w:tcBorders>
                    <w:top w:val="nil"/>
                    <w:left w:val="single" w:color="000000" w:sz="8" w:space="0"/>
                    <w:bottom w:val="single" w:color="000000" w:sz="8" w:space="0"/>
                    <w:right w:val="single" w:color="000000" w:sz="8" w:space="0"/>
                  </w:tcBorders>
                  <w:shd w:val="clear" w:color="auto" w:fill="7F7F7F"/>
                </w:tcPr>
                <w:p w14:paraId="666A038C">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8" w:type="dxa"/>
                  <w:tcBorders>
                    <w:top w:val="nil"/>
                    <w:left w:val="single" w:color="000000" w:sz="8" w:space="0"/>
                    <w:bottom w:val="single" w:color="000000" w:sz="8" w:space="0"/>
                    <w:right w:val="single" w:color="000000" w:sz="8" w:space="0"/>
                  </w:tcBorders>
                  <w:shd w:val="clear" w:color="auto" w:fill="7F7F7F"/>
                </w:tcPr>
                <w:p w14:paraId="0C16ED9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7F7F7F"/>
                </w:tcPr>
                <w:p w14:paraId="66A4E077">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7F7F7F"/>
                </w:tcPr>
                <w:p w14:paraId="5E441AAF">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r>
            <w:tr w14:paraId="55B168C7">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tcPr>
                <w:p w14:paraId="7574C90E">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7F7F7F"/>
                </w:tcPr>
                <w:p w14:paraId="1C522662">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OOK</w:t>
                  </w:r>
                </w:p>
              </w:tc>
              <w:tc>
                <w:tcPr>
                  <w:tcW w:w="1544" w:type="dxa"/>
                  <w:tcBorders>
                    <w:top w:val="nil"/>
                    <w:left w:val="single" w:color="000000" w:sz="8" w:space="0"/>
                    <w:bottom w:val="single" w:color="000000" w:sz="8" w:space="0"/>
                    <w:right w:val="single" w:color="000000" w:sz="8" w:space="0"/>
                  </w:tcBorders>
                  <w:shd w:val="clear" w:color="auto" w:fill="7F7F7F"/>
                </w:tcPr>
                <w:p w14:paraId="169740AA">
                  <w:pPr>
                    <w:widowControl/>
                    <w:spacing w:after="180" w:afterLines="0" w:line="240" w:lineRule="auto"/>
                    <w:ind w:firstLine="0" w:firstLineChars="0"/>
                    <w:rPr>
                      <w:rFonts w:eastAsia="等线"/>
                      <w:color w:val="000000"/>
                      <w:kern w:val="0"/>
                      <w:sz w:val="21"/>
                      <w:szCs w:val="21"/>
                      <w:lang w:val="en-GB" w:eastAsia="en-US"/>
                    </w:rPr>
                  </w:pPr>
                </w:p>
              </w:tc>
              <w:tc>
                <w:tcPr>
                  <w:tcW w:w="1078" w:type="dxa"/>
                  <w:tcBorders>
                    <w:top w:val="nil"/>
                    <w:left w:val="single" w:color="000000" w:sz="8" w:space="0"/>
                    <w:bottom w:val="single" w:color="000000" w:sz="8" w:space="0"/>
                    <w:right w:val="single" w:color="000000" w:sz="8" w:space="0"/>
                  </w:tcBorders>
                  <w:shd w:val="clear" w:color="auto" w:fill="7F7F7F"/>
                </w:tcPr>
                <w:p w14:paraId="4398830A">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7F7F7F"/>
                </w:tcPr>
                <w:p w14:paraId="4CE7E2D6">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7F7F7F"/>
                </w:tcPr>
                <w:p w14:paraId="76F5FB2A">
                  <w:pPr>
                    <w:widowControl/>
                    <w:spacing w:after="180" w:afterLines="0" w:line="240" w:lineRule="auto"/>
                    <w:ind w:firstLine="0" w:firstLineChars="0"/>
                    <w:rPr>
                      <w:rFonts w:eastAsia="等线"/>
                      <w:color w:val="000000"/>
                      <w:kern w:val="0"/>
                      <w:sz w:val="21"/>
                      <w:szCs w:val="21"/>
                      <w:lang w:val="en-GB" w:eastAsia="en-US"/>
                    </w:rPr>
                  </w:pPr>
                </w:p>
              </w:tc>
            </w:tr>
            <w:tr w14:paraId="0FEDD944">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7F7F7F"/>
                </w:tcPr>
                <w:p w14:paraId="120D7123">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7F7F7F"/>
                </w:tcPr>
                <w:p w14:paraId="28BA133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OFDM</w:t>
                  </w:r>
                </w:p>
              </w:tc>
              <w:tc>
                <w:tcPr>
                  <w:tcW w:w="1544" w:type="dxa"/>
                  <w:tcBorders>
                    <w:top w:val="nil"/>
                    <w:left w:val="single" w:color="000000" w:sz="8" w:space="0"/>
                    <w:bottom w:val="single" w:color="000000" w:sz="8" w:space="0"/>
                    <w:right w:val="single" w:color="000000" w:sz="8" w:space="0"/>
                  </w:tcBorders>
                  <w:shd w:val="clear" w:color="auto" w:fill="7F7F7F"/>
                </w:tcPr>
                <w:p w14:paraId="057F49F2">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 xml:space="preserve">2    </w:t>
                  </w:r>
                </w:p>
              </w:tc>
              <w:tc>
                <w:tcPr>
                  <w:tcW w:w="1078" w:type="dxa"/>
                  <w:tcBorders>
                    <w:top w:val="nil"/>
                    <w:left w:val="single" w:color="000000" w:sz="8" w:space="0"/>
                    <w:bottom w:val="single" w:color="000000" w:sz="8" w:space="0"/>
                    <w:right w:val="single" w:color="000000" w:sz="8" w:space="0"/>
                  </w:tcBorders>
                  <w:shd w:val="clear" w:color="auto" w:fill="7F7F7F"/>
                </w:tcPr>
                <w:p w14:paraId="7F44882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 xml:space="preserve">2    </w:t>
                  </w:r>
                </w:p>
              </w:tc>
              <w:tc>
                <w:tcPr>
                  <w:tcW w:w="1079" w:type="dxa"/>
                  <w:tcBorders>
                    <w:top w:val="nil"/>
                    <w:left w:val="single" w:color="000000" w:sz="8" w:space="0"/>
                    <w:bottom w:val="single" w:color="000000" w:sz="8" w:space="0"/>
                    <w:right w:val="single" w:color="000000" w:sz="8" w:space="0"/>
                  </w:tcBorders>
                  <w:shd w:val="clear" w:color="auto" w:fill="7F7F7F"/>
                </w:tcPr>
                <w:p w14:paraId="032825B3">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 xml:space="preserve">2    </w:t>
                  </w:r>
                </w:p>
              </w:tc>
              <w:tc>
                <w:tcPr>
                  <w:tcW w:w="1079" w:type="dxa"/>
                  <w:tcBorders>
                    <w:top w:val="nil"/>
                    <w:left w:val="single" w:color="000000" w:sz="8" w:space="0"/>
                    <w:bottom w:val="single" w:color="000000" w:sz="8" w:space="0"/>
                    <w:right w:val="single" w:color="000000" w:sz="8" w:space="0"/>
                  </w:tcBorders>
                  <w:shd w:val="clear" w:color="auto" w:fill="7F7F7F"/>
                </w:tcPr>
                <w:p w14:paraId="363AFC4D">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 xml:space="preserve">2    </w:t>
                  </w:r>
                </w:p>
              </w:tc>
            </w:tr>
            <w:tr w14:paraId="6878BBB1">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E5D6"/>
                </w:tcPr>
                <w:p w14:paraId="32B4AE2A">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PRDCH</w:t>
                  </w:r>
                </w:p>
              </w:tc>
              <w:tc>
                <w:tcPr>
                  <w:tcW w:w="1518" w:type="dxa"/>
                  <w:tcBorders>
                    <w:top w:val="nil"/>
                    <w:left w:val="single" w:color="000000" w:sz="8" w:space="0"/>
                    <w:bottom w:val="single" w:color="000000" w:sz="8" w:space="0"/>
                    <w:right w:val="single" w:color="000000" w:sz="8" w:space="0"/>
                  </w:tcBorders>
                  <w:shd w:val="clear" w:color="auto" w:fill="FBE5D6"/>
                </w:tcPr>
                <w:p w14:paraId="588A5E64">
                  <w:pPr>
                    <w:widowControl/>
                    <w:spacing w:after="180" w:afterLines="0" w:line="240" w:lineRule="auto"/>
                    <w:ind w:firstLine="0" w:firstLineChars="0"/>
                    <w:textAlignment w:val="top"/>
                    <w:rPr>
                      <w:rFonts w:eastAsia="等线"/>
                      <w:color w:val="000000"/>
                      <w:kern w:val="0"/>
                      <w:sz w:val="21"/>
                      <w:szCs w:val="21"/>
                      <w:lang w:bidi="ar"/>
                    </w:rPr>
                  </w:pPr>
                  <w:r>
                    <w:rPr>
                      <w:rFonts w:eastAsia="等线"/>
                      <w:color w:val="000000"/>
                      <w:kern w:val="0"/>
                      <w:sz w:val="21"/>
                      <w:szCs w:val="21"/>
                      <w:lang w:bidi="ar"/>
                    </w:rPr>
                    <w:t>TBS</w:t>
                  </w:r>
                </w:p>
                <w:p w14:paraId="55C6910B">
                  <w:pPr>
                    <w:widowControl/>
                    <w:spacing w:after="180" w:afterLines="0" w:line="240" w:lineRule="auto"/>
                    <w:ind w:firstLine="0" w:firstLineChars="0"/>
                    <w:textAlignment w:val="top"/>
                    <w:rPr>
                      <w:rFonts w:eastAsia="等线"/>
                      <w:color w:val="000000"/>
                      <w:kern w:val="0"/>
                      <w:sz w:val="21"/>
                      <w:szCs w:val="21"/>
                      <w:lang w:val="en-GB" w:eastAsia="en-US" w:bidi="ar"/>
                    </w:rPr>
                  </w:pPr>
                </w:p>
              </w:tc>
              <w:tc>
                <w:tcPr>
                  <w:tcW w:w="4780" w:type="dxa"/>
                  <w:gridSpan w:val="4"/>
                  <w:tcBorders>
                    <w:top w:val="nil"/>
                    <w:left w:val="single" w:color="000000" w:sz="8" w:space="0"/>
                    <w:bottom w:val="single" w:color="000000" w:sz="8" w:space="0"/>
                    <w:right w:val="single" w:color="000000" w:sz="8" w:space="0"/>
                  </w:tcBorders>
                  <w:shd w:val="clear" w:color="auto" w:fill="FBE5D6"/>
                </w:tcPr>
                <w:p w14:paraId="686EDA6F">
                  <w:pPr>
                    <w:widowControl/>
                    <w:spacing w:after="180" w:afterLines="0" w:line="240" w:lineRule="auto"/>
                    <w:ind w:firstLine="0" w:firstLineChars="0"/>
                    <w:textAlignment w:val="top"/>
                    <w:rPr>
                      <w:rFonts w:hint="default"/>
                      <w:lang w:val="en-US" w:eastAsia="zh-CN"/>
                    </w:rPr>
                  </w:pPr>
                  <w:r>
                    <w:rPr>
                      <w:rFonts w:eastAsia="宋体"/>
                      <w:bCs/>
                      <w:kern w:val="0"/>
                      <w:szCs w:val="20"/>
                    </w:rPr>
                    <w:t>Depending on the size of the MAC PDU of A-IoT paging message indicating CFA</w:t>
                  </w:r>
                </w:p>
              </w:tc>
            </w:tr>
            <w:tr w14:paraId="114AF460">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E5D6"/>
                </w:tcPr>
                <w:p w14:paraId="7AC55402">
                  <w:pPr>
                    <w:widowControl/>
                    <w:spacing w:after="180" w:afterLines="0" w:line="240" w:lineRule="auto"/>
                    <w:ind w:firstLine="0" w:firstLineChars="0"/>
                    <w:rPr>
                      <w:rFonts w:eastAsia="等线"/>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BE5D6"/>
                </w:tcPr>
                <w:p w14:paraId="7F34C157">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CRC</w:t>
                  </w:r>
                </w:p>
              </w:tc>
              <w:tc>
                <w:tcPr>
                  <w:tcW w:w="1544" w:type="dxa"/>
                  <w:tcBorders>
                    <w:top w:val="nil"/>
                    <w:left w:val="single" w:color="000000" w:sz="8" w:space="0"/>
                    <w:bottom w:val="single" w:color="000000" w:sz="8" w:space="0"/>
                    <w:right w:val="single" w:color="000000" w:sz="8" w:space="0"/>
                  </w:tcBorders>
                  <w:shd w:val="clear" w:color="auto" w:fill="FBE5D6"/>
                </w:tcPr>
                <w:p w14:paraId="25EA271C">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16</w:t>
                  </w:r>
                </w:p>
              </w:tc>
              <w:tc>
                <w:tcPr>
                  <w:tcW w:w="1078" w:type="dxa"/>
                  <w:tcBorders>
                    <w:top w:val="nil"/>
                    <w:left w:val="single" w:color="000000" w:sz="8" w:space="0"/>
                    <w:bottom w:val="single" w:color="000000" w:sz="8" w:space="0"/>
                    <w:right w:val="single" w:color="000000" w:sz="8" w:space="0"/>
                  </w:tcBorders>
                  <w:shd w:val="clear" w:color="auto" w:fill="FBE5D6"/>
                </w:tcPr>
                <w:p w14:paraId="22EB246E">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16</w:t>
                  </w:r>
                </w:p>
              </w:tc>
              <w:tc>
                <w:tcPr>
                  <w:tcW w:w="1079" w:type="dxa"/>
                  <w:tcBorders>
                    <w:top w:val="nil"/>
                    <w:left w:val="single" w:color="000000" w:sz="8" w:space="0"/>
                    <w:bottom w:val="single" w:color="000000" w:sz="8" w:space="0"/>
                    <w:right w:val="single" w:color="000000" w:sz="8" w:space="0"/>
                  </w:tcBorders>
                  <w:shd w:val="clear" w:color="auto" w:fill="FBE5D6"/>
                </w:tcPr>
                <w:p w14:paraId="31E15FD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16</w:t>
                  </w:r>
                </w:p>
              </w:tc>
              <w:tc>
                <w:tcPr>
                  <w:tcW w:w="1079" w:type="dxa"/>
                  <w:tcBorders>
                    <w:top w:val="nil"/>
                    <w:left w:val="single" w:color="000000" w:sz="8" w:space="0"/>
                    <w:bottom w:val="single" w:color="000000" w:sz="8" w:space="0"/>
                    <w:right w:val="single" w:color="000000" w:sz="8" w:space="0"/>
                  </w:tcBorders>
                  <w:shd w:val="clear" w:color="auto" w:fill="FBE5D6"/>
                </w:tcPr>
                <w:p w14:paraId="2E266059">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16</w:t>
                  </w:r>
                </w:p>
              </w:tc>
            </w:tr>
            <w:tr w14:paraId="3AF134A3">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E5D6"/>
                </w:tcPr>
                <w:p w14:paraId="038DC9A4">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BE5D6"/>
                </w:tcPr>
                <w:p w14:paraId="717D45FB">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Line encoding</w:t>
                  </w:r>
                </w:p>
              </w:tc>
              <w:tc>
                <w:tcPr>
                  <w:tcW w:w="1544" w:type="dxa"/>
                  <w:tcBorders>
                    <w:top w:val="nil"/>
                    <w:left w:val="single" w:color="000000" w:sz="8" w:space="0"/>
                    <w:bottom w:val="single" w:color="000000" w:sz="8" w:space="0"/>
                    <w:right w:val="single" w:color="000000" w:sz="8" w:space="0"/>
                  </w:tcBorders>
                  <w:shd w:val="clear" w:color="auto" w:fill="FBE5D6"/>
                </w:tcPr>
                <w:p w14:paraId="6DF2B13B">
                  <w:pPr>
                    <w:widowControl/>
                    <w:spacing w:after="180" w:afterLines="0" w:line="240" w:lineRule="auto"/>
                    <w:ind w:firstLine="0" w:firstLineChars="0"/>
                    <w:rPr>
                      <w:rFonts w:eastAsia="等线"/>
                      <w:color w:val="000000"/>
                      <w:kern w:val="0"/>
                      <w:sz w:val="21"/>
                      <w:szCs w:val="21"/>
                      <w:lang w:val="en-GB" w:eastAsia="en-US"/>
                    </w:rPr>
                  </w:pPr>
                </w:p>
              </w:tc>
              <w:tc>
                <w:tcPr>
                  <w:tcW w:w="1078" w:type="dxa"/>
                  <w:tcBorders>
                    <w:top w:val="nil"/>
                    <w:left w:val="single" w:color="000000" w:sz="8" w:space="0"/>
                    <w:bottom w:val="single" w:color="000000" w:sz="8" w:space="0"/>
                    <w:right w:val="single" w:color="000000" w:sz="8" w:space="0"/>
                  </w:tcBorders>
                  <w:shd w:val="clear" w:color="auto" w:fill="FBE5D6"/>
                </w:tcPr>
                <w:p w14:paraId="128618CD">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BE5D6"/>
                </w:tcPr>
                <w:p w14:paraId="3D722765">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BE5D6"/>
                </w:tcPr>
                <w:p w14:paraId="5F5E2D00">
                  <w:pPr>
                    <w:widowControl/>
                    <w:spacing w:after="180" w:afterLines="0" w:line="240" w:lineRule="auto"/>
                    <w:ind w:firstLine="0" w:firstLineChars="0"/>
                    <w:rPr>
                      <w:rFonts w:eastAsia="等线"/>
                      <w:color w:val="000000"/>
                      <w:kern w:val="0"/>
                      <w:sz w:val="21"/>
                      <w:szCs w:val="21"/>
                      <w:lang w:val="en-GB" w:eastAsia="en-US"/>
                    </w:rPr>
                  </w:pPr>
                </w:p>
              </w:tc>
            </w:tr>
            <w:tr w14:paraId="0261E847">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E5D6"/>
                </w:tcPr>
                <w:p w14:paraId="527D30AC">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BE5D6"/>
                </w:tcPr>
                <w:p w14:paraId="27C1200F">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OOK</w:t>
                  </w:r>
                </w:p>
              </w:tc>
              <w:tc>
                <w:tcPr>
                  <w:tcW w:w="1544" w:type="dxa"/>
                  <w:tcBorders>
                    <w:top w:val="nil"/>
                    <w:left w:val="single" w:color="000000" w:sz="8" w:space="0"/>
                    <w:bottom w:val="single" w:color="000000" w:sz="8" w:space="0"/>
                    <w:right w:val="single" w:color="000000" w:sz="8" w:space="0"/>
                  </w:tcBorders>
                  <w:shd w:val="clear" w:color="auto" w:fill="FBE5D6"/>
                </w:tcPr>
                <w:p w14:paraId="36F7B6AB">
                  <w:pPr>
                    <w:widowControl/>
                    <w:spacing w:after="180" w:afterLines="0" w:line="240" w:lineRule="auto"/>
                    <w:ind w:firstLine="0" w:firstLineChars="0"/>
                    <w:rPr>
                      <w:rFonts w:eastAsia="等线"/>
                      <w:color w:val="000000"/>
                      <w:kern w:val="0"/>
                      <w:sz w:val="21"/>
                      <w:szCs w:val="21"/>
                      <w:lang w:val="en-GB" w:eastAsia="en-US"/>
                    </w:rPr>
                  </w:pPr>
                </w:p>
              </w:tc>
              <w:tc>
                <w:tcPr>
                  <w:tcW w:w="1078" w:type="dxa"/>
                  <w:tcBorders>
                    <w:top w:val="nil"/>
                    <w:left w:val="single" w:color="000000" w:sz="8" w:space="0"/>
                    <w:bottom w:val="single" w:color="000000" w:sz="8" w:space="0"/>
                    <w:right w:val="single" w:color="000000" w:sz="8" w:space="0"/>
                  </w:tcBorders>
                  <w:shd w:val="clear" w:color="auto" w:fill="FBE5D6"/>
                </w:tcPr>
                <w:p w14:paraId="58278214">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BE5D6"/>
                </w:tcPr>
                <w:p w14:paraId="7EB62FCC">
                  <w:pPr>
                    <w:widowControl/>
                    <w:spacing w:after="180" w:afterLines="0" w:line="240" w:lineRule="auto"/>
                    <w:ind w:firstLine="0" w:firstLineChars="0"/>
                    <w:rPr>
                      <w:rFonts w:eastAsia="等线"/>
                      <w:color w:val="000000"/>
                      <w:kern w:val="0"/>
                      <w:sz w:val="21"/>
                      <w:szCs w:val="21"/>
                      <w:lang w:val="en-GB" w:eastAsia="en-US"/>
                    </w:rPr>
                  </w:pPr>
                </w:p>
              </w:tc>
              <w:tc>
                <w:tcPr>
                  <w:tcW w:w="1079" w:type="dxa"/>
                  <w:tcBorders>
                    <w:top w:val="nil"/>
                    <w:left w:val="single" w:color="000000" w:sz="8" w:space="0"/>
                    <w:bottom w:val="single" w:color="000000" w:sz="8" w:space="0"/>
                    <w:right w:val="single" w:color="000000" w:sz="8" w:space="0"/>
                  </w:tcBorders>
                  <w:shd w:val="clear" w:color="auto" w:fill="FBE5D6"/>
                </w:tcPr>
                <w:p w14:paraId="2E54B2F3">
                  <w:pPr>
                    <w:widowControl/>
                    <w:spacing w:after="180" w:afterLines="0" w:line="240" w:lineRule="auto"/>
                    <w:ind w:firstLine="0" w:firstLineChars="0"/>
                    <w:rPr>
                      <w:rFonts w:eastAsia="等线"/>
                      <w:color w:val="000000"/>
                      <w:kern w:val="0"/>
                      <w:sz w:val="21"/>
                      <w:szCs w:val="21"/>
                      <w:lang w:val="en-GB" w:eastAsia="en-US"/>
                    </w:rPr>
                  </w:pPr>
                </w:p>
              </w:tc>
            </w:tr>
            <w:tr w14:paraId="12451A87">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E5D6"/>
                </w:tcPr>
                <w:p w14:paraId="011890A9">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FBE5D6"/>
                </w:tcPr>
                <w:p w14:paraId="267264F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M</w:t>
                  </w:r>
                </w:p>
              </w:tc>
              <w:tc>
                <w:tcPr>
                  <w:tcW w:w="1544" w:type="dxa"/>
                  <w:tcBorders>
                    <w:top w:val="nil"/>
                    <w:left w:val="single" w:color="000000" w:sz="8" w:space="0"/>
                    <w:bottom w:val="single" w:color="000000" w:sz="8" w:space="0"/>
                    <w:right w:val="single" w:color="000000" w:sz="8" w:space="0"/>
                  </w:tcBorders>
                  <w:shd w:val="clear" w:color="auto" w:fill="FBE5D6"/>
                </w:tcPr>
                <w:p w14:paraId="0D97F95F">
                  <w:pPr>
                    <w:widowControl/>
                    <w:spacing w:after="180" w:afterLines="0" w:line="240" w:lineRule="auto"/>
                    <w:ind w:firstLine="0" w:firstLineChars="0"/>
                    <w:textAlignment w:val="top"/>
                    <w:rPr>
                      <w:rFonts w:eastAsia="等线"/>
                      <w:color w:val="000000"/>
                      <w:kern w:val="0"/>
                      <w:sz w:val="21"/>
                      <w:szCs w:val="21"/>
                      <w:lang w:eastAsia="en-US"/>
                    </w:rPr>
                  </w:pPr>
                  <w:r>
                    <w:rPr>
                      <w:rFonts w:hint="eastAsia" w:eastAsia="等线"/>
                      <w:color w:val="000000"/>
                      <w:kern w:val="0"/>
                      <w:sz w:val="21"/>
                      <w:szCs w:val="21"/>
                      <w:lang w:bidi="ar"/>
                    </w:rPr>
                    <w:t>6</w:t>
                  </w:r>
                </w:p>
              </w:tc>
              <w:tc>
                <w:tcPr>
                  <w:tcW w:w="1078" w:type="dxa"/>
                  <w:tcBorders>
                    <w:top w:val="nil"/>
                    <w:left w:val="single" w:color="000000" w:sz="8" w:space="0"/>
                    <w:bottom w:val="single" w:color="000000" w:sz="8" w:space="0"/>
                    <w:right w:val="single" w:color="000000" w:sz="8" w:space="0"/>
                  </w:tcBorders>
                  <w:shd w:val="clear" w:color="auto" w:fill="FBE5D6"/>
                </w:tcPr>
                <w:p w14:paraId="1A466733">
                  <w:pPr>
                    <w:widowControl/>
                    <w:spacing w:after="180" w:afterLines="0" w:line="240" w:lineRule="auto"/>
                    <w:ind w:firstLine="0" w:firstLineChars="0"/>
                    <w:textAlignment w:val="top"/>
                    <w:rPr>
                      <w:rFonts w:eastAsia="等线"/>
                      <w:color w:val="000000"/>
                      <w:kern w:val="0"/>
                      <w:sz w:val="21"/>
                      <w:szCs w:val="21"/>
                      <w:lang w:eastAsia="en-US"/>
                    </w:rPr>
                  </w:pPr>
                  <w:r>
                    <w:rPr>
                      <w:rFonts w:hint="eastAsia" w:eastAsia="等线"/>
                      <w:color w:val="000000"/>
                      <w:kern w:val="0"/>
                      <w:sz w:val="21"/>
                      <w:szCs w:val="21"/>
                      <w:lang w:bidi="ar"/>
                    </w:rPr>
                    <w:t>6</w:t>
                  </w:r>
                </w:p>
              </w:tc>
              <w:tc>
                <w:tcPr>
                  <w:tcW w:w="1079" w:type="dxa"/>
                  <w:tcBorders>
                    <w:top w:val="nil"/>
                    <w:left w:val="single" w:color="000000" w:sz="8" w:space="0"/>
                    <w:bottom w:val="single" w:color="000000" w:sz="8" w:space="0"/>
                    <w:right w:val="single" w:color="000000" w:sz="8" w:space="0"/>
                  </w:tcBorders>
                  <w:shd w:val="clear" w:color="auto" w:fill="FBE5D6"/>
                </w:tcPr>
                <w:p w14:paraId="19F1DBC5">
                  <w:pPr>
                    <w:widowControl/>
                    <w:spacing w:after="180" w:afterLines="0" w:line="240" w:lineRule="auto"/>
                    <w:ind w:firstLine="0" w:firstLineChars="0"/>
                    <w:textAlignment w:val="top"/>
                    <w:rPr>
                      <w:rFonts w:eastAsia="等线"/>
                      <w:color w:val="000000"/>
                      <w:kern w:val="0"/>
                      <w:sz w:val="21"/>
                      <w:szCs w:val="21"/>
                      <w:lang w:eastAsia="en-US"/>
                    </w:rPr>
                  </w:pPr>
                  <w:r>
                    <w:rPr>
                      <w:rFonts w:hint="eastAsia" w:eastAsia="等线"/>
                      <w:color w:val="000000"/>
                      <w:kern w:val="0"/>
                      <w:sz w:val="21"/>
                      <w:szCs w:val="21"/>
                      <w:lang w:bidi="ar"/>
                    </w:rPr>
                    <w:t>6</w:t>
                  </w:r>
                </w:p>
              </w:tc>
              <w:tc>
                <w:tcPr>
                  <w:tcW w:w="1079" w:type="dxa"/>
                  <w:tcBorders>
                    <w:top w:val="nil"/>
                    <w:left w:val="single" w:color="000000" w:sz="8" w:space="0"/>
                    <w:bottom w:val="single" w:color="000000" w:sz="8" w:space="0"/>
                    <w:right w:val="single" w:color="000000" w:sz="8" w:space="0"/>
                  </w:tcBorders>
                  <w:shd w:val="clear" w:color="auto" w:fill="FBE5D6"/>
                </w:tcPr>
                <w:p w14:paraId="6E88D44A">
                  <w:pPr>
                    <w:widowControl/>
                    <w:spacing w:after="180" w:afterLines="0" w:line="240" w:lineRule="auto"/>
                    <w:ind w:firstLine="0" w:firstLineChars="0"/>
                    <w:textAlignment w:val="top"/>
                    <w:rPr>
                      <w:rFonts w:eastAsia="等线"/>
                      <w:color w:val="000000"/>
                      <w:kern w:val="0"/>
                      <w:sz w:val="21"/>
                      <w:szCs w:val="21"/>
                      <w:lang w:eastAsia="en-US"/>
                    </w:rPr>
                  </w:pPr>
                  <w:r>
                    <w:rPr>
                      <w:rFonts w:hint="eastAsia" w:eastAsia="等线"/>
                      <w:color w:val="000000"/>
                      <w:kern w:val="0"/>
                      <w:sz w:val="21"/>
                      <w:szCs w:val="21"/>
                      <w:lang w:bidi="ar"/>
                    </w:rPr>
                    <w:t>6</w:t>
                  </w:r>
                </w:p>
              </w:tc>
            </w:tr>
            <w:tr w14:paraId="60CD046B">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DEEBF6"/>
                </w:tcPr>
                <w:p w14:paraId="00175DAD">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postamble</w:t>
                  </w:r>
                </w:p>
              </w:tc>
              <w:tc>
                <w:tcPr>
                  <w:tcW w:w="1518" w:type="dxa"/>
                  <w:tcBorders>
                    <w:top w:val="nil"/>
                    <w:left w:val="single" w:color="000000" w:sz="8" w:space="0"/>
                    <w:bottom w:val="single" w:color="000000" w:sz="8" w:space="0"/>
                    <w:right w:val="single" w:color="000000" w:sz="8" w:space="0"/>
                  </w:tcBorders>
                  <w:shd w:val="clear" w:color="auto" w:fill="DEEBF6"/>
                </w:tcPr>
                <w:p w14:paraId="1B7164E8">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Bit length</w:t>
                  </w:r>
                </w:p>
              </w:tc>
              <w:tc>
                <w:tcPr>
                  <w:tcW w:w="1544" w:type="dxa"/>
                  <w:tcBorders>
                    <w:top w:val="nil"/>
                    <w:left w:val="single" w:color="000000" w:sz="8" w:space="0"/>
                    <w:bottom w:val="single" w:color="000000" w:sz="8" w:space="0"/>
                    <w:right w:val="single" w:color="000000" w:sz="8" w:space="0"/>
                  </w:tcBorders>
                  <w:shd w:val="clear" w:color="auto" w:fill="DEEBF6"/>
                </w:tcPr>
                <w:p w14:paraId="6838CE74">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8" w:type="dxa"/>
                  <w:tcBorders>
                    <w:top w:val="nil"/>
                    <w:left w:val="single" w:color="000000" w:sz="8" w:space="0"/>
                    <w:bottom w:val="single" w:color="000000" w:sz="8" w:space="0"/>
                    <w:right w:val="single" w:color="000000" w:sz="8" w:space="0"/>
                  </w:tcBorders>
                  <w:shd w:val="clear" w:color="auto" w:fill="DEEBF6"/>
                </w:tcPr>
                <w:p w14:paraId="66552C2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DEEBF6"/>
                </w:tcPr>
                <w:p w14:paraId="6C8ACEB8">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c>
                <w:tcPr>
                  <w:tcW w:w="1079" w:type="dxa"/>
                  <w:tcBorders>
                    <w:top w:val="nil"/>
                    <w:left w:val="single" w:color="000000" w:sz="8" w:space="0"/>
                    <w:bottom w:val="single" w:color="000000" w:sz="8" w:space="0"/>
                    <w:right w:val="single" w:color="000000" w:sz="8" w:space="0"/>
                  </w:tcBorders>
                  <w:shd w:val="clear" w:color="auto" w:fill="DEEBF6"/>
                </w:tcPr>
                <w:p w14:paraId="242955CB">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4</w:t>
                  </w:r>
                </w:p>
              </w:tc>
            </w:tr>
            <w:tr w14:paraId="250706D1">
              <w:tblPrEx>
                <w:tblCellMar>
                  <w:top w:w="0" w:type="dxa"/>
                  <w:left w:w="108" w:type="dxa"/>
                  <w:bottom w:w="0" w:type="dxa"/>
                  <w:right w:w="108" w:type="dxa"/>
                </w:tblCellMar>
              </w:tblPrEx>
              <w:trPr>
                <w:trHeight w:val="285" w:hRule="atLeast"/>
                <w:jc w:val="center"/>
              </w:trPr>
              <w:tc>
                <w:tcPr>
                  <w:tcW w:w="1547" w:type="dxa"/>
                  <w:tcBorders>
                    <w:top w:val="nil"/>
                    <w:left w:val="single" w:color="000000" w:sz="8" w:space="0"/>
                    <w:bottom w:val="single" w:color="000000" w:sz="8" w:space="0"/>
                    <w:right w:val="single" w:color="000000" w:sz="8" w:space="0"/>
                  </w:tcBorders>
                  <w:shd w:val="clear" w:color="auto" w:fill="DEEBF6"/>
                </w:tcPr>
                <w:p w14:paraId="342F5523">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18" w:type="dxa"/>
                  <w:tcBorders>
                    <w:top w:val="nil"/>
                    <w:left w:val="single" w:color="000000" w:sz="8" w:space="0"/>
                    <w:bottom w:val="single" w:color="000000" w:sz="8" w:space="0"/>
                    <w:right w:val="single" w:color="000000" w:sz="8" w:space="0"/>
                  </w:tcBorders>
                  <w:shd w:val="clear" w:color="auto" w:fill="DEEBF6"/>
                </w:tcPr>
                <w:p w14:paraId="16E1F882">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M</w:t>
                  </w:r>
                </w:p>
              </w:tc>
              <w:tc>
                <w:tcPr>
                  <w:tcW w:w="1544" w:type="dxa"/>
                  <w:tcBorders>
                    <w:top w:val="nil"/>
                    <w:left w:val="single" w:color="000000" w:sz="8" w:space="0"/>
                    <w:bottom w:val="single" w:color="000000" w:sz="8" w:space="0"/>
                    <w:right w:val="single" w:color="000000" w:sz="8" w:space="0"/>
                  </w:tcBorders>
                  <w:shd w:val="clear" w:color="auto" w:fill="DEEBF6"/>
                </w:tcPr>
                <w:p w14:paraId="76075011">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6</w:t>
                  </w:r>
                </w:p>
              </w:tc>
              <w:tc>
                <w:tcPr>
                  <w:tcW w:w="1078" w:type="dxa"/>
                  <w:tcBorders>
                    <w:top w:val="nil"/>
                    <w:left w:val="single" w:color="000000" w:sz="8" w:space="0"/>
                    <w:bottom w:val="single" w:color="000000" w:sz="8" w:space="0"/>
                    <w:right w:val="single" w:color="000000" w:sz="8" w:space="0"/>
                  </w:tcBorders>
                  <w:shd w:val="clear" w:color="auto" w:fill="DEEBF6"/>
                </w:tcPr>
                <w:p w14:paraId="119788E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12</w:t>
                  </w:r>
                </w:p>
              </w:tc>
              <w:tc>
                <w:tcPr>
                  <w:tcW w:w="1079" w:type="dxa"/>
                  <w:tcBorders>
                    <w:top w:val="nil"/>
                    <w:left w:val="single" w:color="000000" w:sz="8" w:space="0"/>
                    <w:bottom w:val="single" w:color="000000" w:sz="8" w:space="0"/>
                    <w:right w:val="single" w:color="000000" w:sz="8" w:space="0"/>
                  </w:tcBorders>
                  <w:shd w:val="clear" w:color="auto" w:fill="DEEBF6"/>
                </w:tcPr>
                <w:p w14:paraId="7D6BA89B">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DEEBF6"/>
                </w:tcPr>
                <w:p w14:paraId="2630465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2</w:t>
                  </w:r>
                </w:p>
              </w:tc>
            </w:tr>
            <w:tr w14:paraId="05F5AC3E">
              <w:tblPrEx>
                <w:tblCellMar>
                  <w:top w:w="0" w:type="dxa"/>
                  <w:left w:w="108" w:type="dxa"/>
                  <w:bottom w:w="0" w:type="dxa"/>
                  <w:right w:w="108" w:type="dxa"/>
                </w:tblCellMar>
              </w:tblPrEx>
              <w:trPr>
                <w:trHeight w:val="825" w:hRule="atLeast"/>
                <w:jc w:val="center"/>
              </w:trPr>
              <w:tc>
                <w:tcPr>
                  <w:tcW w:w="1547" w:type="dxa"/>
                  <w:tcBorders>
                    <w:top w:val="nil"/>
                    <w:left w:val="single" w:color="000000" w:sz="8" w:space="0"/>
                    <w:bottom w:val="single" w:color="000000" w:sz="8" w:space="0"/>
                    <w:right w:val="single" w:color="000000" w:sz="8" w:space="0"/>
                  </w:tcBorders>
                  <w:shd w:val="clear" w:color="auto" w:fill="FFF2CC"/>
                </w:tcPr>
                <w:p w14:paraId="199D54E6">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chip number except for SIP, padding</w:t>
                  </w:r>
                </w:p>
              </w:tc>
              <w:tc>
                <w:tcPr>
                  <w:tcW w:w="1518" w:type="dxa"/>
                  <w:tcBorders>
                    <w:top w:val="nil"/>
                    <w:left w:val="single" w:color="000000" w:sz="8" w:space="0"/>
                    <w:bottom w:val="single" w:color="000000" w:sz="8" w:space="0"/>
                    <w:right w:val="single" w:color="000000" w:sz="8" w:space="0"/>
                  </w:tcBorders>
                  <w:shd w:val="clear" w:color="auto" w:fill="FFF2CC"/>
                </w:tcPr>
                <w:p w14:paraId="43CEAE48">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44" w:type="dxa"/>
                  <w:tcBorders>
                    <w:top w:val="nil"/>
                    <w:left w:val="single" w:color="000000" w:sz="8" w:space="0"/>
                    <w:bottom w:val="single" w:color="000000" w:sz="8" w:space="0"/>
                    <w:right w:val="single" w:color="000000" w:sz="8" w:space="0"/>
                  </w:tcBorders>
                  <w:shd w:val="clear" w:color="auto" w:fill="FFF2CC"/>
                </w:tcPr>
                <w:p w14:paraId="6B00D8DE">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228</w:t>
                  </w:r>
                </w:p>
              </w:tc>
              <w:tc>
                <w:tcPr>
                  <w:tcW w:w="1078" w:type="dxa"/>
                  <w:tcBorders>
                    <w:top w:val="nil"/>
                    <w:left w:val="single" w:color="000000" w:sz="8" w:space="0"/>
                    <w:bottom w:val="single" w:color="000000" w:sz="8" w:space="0"/>
                    <w:right w:val="single" w:color="000000" w:sz="8" w:space="0"/>
                  </w:tcBorders>
                  <w:shd w:val="clear" w:color="auto" w:fill="FFF2CC"/>
                </w:tcPr>
                <w:p w14:paraId="1A8CBF40">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228</w:t>
                  </w:r>
                </w:p>
              </w:tc>
              <w:tc>
                <w:tcPr>
                  <w:tcW w:w="1079" w:type="dxa"/>
                  <w:tcBorders>
                    <w:top w:val="nil"/>
                    <w:left w:val="single" w:color="000000" w:sz="8" w:space="0"/>
                    <w:bottom w:val="single" w:color="000000" w:sz="8" w:space="0"/>
                    <w:right w:val="single" w:color="000000" w:sz="8" w:space="0"/>
                  </w:tcBorders>
                  <w:shd w:val="clear" w:color="auto" w:fill="FFF2CC"/>
                </w:tcPr>
                <w:p w14:paraId="2491C4CE">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228</w:t>
                  </w:r>
                </w:p>
              </w:tc>
              <w:tc>
                <w:tcPr>
                  <w:tcW w:w="1079" w:type="dxa"/>
                  <w:tcBorders>
                    <w:top w:val="nil"/>
                    <w:left w:val="single" w:color="000000" w:sz="8" w:space="0"/>
                    <w:bottom w:val="single" w:color="000000" w:sz="8" w:space="0"/>
                    <w:right w:val="single" w:color="000000" w:sz="8" w:space="0"/>
                  </w:tcBorders>
                  <w:shd w:val="clear" w:color="auto" w:fill="FFF2CC"/>
                </w:tcPr>
                <w:p w14:paraId="0737E26A">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228</w:t>
                  </w:r>
                </w:p>
              </w:tc>
            </w:tr>
            <w:tr w14:paraId="59569AEC">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FBD4B4"/>
                </w:tcPr>
                <w:p w14:paraId="3CDD6EAF">
                  <w:pPr>
                    <w:widowControl/>
                    <w:spacing w:after="180" w:afterLines="0" w:line="240" w:lineRule="auto"/>
                    <w:ind w:firstLine="0" w:firstLineChars="0"/>
                    <w:textAlignment w:val="top"/>
                    <w:rPr>
                      <w:rFonts w:eastAsia="等线"/>
                      <w:color w:val="000000"/>
                      <w:kern w:val="0"/>
                      <w:sz w:val="21"/>
                      <w:szCs w:val="21"/>
                      <w:lang w:val="en-GB" w:eastAsia="en-US"/>
                    </w:rPr>
                  </w:pPr>
                  <w:r>
                    <w:rPr>
                      <w:rFonts w:eastAsia="等线"/>
                      <w:color w:val="000000"/>
                      <w:kern w:val="0"/>
                      <w:sz w:val="21"/>
                      <w:szCs w:val="21"/>
                      <w:lang w:bidi="ar"/>
                    </w:rPr>
                    <w:t>Padding</w:t>
                  </w:r>
                </w:p>
              </w:tc>
              <w:tc>
                <w:tcPr>
                  <w:tcW w:w="1518" w:type="dxa"/>
                  <w:tcBorders>
                    <w:top w:val="nil"/>
                    <w:left w:val="single" w:color="000000" w:sz="8" w:space="0"/>
                    <w:bottom w:val="single" w:color="000000" w:sz="8" w:space="0"/>
                    <w:right w:val="single" w:color="000000" w:sz="8" w:space="0"/>
                  </w:tcBorders>
                  <w:shd w:val="clear" w:color="auto" w:fill="FBD4B4"/>
                </w:tcPr>
                <w:p w14:paraId="15EC1734">
                  <w:pPr>
                    <w:widowControl/>
                    <w:spacing w:after="180" w:afterLines="0" w:line="240" w:lineRule="auto"/>
                    <w:ind w:firstLine="0" w:firstLineChars="0"/>
                    <w:rPr>
                      <w:rFonts w:ascii="宋体" w:hAnsi="宋体" w:eastAsia="宋体" w:cs="宋体"/>
                      <w:color w:val="000000"/>
                      <w:kern w:val="0"/>
                      <w:sz w:val="21"/>
                      <w:szCs w:val="21"/>
                      <w:lang w:val="en-GB" w:eastAsia="en-US"/>
                    </w:rPr>
                  </w:pPr>
                </w:p>
              </w:tc>
              <w:tc>
                <w:tcPr>
                  <w:tcW w:w="1544" w:type="dxa"/>
                  <w:tcBorders>
                    <w:top w:val="nil"/>
                    <w:left w:val="single" w:color="000000" w:sz="8" w:space="0"/>
                    <w:bottom w:val="single" w:color="000000" w:sz="8" w:space="0"/>
                    <w:right w:val="single" w:color="000000" w:sz="8" w:space="0"/>
                  </w:tcBorders>
                  <w:shd w:val="clear" w:color="auto" w:fill="FBD4B4"/>
                </w:tcPr>
                <w:p w14:paraId="1D42E163">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6</w:t>
                  </w:r>
                </w:p>
              </w:tc>
              <w:tc>
                <w:tcPr>
                  <w:tcW w:w="1078" w:type="dxa"/>
                  <w:tcBorders>
                    <w:top w:val="nil"/>
                    <w:left w:val="single" w:color="000000" w:sz="8" w:space="0"/>
                    <w:bottom w:val="single" w:color="000000" w:sz="8" w:space="0"/>
                    <w:right w:val="single" w:color="000000" w:sz="8" w:space="0"/>
                  </w:tcBorders>
                  <w:shd w:val="clear" w:color="auto" w:fill="FBD4B4"/>
                </w:tcPr>
                <w:p w14:paraId="29CD4EFC">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12</w:t>
                  </w:r>
                </w:p>
              </w:tc>
              <w:tc>
                <w:tcPr>
                  <w:tcW w:w="1079" w:type="dxa"/>
                  <w:tcBorders>
                    <w:top w:val="nil"/>
                    <w:left w:val="single" w:color="000000" w:sz="8" w:space="0"/>
                    <w:bottom w:val="single" w:color="000000" w:sz="8" w:space="0"/>
                    <w:right w:val="single" w:color="000000" w:sz="8" w:space="0"/>
                  </w:tcBorders>
                  <w:shd w:val="clear" w:color="auto" w:fill="FBD4B4"/>
                </w:tcPr>
                <w:p w14:paraId="445BDFFB">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w:t>
                  </w:r>
                </w:p>
              </w:tc>
              <w:tc>
                <w:tcPr>
                  <w:tcW w:w="1079" w:type="dxa"/>
                  <w:tcBorders>
                    <w:top w:val="nil"/>
                    <w:left w:val="single" w:color="000000" w:sz="8" w:space="0"/>
                    <w:bottom w:val="single" w:color="000000" w:sz="8" w:space="0"/>
                    <w:right w:val="single" w:color="000000" w:sz="8" w:space="0"/>
                  </w:tcBorders>
                  <w:shd w:val="clear" w:color="auto" w:fill="FBD4B4"/>
                </w:tcPr>
                <w:p w14:paraId="13AC7023">
                  <w:pPr>
                    <w:widowControl/>
                    <w:spacing w:after="180" w:afterLines="0" w:line="240" w:lineRule="auto"/>
                    <w:ind w:firstLine="0" w:firstLineChars="0"/>
                    <w:textAlignment w:val="top"/>
                    <w:rPr>
                      <w:rFonts w:ascii="宋体" w:hAnsi="宋体" w:eastAsia="宋体" w:cs="宋体"/>
                      <w:color w:val="000000"/>
                      <w:kern w:val="0"/>
                      <w:sz w:val="21"/>
                      <w:szCs w:val="21"/>
                      <w:lang w:val="en-GB" w:eastAsia="en-US"/>
                    </w:rPr>
                  </w:pPr>
                  <w:r>
                    <w:rPr>
                      <w:rFonts w:hint="eastAsia" w:ascii="宋体" w:hAnsi="宋体" w:eastAsia="宋体" w:cs="宋体"/>
                      <w:color w:val="000000"/>
                      <w:kern w:val="0"/>
                      <w:sz w:val="21"/>
                      <w:szCs w:val="21"/>
                      <w:lang w:bidi="ar"/>
                    </w:rPr>
                    <w:t>2</w:t>
                  </w:r>
                </w:p>
              </w:tc>
            </w:tr>
          </w:tbl>
          <w:p w14:paraId="5A69387E">
            <w:pPr>
              <w:pStyle w:val="26"/>
              <w:numPr>
                <w:ilvl w:val="0"/>
                <w:numId w:val="0"/>
              </w:numPr>
              <w:spacing w:before="120" w:line="280" w:lineRule="atLeast"/>
              <w:ind w:leftChars="0"/>
              <w:rPr>
                <w:rFonts w:hint="default" w:ascii="Times New Roman" w:hAnsi="Times New Roman" w:cs="Times New Roman"/>
                <w:sz w:val="20"/>
                <w:szCs w:val="20"/>
                <w:vertAlign w:val="baseline"/>
              </w:rPr>
            </w:pPr>
            <w:r>
              <w:rPr>
                <w:rFonts w:hint="default" w:ascii="Times New Roman" w:hAnsi="Times New Roman" w:cs="Times New Roman" w:eastAsiaTheme="minorEastAsia"/>
                <w:highlight w:val="none"/>
                <w:lang w:eastAsia="zh-CN"/>
              </w:rPr>
              <w:t xml:space="preserve"> </w:t>
            </w:r>
          </w:p>
        </w:tc>
      </w:tr>
    </w:tbl>
    <w:p w14:paraId="5D4E79F9">
      <w:pPr>
        <w:numPr>
          <w:ilvl w:val="0"/>
          <w:numId w:val="0"/>
        </w:numPr>
        <w:spacing w:after="180"/>
        <w:ind w:leftChars="0"/>
        <w:jc w:val="left"/>
        <w:rPr>
          <w:rFonts w:hint="eastAsia" w:ascii="Times New Roman" w:hAnsi="Times New Roman"/>
          <w:sz w:val="20"/>
          <w:szCs w:val="20"/>
          <w:lang w:val="en-US" w:eastAsia="zh-CN"/>
        </w:rPr>
      </w:pPr>
    </w:p>
    <w:p w14:paraId="46944986">
      <w:pPr>
        <w:numPr>
          <w:ilvl w:val="0"/>
          <w:numId w:val="0"/>
        </w:numPr>
        <w:spacing w:after="180"/>
        <w:ind w:left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 remaining issues for REFSENSE is M value, the PRB configuration and FRC PRDCH TBS.</w:t>
      </w:r>
    </w:p>
    <w:p w14:paraId="01AEED04">
      <w:pPr>
        <w:numPr>
          <w:ilvl w:val="0"/>
          <w:numId w:val="0"/>
        </w:numPr>
        <w:spacing w:after="180"/>
        <w:ind w:left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the M value, at first they are the same for CAP, PRDCH, postamble. Following list our simulation results for different M value. The SNR corresponding to 0.1 BLER is 3dB difference between M=2 and M=4, and 1.5dB difference between M=4 and M=6. M =24 is the worst case but is not the typical value for REFSENSE which will only used when device is at lowest data rate. from reducing testing time point of view, M =6 or 8 are both OK for us</w:t>
      </w:r>
    </w:p>
    <w:p w14:paraId="6347E55B">
      <w:pPr>
        <w:numPr>
          <w:ilvl w:val="0"/>
          <w:numId w:val="0"/>
        </w:numPr>
        <w:spacing w:after="180"/>
        <w:ind w:leftChars="0"/>
        <w:jc w:val="left"/>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3883025" cy="2872740"/>
            <wp:effectExtent l="0" t="0" r="3175" b="10160"/>
            <wp:docPr id="6" name="图片 6" descr="ba8e4739914310fc30b489acd025f2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a8e4739914310fc30b489acd025f21c"/>
                    <pic:cNvPicPr>
                      <a:picLocks noChangeAspect="1"/>
                    </pic:cNvPicPr>
                  </pic:nvPicPr>
                  <pic:blipFill>
                    <a:blip r:embed="rId5"/>
                    <a:stretch>
                      <a:fillRect/>
                    </a:stretch>
                  </pic:blipFill>
                  <pic:spPr>
                    <a:xfrm>
                      <a:off x="0" y="0"/>
                      <a:ext cx="3883025" cy="2872740"/>
                    </a:xfrm>
                    <a:prstGeom prst="rect">
                      <a:avLst/>
                    </a:prstGeom>
                  </pic:spPr>
                </pic:pic>
              </a:graphicData>
            </a:graphic>
          </wp:inline>
        </w:drawing>
      </w:r>
    </w:p>
    <w:p w14:paraId="31AC3890">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M=6 seems OK for REFSENSE testing.</w:t>
      </w:r>
    </w:p>
    <w:p w14:paraId="04E6B6D8">
      <w:pPr>
        <w:numPr>
          <w:ilvl w:val="0"/>
          <w:numId w:val="0"/>
        </w:numPr>
        <w:spacing w:after="180"/>
        <w:ind w:left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For the PRB configuration, the R2D signal waveform will have better signal performance as larger PRB configuration with the same M value. From this point of view,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OK from our side to only maintain 1PRB and delete 2/3/4PRB configurations.</w:t>
      </w:r>
    </w:p>
    <w:p w14:paraId="5FC0686B">
      <w:pPr>
        <w:numPr>
          <w:ilvl w:val="0"/>
          <w:numId w:val="0"/>
        </w:numPr>
        <w:spacing w:after="180"/>
        <w:ind w:leftChars="0"/>
        <w:jc w:val="left"/>
        <w:rPr>
          <w:rFonts w:hint="default" w:ascii="Times New Roman" w:hAnsi="Times New Roman"/>
          <w:sz w:val="20"/>
          <w:szCs w:val="20"/>
          <w:lang w:val="en-US" w:eastAsia="zh-CN"/>
        </w:rPr>
      </w:pPr>
      <w:r>
        <w:rPr>
          <w:rFonts w:hint="eastAsia" w:ascii="Times New Roman" w:hAnsi="Times New Roman"/>
          <w:b/>
          <w:bCs/>
          <w:sz w:val="20"/>
          <w:szCs w:val="20"/>
          <w:lang w:val="en-US" w:eastAsia="zh-CN"/>
        </w:rPr>
        <w:t>Proposal 1: RAN4 can only retain 1PRB and delete 2/3/4PRB configurations for measurement channel.</w:t>
      </w:r>
      <w:r>
        <w:rPr>
          <w:rFonts w:hint="eastAsia" w:ascii="Times New Roman" w:hAnsi="Times New Roman"/>
          <w:sz w:val="20"/>
          <w:szCs w:val="20"/>
          <w:lang w:val="en-US" w:eastAsia="zh-CN"/>
        </w:rPr>
        <w:t xml:space="preserve"> </w:t>
      </w:r>
    </w:p>
    <w:p w14:paraId="4FC83D4F">
      <w:pPr>
        <w:numPr>
          <w:ilvl w:val="0"/>
          <w:numId w:val="0"/>
        </w:numPr>
        <w:spacing w:after="180"/>
        <w:ind w:leftChars="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TBS, annex lists RAN2 agreements for reference. The TBS include following parts. So the total TBS is suggested as 224bits based on current agreements. But as listed in RAN2 conclusion, they needs to further check whether additional information from SA3 is needed or not. So RAN4 is suggested to wait for final conclusion from RAN2</w:t>
      </w:r>
    </w:p>
    <w:p w14:paraId="43FDEFCC">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R2D message Type: 3 bits</w:t>
      </w:r>
    </w:p>
    <w:p w14:paraId="6ECC7CB6">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R2D TBD + AT: 8 bits</w:t>
      </w:r>
    </w:p>
    <w:p w14:paraId="402EA30B">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Paing ID length: 8 bits</w:t>
      </w:r>
    </w:p>
    <w:p w14:paraId="6DC55ADD">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Paging ID: 177 bits</w:t>
      </w:r>
    </w:p>
    <w:p w14:paraId="7A3C32B4">
      <w:pPr>
        <w:numPr>
          <w:ilvl w:val="1"/>
          <w:numId w:val="9"/>
        </w:numPr>
        <w:spacing w:after="180"/>
        <w:ind w:left="84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 AIoT device permanent ID include following 5 parts:</w:t>
      </w:r>
    </w:p>
    <w:p w14:paraId="63594541">
      <w:pPr>
        <w:numPr>
          <w:ilvl w:val="2"/>
          <w:numId w:val="9"/>
        </w:numPr>
        <w:spacing w:after="180"/>
        <w:ind w:left="126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-ID Type</w:t>
      </w:r>
    </w:p>
    <w:p w14:paraId="77469C30">
      <w:pPr>
        <w:numPr>
          <w:ilvl w:val="2"/>
          <w:numId w:val="9"/>
        </w:numPr>
        <w:spacing w:after="180"/>
        <w:ind w:left="126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-PLMN ID (optional)</w:t>
      </w:r>
    </w:p>
    <w:p w14:paraId="127D7533">
      <w:pPr>
        <w:numPr>
          <w:ilvl w:val="2"/>
          <w:numId w:val="9"/>
        </w:numPr>
        <w:spacing w:after="180"/>
        <w:ind w:left="126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-NID (Optional)</w:t>
      </w:r>
    </w:p>
    <w:p w14:paraId="1DFCC0EC">
      <w:pPr>
        <w:numPr>
          <w:ilvl w:val="2"/>
          <w:numId w:val="9"/>
        </w:numPr>
        <w:spacing w:after="180"/>
        <w:ind w:left="126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-Third Party Identifer (Optional)</w:t>
      </w:r>
    </w:p>
    <w:p w14:paraId="75DCBEC0">
      <w:pPr>
        <w:numPr>
          <w:ilvl w:val="2"/>
          <w:numId w:val="9"/>
        </w:numPr>
        <w:spacing w:after="180"/>
        <w:ind w:left="126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-Identification Information</w:t>
      </w:r>
    </w:p>
    <w:p w14:paraId="02744CF1">
      <w:pPr>
        <w:numPr>
          <w:ilvl w:val="1"/>
          <w:numId w:val="9"/>
        </w:numPr>
        <w:spacing w:after="180"/>
        <w:ind w:left="84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It’s suggested to list all above information as in TBS calculation. So the total AIoT device permanent ID is 177bits.</w:t>
      </w:r>
    </w:p>
    <w:p w14:paraId="3B09C59F">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D2R scheduling info: 24 bits</w:t>
      </w:r>
    </w:p>
    <w:p w14:paraId="222CA898">
      <w:pPr>
        <w:numPr>
          <w:ilvl w:val="0"/>
          <w:numId w:val="9"/>
        </w:numPr>
        <w:spacing w:after="180"/>
        <w:ind w:left="420" w:leftChars="0" w:hanging="420" w:firstLine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Fill Bits: 4bits</w:t>
      </w:r>
    </w:p>
    <w:p w14:paraId="1735D850">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3: based on current RAN2 conclusion, TBS is 224bits totally.</w:t>
      </w:r>
    </w:p>
    <w:p w14:paraId="30E53865">
      <w:pPr>
        <w:numPr>
          <w:ilvl w:val="0"/>
          <w:numId w:val="0"/>
        </w:numPr>
        <w:spacing w:after="180"/>
        <w:ind w:leftChars="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Proposal 2: wait for RAN2 conclusion of whether SA3 information should be added or not before concluding TBS.</w:t>
      </w:r>
      <w:bookmarkStart w:id="3" w:name="OLE_LINK34"/>
      <w:r>
        <w:rPr>
          <w:rFonts w:hint="eastAsia" w:ascii="Times New Roman" w:hAnsi="Times New Roman"/>
          <w:b/>
          <w:bCs/>
          <w:sz w:val="20"/>
          <w:szCs w:val="20"/>
          <w:lang w:val="en-US" w:eastAsia="zh-CN"/>
        </w:rPr>
        <w:t xml:space="preserve"> </w:t>
      </w:r>
    </w:p>
    <w:bookmarkEnd w:id="3"/>
    <w:p w14:paraId="2431EB8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2A265E1C">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 1 are discussed with following observations and proposals.</w:t>
      </w:r>
    </w:p>
    <w:p w14:paraId="3B11043E">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it seems hard to define one uniform backscatter power upper limit. Proponent are suggested to propose some reasonable value for this power limit.</w:t>
      </w:r>
    </w:p>
    <w:p w14:paraId="55049BBC">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M=6 seems OK for REFSENSE testing.</w:t>
      </w:r>
    </w:p>
    <w:p w14:paraId="158C5BDD">
      <w:pPr>
        <w:numPr>
          <w:ilvl w:val="0"/>
          <w:numId w:val="0"/>
        </w:numPr>
        <w:spacing w:after="180"/>
        <w:ind w:leftChars="0"/>
        <w:jc w:val="left"/>
        <w:rPr>
          <w:rFonts w:hint="default" w:ascii="Times New Roman" w:hAnsi="Times New Roman"/>
          <w:sz w:val="20"/>
          <w:szCs w:val="20"/>
          <w:lang w:val="en-US" w:eastAsia="zh-CN"/>
        </w:rPr>
      </w:pPr>
      <w:r>
        <w:rPr>
          <w:rFonts w:hint="eastAsia" w:ascii="Times New Roman" w:hAnsi="Times New Roman"/>
          <w:b/>
          <w:bCs/>
          <w:sz w:val="20"/>
          <w:szCs w:val="20"/>
          <w:lang w:val="en-US" w:eastAsia="zh-CN"/>
        </w:rPr>
        <w:t>Proposal 1: RAN4 can only retain 1PRB and delete 2/3/4PRB configurations for measurement channel.</w:t>
      </w:r>
      <w:r>
        <w:rPr>
          <w:rFonts w:hint="eastAsia" w:ascii="Times New Roman" w:hAnsi="Times New Roman"/>
          <w:sz w:val="20"/>
          <w:szCs w:val="20"/>
          <w:lang w:val="en-US" w:eastAsia="zh-CN"/>
        </w:rPr>
        <w:t xml:space="preserve"> </w:t>
      </w:r>
    </w:p>
    <w:p w14:paraId="429E027E">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3: based on current RAN2 conclusion, TBS is 224bits totally.</w:t>
      </w:r>
    </w:p>
    <w:p w14:paraId="4FD67792">
      <w:pPr>
        <w:numPr>
          <w:ilvl w:val="0"/>
          <w:numId w:val="0"/>
        </w:numPr>
        <w:spacing w:after="180"/>
        <w:ind w:leftChars="0"/>
        <w:jc w:val="left"/>
        <w:rPr>
          <w:rFonts w:hint="eastAsia" w:ascii="Times New Roman" w:hAnsi="Times New Roman"/>
          <w:b/>
          <w:bCs/>
          <w:sz w:val="20"/>
          <w:szCs w:val="20"/>
        </w:rPr>
      </w:pPr>
      <w:r>
        <w:rPr>
          <w:rFonts w:hint="eastAsia" w:ascii="Times New Roman" w:hAnsi="Times New Roman"/>
          <w:b/>
          <w:bCs/>
          <w:sz w:val="20"/>
          <w:szCs w:val="20"/>
          <w:lang w:val="en-US" w:eastAsia="zh-CN"/>
        </w:rPr>
        <w:t xml:space="preserve">Proposal 2: wait for RAN2 conclusion of whether SA3 information should be added or not before concluding TBS. </w:t>
      </w:r>
    </w:p>
    <w:p w14:paraId="079C9D95">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51F2D3B5">
      <w:pPr>
        <w:pStyle w:val="62"/>
        <w:numPr>
          <w:ilvl w:val="0"/>
          <w:numId w:val="10"/>
        </w:numPr>
      </w:pPr>
      <w:bookmarkStart w:id="4" w:name="OLE_LINK16"/>
      <w:bookmarkStart w:id="5" w:name="_Ref387394383"/>
      <w:bookmarkStart w:id="6" w:name="_Ref457225889"/>
      <w:bookmarkStart w:id="7" w:name="OLE_LINK19"/>
      <w:bookmarkStart w:id="8" w:name="OLE_LINK1"/>
      <w:r>
        <w:t>RP-2</w:t>
      </w:r>
      <w:r>
        <w:rPr>
          <w:rFonts w:hint="eastAsia" w:eastAsiaTheme="minorEastAsia"/>
          <w:lang w:eastAsia="zh-CN"/>
        </w:rPr>
        <w:t>43326</w:t>
      </w:r>
      <w:bookmarkEnd w:id="4"/>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5"/>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6"/>
    </w:p>
    <w:p w14:paraId="1E562357">
      <w:pPr>
        <w:pStyle w:val="62"/>
        <w:numPr>
          <w:ilvl w:val="0"/>
          <w:numId w:val="10"/>
        </w:numPr>
      </w:pPr>
      <w:bookmarkStart w:id="9" w:name="OLE_LINK7"/>
      <w:r>
        <w:rPr>
          <w:rFonts w:eastAsiaTheme="minorEastAsia"/>
          <w:lang w:eastAsia="zh-CN"/>
        </w:rPr>
        <w:t>R</w:t>
      </w:r>
      <w:r>
        <w:rPr>
          <w:rFonts w:hint="eastAsia" w:eastAsiaTheme="minorEastAsia"/>
          <w:lang w:eastAsia="zh-CN"/>
        </w:rPr>
        <w:t>4-2420470</w:t>
      </w:r>
      <w:bookmarkEnd w:id="9"/>
      <w:r>
        <w:rPr>
          <w:rFonts w:hint="eastAsia" w:eastAsiaTheme="minorEastAsia"/>
          <w:lang w:eastAsia="zh-CN"/>
        </w:rPr>
        <w:t>, WF on RF requirements for A-IOT, Moderator (Huawei).</w:t>
      </w:r>
      <w:bookmarkEnd w:id="7"/>
      <w:bookmarkEnd w:id="8"/>
    </w:p>
    <w:p w14:paraId="6B4D6E76">
      <w:pPr>
        <w:pStyle w:val="62"/>
        <w:numPr>
          <w:ilvl w:val="0"/>
          <w:numId w:val="0"/>
        </w:numPr>
        <w:ind w:leftChars="0"/>
        <w:rPr>
          <w:rFonts w:hint="eastAsia" w:eastAsiaTheme="minorEastAsia"/>
          <w:lang w:eastAsia="zh-CN"/>
        </w:rPr>
      </w:pPr>
    </w:p>
    <w:p w14:paraId="7614451B">
      <w:pPr>
        <w:pStyle w:val="2"/>
        <w:bidi w:val="0"/>
        <w:rPr>
          <w:rFonts w:hint="eastAsia"/>
          <w:lang w:val="en-US" w:eastAsia="zh-CN"/>
        </w:rPr>
      </w:pPr>
      <w:r>
        <w:rPr>
          <w:rFonts w:hint="eastAsia"/>
          <w:lang w:val="en-US" w:eastAsia="zh-CN"/>
        </w:rPr>
        <w:t>Annex: RAN2 conclusion</w:t>
      </w:r>
    </w:p>
    <w:p w14:paraId="5818B0E3">
      <w:pPr>
        <w:widowControl/>
        <w:overflowPunct w:val="0"/>
        <w:autoSpaceDE w:val="0"/>
        <w:autoSpaceDN w:val="0"/>
        <w:adjustRightInd w:val="0"/>
        <w:spacing w:after="180"/>
        <w:jc w:val="left"/>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From 38.300:</w:t>
      </w:r>
    </w:p>
    <w:p w14:paraId="452D01F8">
      <w:pPr>
        <w:widowControl/>
        <w:overflowPunct w:val="0"/>
        <w:autoSpaceDE w:val="0"/>
        <w:autoSpaceDN w:val="0"/>
        <w:adjustRightInd w:val="0"/>
        <w:spacing w:after="180"/>
        <w:jc w:val="left"/>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For CFA, the A-IoT device shall use the dedicated resource provided in A-IoT paging message to send the D2R Upper Layer Data Transfer message as shown in Figure 16.x.5.3-1(b). The A-IoT device does not need to monitor the Access Trigger message.</w:t>
      </w:r>
      <w:r>
        <w:rPr>
          <w:rFonts w:hint="eastAsia" w:ascii="Times New Roman" w:hAnsi="Times New Roman" w:eastAsia="宋体" w:cs="Times New Roman"/>
          <w:kern w:val="0"/>
          <w:sz w:val="20"/>
          <w:szCs w:val="20"/>
          <w:lang w:val="en-US" w:eastAsia="zh-CN"/>
        </w:rPr>
        <w:t xml:space="preserve"> </w:t>
      </w:r>
    </w:p>
    <w:p w14:paraId="112FB3E6">
      <w:pPr>
        <w:bidi w:val="0"/>
        <w:rPr>
          <w:rFonts w:hint="eastAsia"/>
          <w:lang w:val="en-US" w:eastAsia="zh-CN"/>
        </w:rPr>
      </w:pPr>
      <w:r>
        <w:rPr>
          <w:rFonts w:hint="eastAsia"/>
          <w:lang w:val="en-US" w:eastAsia="zh-CN"/>
        </w:rPr>
        <w:drawing>
          <wp:inline distT="0" distB="0" distL="114300" distR="114300">
            <wp:extent cx="6188710" cy="2969895"/>
            <wp:effectExtent l="0" t="0" r="8890" b="1905"/>
            <wp:docPr id="2" name="图片 2" descr="4a6772c1-a85c-4d98-84b2-469554edf3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a6772c1-a85c-4d98-84b2-469554edf3fd"/>
                    <pic:cNvPicPr>
                      <a:picLocks noChangeAspect="1"/>
                    </pic:cNvPicPr>
                  </pic:nvPicPr>
                  <pic:blipFill>
                    <a:blip r:embed="rId6"/>
                    <a:stretch>
                      <a:fillRect/>
                    </a:stretch>
                  </pic:blipFill>
                  <pic:spPr>
                    <a:xfrm>
                      <a:off x="0" y="0"/>
                      <a:ext cx="6188710" cy="2969895"/>
                    </a:xfrm>
                    <a:prstGeom prst="rect">
                      <a:avLst/>
                    </a:prstGeom>
                  </pic:spPr>
                </pic:pic>
              </a:graphicData>
            </a:graphic>
          </wp:inline>
        </w:drawing>
      </w:r>
    </w:p>
    <w:p w14:paraId="725BD75C">
      <w:pPr>
        <w:widowControl/>
        <w:overflowPunct w:val="0"/>
        <w:autoSpaceDE w:val="0"/>
        <w:autoSpaceDN w:val="0"/>
        <w:adjustRightInd w:val="0"/>
        <w:spacing w:after="180"/>
        <w:jc w:val="left"/>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From 38.391</w:t>
      </w:r>
      <w:r>
        <w:rPr>
          <w:rFonts w:hint="eastAsia" w:ascii="Times New Roman" w:hAnsi="Times New Roman" w:cs="Times New Roman"/>
          <w:b/>
          <w:bCs/>
          <w:kern w:val="0"/>
          <w:sz w:val="20"/>
          <w:szCs w:val="20"/>
          <w:lang w:val="en-US" w:eastAsia="zh-CN"/>
        </w:rPr>
        <w:t>:</w:t>
      </w:r>
    </w:p>
    <w:p w14:paraId="576C6C1F">
      <w:pPr>
        <w:widowControl/>
        <w:overflowPunct w:val="0"/>
        <w:autoSpaceDE w:val="0"/>
        <w:autoSpaceDN w:val="0"/>
        <w:adjustRightInd w:val="0"/>
        <w:spacing w:after="180"/>
        <w:jc w:val="left"/>
        <w:textAlignment w:val="baseline"/>
        <w:rPr>
          <w:rFonts w:hint="eastAsia" w:ascii="Times New Roman" w:hAnsi="Times New Roman" w:eastAsia="宋体" w:cs="Times New Roman"/>
          <w:kern w:val="0"/>
          <w:sz w:val="20"/>
          <w:szCs w:val="20"/>
          <w:lang w:val="en-US" w:eastAsia="ko-KR"/>
        </w:rPr>
      </w:pPr>
      <w:r>
        <w:rPr>
          <w:rFonts w:hint="eastAsia" w:ascii="Times New Roman" w:hAnsi="Times New Roman" w:eastAsia="宋体" w:cs="Times New Roman"/>
          <w:kern w:val="0"/>
          <w:sz w:val="20"/>
          <w:szCs w:val="20"/>
          <w:lang w:val="en-US" w:eastAsia="ko-KR"/>
        </w:rPr>
        <w:t>For CFA, the following fields are further included:</w:t>
      </w:r>
    </w:p>
    <w:p w14:paraId="757CD7DF">
      <w:pPr>
        <w:pStyle w:val="32"/>
        <w:rPr>
          <w:lang w:eastAsia="ko-KR"/>
        </w:rPr>
      </w:pPr>
      <w:r>
        <w:rPr>
          <w:lang w:eastAsia="ko-KR"/>
        </w:rPr>
        <w:t>-</w:t>
      </w:r>
      <w:r>
        <w:rPr>
          <w:lang w:eastAsia="ko-KR"/>
        </w:rPr>
        <w:tab/>
      </w:r>
      <w:r>
        <w:rPr>
          <w:i/>
          <w:iCs/>
          <w:lang w:eastAsia="ko-KR"/>
        </w:rPr>
        <w:t>Paging ID Length</w:t>
      </w:r>
      <w:r>
        <w:rPr>
          <w:lang w:eastAsia="ko-KR"/>
        </w:rPr>
        <w:t xml:space="preserve">: This field indicates the length of the </w:t>
      </w:r>
      <w:r>
        <w:rPr>
          <w:i/>
          <w:iCs/>
          <w:lang w:eastAsia="ko-KR"/>
        </w:rPr>
        <w:t>Pa</w:t>
      </w:r>
      <w:r>
        <w:rPr>
          <w:rFonts w:hint="eastAsia"/>
          <w:i/>
          <w:iCs/>
          <w:lang w:eastAsia="zh-CN"/>
        </w:rPr>
        <w:t>g</w:t>
      </w:r>
      <w:r>
        <w:rPr>
          <w:i/>
          <w:iCs/>
          <w:lang w:eastAsia="ko-KR"/>
        </w:rPr>
        <w:t>ing ID</w:t>
      </w:r>
      <w:r>
        <w:rPr>
          <w:lang w:eastAsia="ko-KR"/>
        </w:rPr>
        <w:t xml:space="preserve"> field in unit of bit. The length of the field is 8 bits. </w:t>
      </w:r>
    </w:p>
    <w:p w14:paraId="51727475">
      <w:pPr>
        <w:pStyle w:val="32"/>
        <w:rPr>
          <w:lang w:eastAsia="ko-KR"/>
        </w:rPr>
      </w:pPr>
      <w:r>
        <w:rPr>
          <w:lang w:eastAsia="ko-KR"/>
        </w:rPr>
        <w:t>-</w:t>
      </w:r>
      <w:r>
        <w:rPr>
          <w:lang w:eastAsia="ko-KR"/>
        </w:rPr>
        <w:tab/>
      </w:r>
      <w:r>
        <w:rPr>
          <w:i/>
          <w:iCs/>
          <w:lang w:eastAsia="ko-KR"/>
        </w:rPr>
        <w:t>Paging ID</w:t>
      </w:r>
      <w:r>
        <w:rPr>
          <w:lang w:eastAsia="ko-KR"/>
        </w:rPr>
        <w:t xml:space="preserve">: This field contains </w:t>
      </w:r>
      <w:r>
        <w:t xml:space="preserve">AIoT Identification Information </w:t>
      </w:r>
      <w:r>
        <w:rPr>
          <w:lang w:eastAsia="ko-KR"/>
        </w:rPr>
        <w:t>(as defined in TS 23.369 [4], clause 5 and TS 23.003 [5]). This field is of variable length.</w:t>
      </w:r>
    </w:p>
    <w:p w14:paraId="0EA1057A">
      <w:pPr>
        <w:pStyle w:val="32"/>
        <w:rPr>
          <w:lang w:eastAsia="ko-KR"/>
        </w:rPr>
      </w:pPr>
      <w:r>
        <w:rPr>
          <w:lang w:eastAsia="ko-KR"/>
        </w:rPr>
        <w:tab/>
      </w:r>
      <w:r>
        <w:rPr>
          <w:i/>
          <w:iCs/>
          <w:lang w:eastAsia="ko-KR"/>
        </w:rPr>
        <w:t>D2R Scheduling Info</w:t>
      </w:r>
      <w:r>
        <w:rPr>
          <w:lang w:eastAsia="ko-KR"/>
        </w:rPr>
        <w:t>: This field contains the physical layer parameters used for D2R transmission. The child fields are defined in clause 6.2.1.6. The length of the field is 24 bits.</w:t>
      </w:r>
    </w:p>
    <w:p w14:paraId="045EDA85">
      <w:pPr>
        <w:pStyle w:val="32"/>
        <w:rPr>
          <w:lang w:eastAsia="ko-KR"/>
        </w:rPr>
      </w:pPr>
      <w:r>
        <w:rPr>
          <w:lang w:eastAsia="ko-KR"/>
        </w:rPr>
        <w:t>-</w:t>
      </w:r>
      <w:r>
        <w:rPr>
          <w:lang w:eastAsia="ko-KR"/>
        </w:rPr>
        <w:tab/>
      </w:r>
      <w:r>
        <w:rPr>
          <w:i/>
          <w:iCs/>
          <w:lang w:eastAsia="ko-KR"/>
        </w:rPr>
        <w:t>Fill Bits</w:t>
      </w:r>
      <w:r>
        <w:rPr>
          <w:lang w:eastAsia="ko-KR"/>
        </w:rPr>
        <w:t>: This field is of variable size, and can be used to pad for byte alignment (1-7 bits) and/or contain future extensions. In this release, the MAC entity shall ignore the values of this field.</w:t>
      </w:r>
    </w:p>
    <w:p w14:paraId="2EEA7C74">
      <w:pPr>
        <w:pStyle w:val="32"/>
        <w:rPr>
          <w:lang w:eastAsia="ko-KR"/>
        </w:rPr>
      </w:pPr>
      <w:r>
        <w:rPr>
          <w:rFonts w:hint="eastAsia"/>
          <w:lang w:eastAsia="zh-CN"/>
        </w:rPr>
        <w:drawing>
          <wp:inline distT="0" distB="0" distL="114300" distR="114300">
            <wp:extent cx="6188075" cy="5179695"/>
            <wp:effectExtent l="0" t="0" r="9525" b="1905"/>
            <wp:docPr id="1" name="图片 1" descr="926d80eb-d33a-4139-bb61-0f3b3fd26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26d80eb-d33a-4139-bb61-0f3b3fd26de3"/>
                    <pic:cNvPicPr>
                      <a:picLocks noChangeAspect="1"/>
                    </pic:cNvPicPr>
                  </pic:nvPicPr>
                  <pic:blipFill>
                    <a:blip r:embed="rId7"/>
                    <a:stretch>
                      <a:fillRect/>
                    </a:stretch>
                  </pic:blipFill>
                  <pic:spPr>
                    <a:xfrm>
                      <a:off x="0" y="0"/>
                      <a:ext cx="6188075" cy="5179695"/>
                    </a:xfrm>
                    <a:prstGeom prst="rect">
                      <a:avLst/>
                    </a:prstGeom>
                  </pic:spPr>
                </pic:pic>
              </a:graphicData>
            </a:graphic>
          </wp:inline>
        </w:drawing>
      </w:r>
    </w:p>
    <w:p w14:paraId="77A43E5B">
      <w:pPr>
        <w:pStyle w:val="32"/>
        <w:rPr>
          <w:lang w:eastAsia="ko-KR"/>
        </w:rPr>
      </w:pPr>
    </w:p>
    <w:p w14:paraId="33FA5D0F">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From R2-2505006:</w:t>
      </w:r>
    </w:p>
    <w:p w14:paraId="33C93FF7">
      <w:pPr>
        <w:bidi w:val="0"/>
        <w:rPr>
          <w:rFonts w:hint="default"/>
          <w:lang w:val="en-US" w:eastAsia="zh-CN"/>
        </w:rPr>
      </w:pPr>
      <w:r>
        <w:rPr>
          <w:rFonts w:hint="default"/>
          <w:lang w:val="en-US" w:eastAsia="zh-CN"/>
        </w:rPr>
        <w:drawing>
          <wp:inline distT="0" distB="0" distL="114300" distR="114300">
            <wp:extent cx="6176010" cy="3668395"/>
            <wp:effectExtent l="0" t="0" r="8890" b="1905"/>
            <wp:docPr id="3" name="图片 3" descr="7218c314-be57-455f-8b84-21398ff79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218c314-be57-455f-8b84-21398ff79722"/>
                    <pic:cNvPicPr>
                      <a:picLocks noChangeAspect="1"/>
                    </pic:cNvPicPr>
                  </pic:nvPicPr>
                  <pic:blipFill>
                    <a:blip r:embed="rId8"/>
                    <a:stretch>
                      <a:fillRect/>
                    </a:stretch>
                  </pic:blipFill>
                  <pic:spPr>
                    <a:xfrm>
                      <a:off x="0" y="0"/>
                      <a:ext cx="6176010" cy="3668395"/>
                    </a:xfrm>
                    <a:prstGeom prst="rect">
                      <a:avLst/>
                    </a:prstGeom>
                  </pic:spPr>
                </pic:pic>
              </a:graphicData>
            </a:graphic>
          </wp:inline>
        </w:drawing>
      </w:r>
    </w:p>
    <w:p w14:paraId="46CDDB23">
      <w:pPr>
        <w:pStyle w:val="62"/>
        <w:numPr>
          <w:ilvl w:val="0"/>
          <w:numId w:val="0"/>
        </w:numPr>
        <w:ind w:leftChars="0"/>
        <w:rPr>
          <w:rFonts w:hint="eastAsia" w:eastAsiaTheme="minorEastAsia"/>
          <w:lang w:eastAsia="zh-CN"/>
        </w:rPr>
      </w:pPr>
    </w:p>
    <w:p w14:paraId="74258534">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From chairman notes:</w:t>
      </w:r>
    </w:p>
    <w:p w14:paraId="09FC8186">
      <w:pPr>
        <w:spacing w:after="180"/>
        <w:jc w:val="left"/>
        <w:rPr>
          <w:rFonts w:hint="eastAsia" w:ascii="Times New Roman" w:hAnsi="Times New Roman"/>
          <w:b/>
          <w:bCs/>
          <w:sz w:val="20"/>
          <w:szCs w:val="20"/>
          <w:lang w:val="en-US" w:eastAsia="zh-CN"/>
        </w:rPr>
      </w:pPr>
      <w:r>
        <w:rPr>
          <w:rFonts w:hint="default" w:eastAsiaTheme="minorEastAsia"/>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401320</wp:posOffset>
            </wp:positionV>
            <wp:extent cx="6182360" cy="2553335"/>
            <wp:effectExtent l="0" t="0" r="2540" b="12065"/>
            <wp:wrapSquare wrapText="bothSides"/>
            <wp:docPr id="5" name="图片 5" descr="f5e1b6a240791372146e076654fbf9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5e1b6a240791372146e076654fbf91f"/>
                    <pic:cNvPicPr>
                      <a:picLocks noChangeAspect="1"/>
                    </pic:cNvPicPr>
                  </pic:nvPicPr>
                  <pic:blipFill>
                    <a:blip r:embed="rId9"/>
                    <a:stretch>
                      <a:fillRect/>
                    </a:stretch>
                  </pic:blipFill>
                  <pic:spPr>
                    <a:xfrm>
                      <a:off x="0" y="0"/>
                      <a:ext cx="6182360" cy="2553335"/>
                    </a:xfrm>
                    <a:prstGeom prst="rect">
                      <a:avLst/>
                    </a:prstGeom>
                  </pic:spPr>
                </pic:pic>
              </a:graphicData>
            </a:graphic>
          </wp:anchor>
        </w:drawing>
      </w:r>
    </w:p>
    <w:p w14:paraId="24C8F865">
      <w:pPr>
        <w:pStyle w:val="62"/>
        <w:numPr>
          <w:ilvl w:val="0"/>
          <w:numId w:val="0"/>
        </w:numPr>
        <w:ind w:leftChars="0"/>
        <w:rPr>
          <w:rFonts w:hint="default" w:eastAsiaTheme="minorEastAsia"/>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DB39">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59B0E7"/>
    <w:multiLevelType w:val="multilevel"/>
    <w:tmpl w:val="A459B0E7"/>
    <w:lvl w:ilvl="0" w:tentative="0">
      <w:start w:val="1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EF36D87"/>
    <w:multiLevelType w:val="multilevel"/>
    <w:tmpl w:val="AEF36D87"/>
    <w:lvl w:ilvl="0" w:tentative="0">
      <w:start w:val="10"/>
      <w:numFmt w:val="bullet"/>
      <w:lvlText w:val="-"/>
      <w:lvlJc w:val="left"/>
      <w:pPr>
        <w:ind w:left="420" w:hanging="420"/>
      </w:pPr>
      <w:rPr>
        <w:rFonts w:hint="default" w:ascii="Times New Roman" w:hAnsi="Times New Roman" w:eastAsia="等线"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C7FD7AF"/>
    <w:multiLevelType w:val="singleLevel"/>
    <w:tmpl w:val="CC7FD7AF"/>
    <w:lvl w:ilvl="0" w:tentative="0">
      <w:start w:val="1"/>
      <w:numFmt w:val="bullet"/>
      <w:lvlText w:val=""/>
      <w:lvlJc w:val="left"/>
      <w:pPr>
        <w:ind w:left="420" w:hanging="420"/>
      </w:pPr>
      <w:rPr>
        <w:rFonts w:hint="default" w:ascii="Wingdings" w:hAnsi="Wingdings"/>
      </w:rPr>
    </w:lvl>
  </w:abstractNum>
  <w:abstractNum w:abstractNumId="3">
    <w:nsid w:val="CF5499CA"/>
    <w:multiLevelType w:val="singleLevel"/>
    <w:tmpl w:val="CF5499CA"/>
    <w:lvl w:ilvl="0" w:tentative="0">
      <w:start w:val="1"/>
      <w:numFmt w:val="bullet"/>
      <w:lvlText w:val=""/>
      <w:lvlJc w:val="left"/>
      <w:pPr>
        <w:ind w:left="420" w:hanging="420"/>
      </w:pPr>
      <w:rPr>
        <w:rFonts w:hint="default" w:ascii="Wingdings" w:hAnsi="Wingdings"/>
      </w:rPr>
    </w:lvl>
  </w:abstractNum>
  <w:abstractNum w:abstractNumId="4">
    <w:nsid w:val="D974D0E2"/>
    <w:multiLevelType w:val="singleLevel"/>
    <w:tmpl w:val="D974D0E2"/>
    <w:lvl w:ilvl="0" w:tentative="0">
      <w:start w:val="1"/>
      <w:numFmt w:val="bullet"/>
      <w:lvlText w:val=""/>
      <w:lvlJc w:val="left"/>
      <w:pPr>
        <w:ind w:left="420" w:hanging="420"/>
      </w:pPr>
      <w:rPr>
        <w:rFonts w:hint="default" w:ascii="Wingdings" w:hAnsi="Wingdings"/>
      </w:rPr>
    </w:lvl>
  </w:abstractNum>
  <w:abstractNum w:abstractNumId="5">
    <w:nsid w:val="DFAE1895"/>
    <w:multiLevelType w:val="singleLevel"/>
    <w:tmpl w:val="DFAE1895"/>
    <w:lvl w:ilvl="0" w:tentative="0">
      <w:start w:val="1"/>
      <w:numFmt w:val="decimal"/>
      <w:suff w:val="space"/>
      <w:lvlText w:val="[%1]"/>
      <w:lvlJc w:val="left"/>
    </w:lvl>
  </w:abstractNum>
  <w:abstractNum w:abstractNumId="6">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52CA544A"/>
    <w:multiLevelType w:val="singleLevel"/>
    <w:tmpl w:val="52CA544A"/>
    <w:lvl w:ilvl="0" w:tentative="0">
      <w:start w:val="1"/>
      <w:numFmt w:val="decimal"/>
      <w:pStyle w:val="6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95A1507"/>
    <w:multiLevelType w:val="multilevel"/>
    <w:tmpl w:val="695A1507"/>
    <w:lvl w:ilvl="0" w:tentative="0">
      <w:start w:val="1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7"/>
  </w:num>
  <w:num w:numId="2">
    <w:abstractNumId w:val="8"/>
  </w:num>
  <w:num w:numId="3">
    <w:abstractNumId w:val="6"/>
  </w:num>
  <w:num w:numId="4">
    <w:abstractNumId w:val="2"/>
  </w:num>
  <w:num w:numId="5">
    <w:abstractNumId w:val="4"/>
  </w:num>
  <w:num w:numId="6">
    <w:abstractNumId w:val="0"/>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1E5B"/>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D8B"/>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708"/>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87E75"/>
    <w:rsid w:val="012F3F7C"/>
    <w:rsid w:val="0140551C"/>
    <w:rsid w:val="017932F1"/>
    <w:rsid w:val="01891193"/>
    <w:rsid w:val="018A0E13"/>
    <w:rsid w:val="01BD0368"/>
    <w:rsid w:val="01BF166D"/>
    <w:rsid w:val="01DE089D"/>
    <w:rsid w:val="0203408A"/>
    <w:rsid w:val="020970CA"/>
    <w:rsid w:val="0226460D"/>
    <w:rsid w:val="023B43AB"/>
    <w:rsid w:val="027F49DB"/>
    <w:rsid w:val="028E1852"/>
    <w:rsid w:val="02A87979"/>
    <w:rsid w:val="02C81B1F"/>
    <w:rsid w:val="02D45932"/>
    <w:rsid w:val="03391357"/>
    <w:rsid w:val="035967B1"/>
    <w:rsid w:val="03597E40"/>
    <w:rsid w:val="035D4591"/>
    <w:rsid w:val="03631D1E"/>
    <w:rsid w:val="036C6DAA"/>
    <w:rsid w:val="036F7D2F"/>
    <w:rsid w:val="037E5DCB"/>
    <w:rsid w:val="03A67346"/>
    <w:rsid w:val="03B504A3"/>
    <w:rsid w:val="03C020B7"/>
    <w:rsid w:val="03E26584"/>
    <w:rsid w:val="03F4211B"/>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736C45"/>
    <w:rsid w:val="078E5270"/>
    <w:rsid w:val="07913C76"/>
    <w:rsid w:val="07B42F31"/>
    <w:rsid w:val="07CA6B66"/>
    <w:rsid w:val="07DB2DC2"/>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A83263"/>
    <w:rsid w:val="09B86E7F"/>
    <w:rsid w:val="09C147BD"/>
    <w:rsid w:val="09EA1A8C"/>
    <w:rsid w:val="09F66D51"/>
    <w:rsid w:val="09FD62EE"/>
    <w:rsid w:val="0A0219DF"/>
    <w:rsid w:val="0A1914A2"/>
    <w:rsid w:val="0A224330"/>
    <w:rsid w:val="0A316B49"/>
    <w:rsid w:val="0A337005"/>
    <w:rsid w:val="0A6367BB"/>
    <w:rsid w:val="0A894FD9"/>
    <w:rsid w:val="0A930A00"/>
    <w:rsid w:val="0A9458FA"/>
    <w:rsid w:val="0AA20101"/>
    <w:rsid w:val="0AAD2235"/>
    <w:rsid w:val="0ABA1F25"/>
    <w:rsid w:val="0ADD2F10"/>
    <w:rsid w:val="0AE113D2"/>
    <w:rsid w:val="0AE824B7"/>
    <w:rsid w:val="0AE866B7"/>
    <w:rsid w:val="0AF17E80"/>
    <w:rsid w:val="0AF67B8B"/>
    <w:rsid w:val="0B0758A7"/>
    <w:rsid w:val="0B1B0CC4"/>
    <w:rsid w:val="0B1B4548"/>
    <w:rsid w:val="0B3166EB"/>
    <w:rsid w:val="0B5F5F36"/>
    <w:rsid w:val="0B696845"/>
    <w:rsid w:val="0B6F55A6"/>
    <w:rsid w:val="0BBF5056"/>
    <w:rsid w:val="0BE65845"/>
    <w:rsid w:val="0BE92617"/>
    <w:rsid w:val="0BEA0098"/>
    <w:rsid w:val="0BF0521B"/>
    <w:rsid w:val="0BF21DA7"/>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293910"/>
    <w:rsid w:val="10337AA3"/>
    <w:rsid w:val="10406DB9"/>
    <w:rsid w:val="105534DB"/>
    <w:rsid w:val="105E6369"/>
    <w:rsid w:val="1072500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7F087D"/>
    <w:rsid w:val="11A61B83"/>
    <w:rsid w:val="11B4191A"/>
    <w:rsid w:val="11B5219D"/>
    <w:rsid w:val="11C646FD"/>
    <w:rsid w:val="11DF67EB"/>
    <w:rsid w:val="11EC5302"/>
    <w:rsid w:val="11EF79F9"/>
    <w:rsid w:val="12106FE1"/>
    <w:rsid w:val="12213A4B"/>
    <w:rsid w:val="122946DB"/>
    <w:rsid w:val="12466278"/>
    <w:rsid w:val="124C0DF9"/>
    <w:rsid w:val="12583BA5"/>
    <w:rsid w:val="12750F57"/>
    <w:rsid w:val="12897C74"/>
    <w:rsid w:val="128F5369"/>
    <w:rsid w:val="129C3395"/>
    <w:rsid w:val="12DD1499"/>
    <w:rsid w:val="12E83AF4"/>
    <w:rsid w:val="131A26ED"/>
    <w:rsid w:val="132B2D64"/>
    <w:rsid w:val="13771DFE"/>
    <w:rsid w:val="138F4439"/>
    <w:rsid w:val="13966E30"/>
    <w:rsid w:val="13EF4F40"/>
    <w:rsid w:val="13F25EC4"/>
    <w:rsid w:val="14245767"/>
    <w:rsid w:val="14454728"/>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17106"/>
    <w:rsid w:val="155F416A"/>
    <w:rsid w:val="156354FD"/>
    <w:rsid w:val="156C0FB4"/>
    <w:rsid w:val="157A51BC"/>
    <w:rsid w:val="157A5D4B"/>
    <w:rsid w:val="159557BE"/>
    <w:rsid w:val="15986308"/>
    <w:rsid w:val="15A67463"/>
    <w:rsid w:val="15A85596"/>
    <w:rsid w:val="15B87DAF"/>
    <w:rsid w:val="15CD7D54"/>
    <w:rsid w:val="15D00CD9"/>
    <w:rsid w:val="15E450B5"/>
    <w:rsid w:val="161A49C4"/>
    <w:rsid w:val="161C3356"/>
    <w:rsid w:val="16371982"/>
    <w:rsid w:val="163D388B"/>
    <w:rsid w:val="16456719"/>
    <w:rsid w:val="166603FD"/>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0228C"/>
    <w:rsid w:val="18642373"/>
    <w:rsid w:val="187831B6"/>
    <w:rsid w:val="18804D3F"/>
    <w:rsid w:val="18834ED9"/>
    <w:rsid w:val="18A656AF"/>
    <w:rsid w:val="18CE28C0"/>
    <w:rsid w:val="18E26C79"/>
    <w:rsid w:val="18E55D68"/>
    <w:rsid w:val="18FE0AB6"/>
    <w:rsid w:val="1911682C"/>
    <w:rsid w:val="192432CE"/>
    <w:rsid w:val="19314B62"/>
    <w:rsid w:val="19330066"/>
    <w:rsid w:val="19747A66"/>
    <w:rsid w:val="197907DA"/>
    <w:rsid w:val="19813C3F"/>
    <w:rsid w:val="19A17418"/>
    <w:rsid w:val="19A52923"/>
    <w:rsid w:val="19AE076F"/>
    <w:rsid w:val="19B263B5"/>
    <w:rsid w:val="19B93092"/>
    <w:rsid w:val="19DF2D99"/>
    <w:rsid w:val="19E32408"/>
    <w:rsid w:val="19EA686E"/>
    <w:rsid w:val="1A0A00C9"/>
    <w:rsid w:val="1A7309F2"/>
    <w:rsid w:val="1A7D000B"/>
    <w:rsid w:val="1A8670A6"/>
    <w:rsid w:val="1A97657B"/>
    <w:rsid w:val="1A9E2B3B"/>
    <w:rsid w:val="1AAE167A"/>
    <w:rsid w:val="1AB02A55"/>
    <w:rsid w:val="1AF91F50"/>
    <w:rsid w:val="1AFD11C6"/>
    <w:rsid w:val="1B00542F"/>
    <w:rsid w:val="1B070C02"/>
    <w:rsid w:val="1B2F42F1"/>
    <w:rsid w:val="1B301DA5"/>
    <w:rsid w:val="1B3F3E40"/>
    <w:rsid w:val="1B741899"/>
    <w:rsid w:val="1B7C00B3"/>
    <w:rsid w:val="1B7C0EA4"/>
    <w:rsid w:val="1BB42683"/>
    <w:rsid w:val="1BC416C3"/>
    <w:rsid w:val="1BC93522"/>
    <w:rsid w:val="1BF509C2"/>
    <w:rsid w:val="1BF95FEE"/>
    <w:rsid w:val="1C0D0793"/>
    <w:rsid w:val="1C1B332C"/>
    <w:rsid w:val="1C241E60"/>
    <w:rsid w:val="1C2A6C2E"/>
    <w:rsid w:val="1C363B56"/>
    <w:rsid w:val="1C4A27F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04DF1"/>
    <w:rsid w:val="1D867707"/>
    <w:rsid w:val="1DE75A9B"/>
    <w:rsid w:val="1DF276AF"/>
    <w:rsid w:val="1DF94ABB"/>
    <w:rsid w:val="1DFB50CA"/>
    <w:rsid w:val="1E295925"/>
    <w:rsid w:val="1E3D0B9B"/>
    <w:rsid w:val="1E4E6744"/>
    <w:rsid w:val="1E535731"/>
    <w:rsid w:val="1E590358"/>
    <w:rsid w:val="1E64416A"/>
    <w:rsid w:val="1E7F2796"/>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12F2C"/>
    <w:rsid w:val="20136430"/>
    <w:rsid w:val="201828B7"/>
    <w:rsid w:val="203D39F0"/>
    <w:rsid w:val="20471021"/>
    <w:rsid w:val="20672636"/>
    <w:rsid w:val="20731CCC"/>
    <w:rsid w:val="20795DD4"/>
    <w:rsid w:val="207C6D58"/>
    <w:rsid w:val="20817033"/>
    <w:rsid w:val="208F37FB"/>
    <w:rsid w:val="20990887"/>
    <w:rsid w:val="20B523B5"/>
    <w:rsid w:val="20C65ED3"/>
    <w:rsid w:val="20E25803"/>
    <w:rsid w:val="20E833A7"/>
    <w:rsid w:val="20EA2C10"/>
    <w:rsid w:val="210B5E71"/>
    <w:rsid w:val="21182A73"/>
    <w:rsid w:val="21346507"/>
    <w:rsid w:val="2139298F"/>
    <w:rsid w:val="216C01F4"/>
    <w:rsid w:val="219168A1"/>
    <w:rsid w:val="21B038D2"/>
    <w:rsid w:val="21D70408"/>
    <w:rsid w:val="21D96CE8"/>
    <w:rsid w:val="2216237D"/>
    <w:rsid w:val="221E7789"/>
    <w:rsid w:val="223076A3"/>
    <w:rsid w:val="228B3B2E"/>
    <w:rsid w:val="22A144DF"/>
    <w:rsid w:val="22C33D2E"/>
    <w:rsid w:val="22DE4344"/>
    <w:rsid w:val="22E329CA"/>
    <w:rsid w:val="22E55ECD"/>
    <w:rsid w:val="22E84C54"/>
    <w:rsid w:val="22ED23E8"/>
    <w:rsid w:val="22EE11B0"/>
    <w:rsid w:val="23077B9E"/>
    <w:rsid w:val="233D7BE1"/>
    <w:rsid w:val="235E2230"/>
    <w:rsid w:val="2370600B"/>
    <w:rsid w:val="23761F39"/>
    <w:rsid w:val="23792EBE"/>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B1198A"/>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14077"/>
    <w:rsid w:val="26644B8A"/>
    <w:rsid w:val="2683355D"/>
    <w:rsid w:val="268A1547"/>
    <w:rsid w:val="268B3CAF"/>
    <w:rsid w:val="269243D5"/>
    <w:rsid w:val="26A65805"/>
    <w:rsid w:val="26A73075"/>
    <w:rsid w:val="26B2270B"/>
    <w:rsid w:val="26C1560F"/>
    <w:rsid w:val="26E718E0"/>
    <w:rsid w:val="26F853FE"/>
    <w:rsid w:val="26FE1506"/>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3D3977"/>
    <w:rsid w:val="284A7944"/>
    <w:rsid w:val="286036CB"/>
    <w:rsid w:val="286C74DE"/>
    <w:rsid w:val="2896161D"/>
    <w:rsid w:val="28A2792A"/>
    <w:rsid w:val="28AA4C8A"/>
    <w:rsid w:val="28DF529E"/>
    <w:rsid w:val="28E30421"/>
    <w:rsid w:val="294471C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5F3191"/>
    <w:rsid w:val="2A704730"/>
    <w:rsid w:val="2A8A52DA"/>
    <w:rsid w:val="2AC70C94"/>
    <w:rsid w:val="2AD40BD1"/>
    <w:rsid w:val="2ADB055C"/>
    <w:rsid w:val="2AE354DA"/>
    <w:rsid w:val="2AE83C9F"/>
    <w:rsid w:val="2AED757D"/>
    <w:rsid w:val="2B0F4C30"/>
    <w:rsid w:val="2B1E47FB"/>
    <w:rsid w:val="2B2A3B5F"/>
    <w:rsid w:val="2B6A6B46"/>
    <w:rsid w:val="2B7042D3"/>
    <w:rsid w:val="2B7A5997"/>
    <w:rsid w:val="2B833767"/>
    <w:rsid w:val="2BA528E8"/>
    <w:rsid w:val="2BCE466D"/>
    <w:rsid w:val="2BDA267D"/>
    <w:rsid w:val="2BFC3EB7"/>
    <w:rsid w:val="2C0547C6"/>
    <w:rsid w:val="2C3548EE"/>
    <w:rsid w:val="2C380499"/>
    <w:rsid w:val="2C401128"/>
    <w:rsid w:val="2C542347"/>
    <w:rsid w:val="2C7374DF"/>
    <w:rsid w:val="2C8A2F49"/>
    <w:rsid w:val="2C9F3BCE"/>
    <w:rsid w:val="2CA12446"/>
    <w:rsid w:val="2CA220C6"/>
    <w:rsid w:val="2CA64350"/>
    <w:rsid w:val="2CC97D88"/>
    <w:rsid w:val="2CD33F1A"/>
    <w:rsid w:val="2CDB1327"/>
    <w:rsid w:val="2CF9108B"/>
    <w:rsid w:val="2CFB0BBA"/>
    <w:rsid w:val="2D0B6272"/>
    <w:rsid w:val="2D216218"/>
    <w:rsid w:val="2D226FD1"/>
    <w:rsid w:val="2D34475F"/>
    <w:rsid w:val="2D354EB8"/>
    <w:rsid w:val="2D4D51B1"/>
    <w:rsid w:val="2D4D79AC"/>
    <w:rsid w:val="2D541EEA"/>
    <w:rsid w:val="2D593F87"/>
    <w:rsid w:val="2D5F79DA"/>
    <w:rsid w:val="2D6E4774"/>
    <w:rsid w:val="2D7A01AD"/>
    <w:rsid w:val="2DA873F6"/>
    <w:rsid w:val="2DA97D7E"/>
    <w:rsid w:val="2DB7418D"/>
    <w:rsid w:val="2DD00879"/>
    <w:rsid w:val="2DD5373D"/>
    <w:rsid w:val="2DDE404C"/>
    <w:rsid w:val="2DF80479"/>
    <w:rsid w:val="2E0B52AE"/>
    <w:rsid w:val="2E0E041F"/>
    <w:rsid w:val="2E110A76"/>
    <w:rsid w:val="2E141396"/>
    <w:rsid w:val="2E2A44CC"/>
    <w:rsid w:val="2E3F0BEE"/>
    <w:rsid w:val="2E4162EF"/>
    <w:rsid w:val="2E4317F2"/>
    <w:rsid w:val="2E6F393B"/>
    <w:rsid w:val="2E747DC3"/>
    <w:rsid w:val="2E8F1C72"/>
    <w:rsid w:val="2E9C0F87"/>
    <w:rsid w:val="2EA61F97"/>
    <w:rsid w:val="2EB7077F"/>
    <w:rsid w:val="2EB8044F"/>
    <w:rsid w:val="2EB85034"/>
    <w:rsid w:val="2EC16B9C"/>
    <w:rsid w:val="2ED53072"/>
    <w:rsid w:val="2ED8336B"/>
    <w:rsid w:val="2EDF426C"/>
    <w:rsid w:val="2EEC200B"/>
    <w:rsid w:val="2EEC4E92"/>
    <w:rsid w:val="2F0F21C0"/>
    <w:rsid w:val="2F1A1856"/>
    <w:rsid w:val="2F1C0982"/>
    <w:rsid w:val="2F357E81"/>
    <w:rsid w:val="2F380E06"/>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273D62"/>
    <w:rsid w:val="313C4D53"/>
    <w:rsid w:val="31432160"/>
    <w:rsid w:val="31490DA5"/>
    <w:rsid w:val="31570E00"/>
    <w:rsid w:val="315F5D75"/>
    <w:rsid w:val="31A54783"/>
    <w:rsid w:val="31CA113F"/>
    <w:rsid w:val="31CB6BC1"/>
    <w:rsid w:val="31E91E87"/>
    <w:rsid w:val="320E10B5"/>
    <w:rsid w:val="3243059C"/>
    <w:rsid w:val="32697D44"/>
    <w:rsid w:val="326A79C4"/>
    <w:rsid w:val="326D0948"/>
    <w:rsid w:val="3279475B"/>
    <w:rsid w:val="328A5CFA"/>
    <w:rsid w:val="32A3559F"/>
    <w:rsid w:val="32C835E0"/>
    <w:rsid w:val="32D009ED"/>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7B64AA"/>
    <w:rsid w:val="348103B3"/>
    <w:rsid w:val="349C69DF"/>
    <w:rsid w:val="34A24169"/>
    <w:rsid w:val="34A76F6E"/>
    <w:rsid w:val="34B55DC5"/>
    <w:rsid w:val="34B67588"/>
    <w:rsid w:val="34E116D1"/>
    <w:rsid w:val="356A1636"/>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D57583"/>
    <w:rsid w:val="36D65004"/>
    <w:rsid w:val="36E16C19"/>
    <w:rsid w:val="37036DCD"/>
    <w:rsid w:val="372E6D18"/>
    <w:rsid w:val="372F46A7"/>
    <w:rsid w:val="373331A0"/>
    <w:rsid w:val="374134DA"/>
    <w:rsid w:val="37726C9D"/>
    <w:rsid w:val="378E0036"/>
    <w:rsid w:val="379A1E22"/>
    <w:rsid w:val="37BD6848"/>
    <w:rsid w:val="37BF7B5F"/>
    <w:rsid w:val="37CB79C4"/>
    <w:rsid w:val="37CC6816"/>
    <w:rsid w:val="37DE6907"/>
    <w:rsid w:val="37E31CBE"/>
    <w:rsid w:val="37E47740"/>
    <w:rsid w:val="37E810A7"/>
    <w:rsid w:val="380E1C87"/>
    <w:rsid w:val="38994363"/>
    <w:rsid w:val="38A9437C"/>
    <w:rsid w:val="38C2712E"/>
    <w:rsid w:val="38C500B3"/>
    <w:rsid w:val="38D00642"/>
    <w:rsid w:val="38D16127"/>
    <w:rsid w:val="39041D96"/>
    <w:rsid w:val="390B4FA4"/>
    <w:rsid w:val="391842BA"/>
    <w:rsid w:val="39390072"/>
    <w:rsid w:val="393C0FF6"/>
    <w:rsid w:val="39405DCD"/>
    <w:rsid w:val="39515718"/>
    <w:rsid w:val="39592B25"/>
    <w:rsid w:val="39685C3B"/>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DD3901"/>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506B9"/>
    <w:rsid w:val="3C277440"/>
    <w:rsid w:val="3C2D5AC6"/>
    <w:rsid w:val="3C317D4F"/>
    <w:rsid w:val="3C5C6615"/>
    <w:rsid w:val="3C7360F1"/>
    <w:rsid w:val="3C9A0678"/>
    <w:rsid w:val="3CAC51AF"/>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EE96C43"/>
    <w:rsid w:val="3EF25354"/>
    <w:rsid w:val="3F043070"/>
    <w:rsid w:val="3F1D2CEE"/>
    <w:rsid w:val="3F2E7738"/>
    <w:rsid w:val="3F4D6968"/>
    <w:rsid w:val="3F572AFA"/>
    <w:rsid w:val="3F6116ED"/>
    <w:rsid w:val="3F8B424E"/>
    <w:rsid w:val="3F934EDE"/>
    <w:rsid w:val="3FA97081"/>
    <w:rsid w:val="3FB14FDF"/>
    <w:rsid w:val="3FC0585C"/>
    <w:rsid w:val="3FC76631"/>
    <w:rsid w:val="3FCE6ABE"/>
    <w:rsid w:val="3FE96D84"/>
    <w:rsid w:val="40130CAF"/>
    <w:rsid w:val="40130E98"/>
    <w:rsid w:val="401776B5"/>
    <w:rsid w:val="403501D5"/>
    <w:rsid w:val="40516596"/>
    <w:rsid w:val="407E4ADB"/>
    <w:rsid w:val="40864A9D"/>
    <w:rsid w:val="408966EF"/>
    <w:rsid w:val="408D7F6C"/>
    <w:rsid w:val="40B04E56"/>
    <w:rsid w:val="40B14030"/>
    <w:rsid w:val="40C142CB"/>
    <w:rsid w:val="40C60753"/>
    <w:rsid w:val="40C66554"/>
    <w:rsid w:val="40C761D4"/>
    <w:rsid w:val="40D01062"/>
    <w:rsid w:val="40D15800"/>
    <w:rsid w:val="40D24565"/>
    <w:rsid w:val="40D41955"/>
    <w:rsid w:val="40D74270"/>
    <w:rsid w:val="40FA43C7"/>
    <w:rsid w:val="410113A2"/>
    <w:rsid w:val="41321107"/>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B84DDB"/>
    <w:rsid w:val="42CE0B28"/>
    <w:rsid w:val="42D37514"/>
    <w:rsid w:val="42E21D47"/>
    <w:rsid w:val="43046EDF"/>
    <w:rsid w:val="432106B2"/>
    <w:rsid w:val="43367252"/>
    <w:rsid w:val="435F0417"/>
    <w:rsid w:val="43603542"/>
    <w:rsid w:val="436807A8"/>
    <w:rsid w:val="43790FC1"/>
    <w:rsid w:val="43942E55"/>
    <w:rsid w:val="439901E8"/>
    <w:rsid w:val="43A14703"/>
    <w:rsid w:val="43BB74AB"/>
    <w:rsid w:val="43CD51C7"/>
    <w:rsid w:val="43EC12FF"/>
    <w:rsid w:val="43F11B33"/>
    <w:rsid w:val="43F17986"/>
    <w:rsid w:val="43FF4262"/>
    <w:rsid w:val="44060A50"/>
    <w:rsid w:val="44062B2A"/>
    <w:rsid w:val="440875AB"/>
    <w:rsid w:val="441F3681"/>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4F60451"/>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443CD"/>
    <w:rsid w:val="469842A4"/>
    <w:rsid w:val="46A71700"/>
    <w:rsid w:val="46B86E94"/>
    <w:rsid w:val="46C73C2B"/>
    <w:rsid w:val="46CB2631"/>
    <w:rsid w:val="46E67A01"/>
    <w:rsid w:val="46F87BA3"/>
    <w:rsid w:val="4702058D"/>
    <w:rsid w:val="470F78A3"/>
    <w:rsid w:val="47262D4B"/>
    <w:rsid w:val="47291754"/>
    <w:rsid w:val="472F2356"/>
    <w:rsid w:val="47315859"/>
    <w:rsid w:val="474A246F"/>
    <w:rsid w:val="474C70C4"/>
    <w:rsid w:val="47524F9F"/>
    <w:rsid w:val="47670737"/>
    <w:rsid w:val="476D0C02"/>
    <w:rsid w:val="477375C7"/>
    <w:rsid w:val="47BE6742"/>
    <w:rsid w:val="47D927EF"/>
    <w:rsid w:val="47DE6C76"/>
    <w:rsid w:val="47F00216"/>
    <w:rsid w:val="47F236FB"/>
    <w:rsid w:val="48035BB1"/>
    <w:rsid w:val="480F5247"/>
    <w:rsid w:val="4839608B"/>
    <w:rsid w:val="483A3F41"/>
    <w:rsid w:val="485965C0"/>
    <w:rsid w:val="485A1E43"/>
    <w:rsid w:val="485D1370"/>
    <w:rsid w:val="485E2A48"/>
    <w:rsid w:val="486139CD"/>
    <w:rsid w:val="48622CF7"/>
    <w:rsid w:val="4869465C"/>
    <w:rsid w:val="488678AB"/>
    <w:rsid w:val="48965ED0"/>
    <w:rsid w:val="48B06FCF"/>
    <w:rsid w:val="48C37CC6"/>
    <w:rsid w:val="48F94E45"/>
    <w:rsid w:val="48FF25D1"/>
    <w:rsid w:val="49046A59"/>
    <w:rsid w:val="49281A93"/>
    <w:rsid w:val="492D48EB"/>
    <w:rsid w:val="492F313E"/>
    <w:rsid w:val="495010D7"/>
    <w:rsid w:val="4955555E"/>
    <w:rsid w:val="49611371"/>
    <w:rsid w:val="49A21DDA"/>
    <w:rsid w:val="49E453DD"/>
    <w:rsid w:val="49EE4458"/>
    <w:rsid w:val="49F61864"/>
    <w:rsid w:val="4A2137F9"/>
    <w:rsid w:val="4A312A0E"/>
    <w:rsid w:val="4A3C1FD9"/>
    <w:rsid w:val="4A3C21D9"/>
    <w:rsid w:val="4A521971"/>
    <w:rsid w:val="4A6C0199"/>
    <w:rsid w:val="4A833A63"/>
    <w:rsid w:val="4A880DD3"/>
    <w:rsid w:val="4A9B7DF4"/>
    <w:rsid w:val="4A9C4E28"/>
    <w:rsid w:val="4AB11F98"/>
    <w:rsid w:val="4AE10568"/>
    <w:rsid w:val="4AEC68F9"/>
    <w:rsid w:val="4AFF7B18"/>
    <w:rsid w:val="4B254325"/>
    <w:rsid w:val="4B275459"/>
    <w:rsid w:val="4B2941E0"/>
    <w:rsid w:val="4B324135"/>
    <w:rsid w:val="4B4C7C18"/>
    <w:rsid w:val="4B675A4A"/>
    <w:rsid w:val="4B783F5F"/>
    <w:rsid w:val="4B7D2F03"/>
    <w:rsid w:val="4B8200F2"/>
    <w:rsid w:val="4B835B73"/>
    <w:rsid w:val="4BE90D9B"/>
    <w:rsid w:val="4BEA2F99"/>
    <w:rsid w:val="4BEF2CA4"/>
    <w:rsid w:val="4BFF2F3E"/>
    <w:rsid w:val="4C202355"/>
    <w:rsid w:val="4C261BDE"/>
    <w:rsid w:val="4C2D6F06"/>
    <w:rsid w:val="4C334692"/>
    <w:rsid w:val="4C660668"/>
    <w:rsid w:val="4C6F730B"/>
    <w:rsid w:val="4C816990"/>
    <w:rsid w:val="4CB613E8"/>
    <w:rsid w:val="4CCC6E0F"/>
    <w:rsid w:val="4CDE6D29"/>
    <w:rsid w:val="4CE51F37"/>
    <w:rsid w:val="4D1B40EF"/>
    <w:rsid w:val="4D2079EB"/>
    <w:rsid w:val="4D2B4C2A"/>
    <w:rsid w:val="4D2F6526"/>
    <w:rsid w:val="4D365861"/>
    <w:rsid w:val="4D3A7443"/>
    <w:rsid w:val="4D3D03C8"/>
    <w:rsid w:val="4D570F71"/>
    <w:rsid w:val="4D6F7F85"/>
    <w:rsid w:val="4D7A022C"/>
    <w:rsid w:val="4DB12905"/>
    <w:rsid w:val="4DE1452E"/>
    <w:rsid w:val="4DE6535D"/>
    <w:rsid w:val="4DEE01EB"/>
    <w:rsid w:val="4DF036EE"/>
    <w:rsid w:val="4DF30DF0"/>
    <w:rsid w:val="4DF6271E"/>
    <w:rsid w:val="4DF73079"/>
    <w:rsid w:val="4DFC16FF"/>
    <w:rsid w:val="4E03108A"/>
    <w:rsid w:val="4E042C86"/>
    <w:rsid w:val="4E2822B5"/>
    <w:rsid w:val="4E287FC5"/>
    <w:rsid w:val="4E53210E"/>
    <w:rsid w:val="4E5A1A99"/>
    <w:rsid w:val="4E640249"/>
    <w:rsid w:val="4E6D653B"/>
    <w:rsid w:val="4E723844"/>
    <w:rsid w:val="4E7D0D54"/>
    <w:rsid w:val="4E835C30"/>
    <w:rsid w:val="4E85035F"/>
    <w:rsid w:val="4E9E77F7"/>
    <w:rsid w:val="4EB95335"/>
    <w:rsid w:val="4ED33CE1"/>
    <w:rsid w:val="4EDA586A"/>
    <w:rsid w:val="4EF44099"/>
    <w:rsid w:val="4F01352B"/>
    <w:rsid w:val="4F13254C"/>
    <w:rsid w:val="4F1B7959"/>
    <w:rsid w:val="4F1F055D"/>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E066C6"/>
    <w:rsid w:val="52FC46EA"/>
    <w:rsid w:val="534D042C"/>
    <w:rsid w:val="5350703E"/>
    <w:rsid w:val="538B07B0"/>
    <w:rsid w:val="538C361F"/>
    <w:rsid w:val="538D10A1"/>
    <w:rsid w:val="53A46AC8"/>
    <w:rsid w:val="53A54549"/>
    <w:rsid w:val="53C25E9B"/>
    <w:rsid w:val="53D85C9D"/>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C93027"/>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501BA9"/>
    <w:rsid w:val="566C3171"/>
    <w:rsid w:val="56856B80"/>
    <w:rsid w:val="56941399"/>
    <w:rsid w:val="56962361"/>
    <w:rsid w:val="569F71AC"/>
    <w:rsid w:val="56BA15D9"/>
    <w:rsid w:val="56E65920"/>
    <w:rsid w:val="56EF3AF5"/>
    <w:rsid w:val="56F23931"/>
    <w:rsid w:val="56F83407"/>
    <w:rsid w:val="57010372"/>
    <w:rsid w:val="570D35E1"/>
    <w:rsid w:val="571A4227"/>
    <w:rsid w:val="571E54DC"/>
    <w:rsid w:val="571F34FB"/>
    <w:rsid w:val="57214480"/>
    <w:rsid w:val="572210F5"/>
    <w:rsid w:val="572A730E"/>
    <w:rsid w:val="57435A05"/>
    <w:rsid w:val="57487E46"/>
    <w:rsid w:val="574B7843"/>
    <w:rsid w:val="57555BD4"/>
    <w:rsid w:val="576146B9"/>
    <w:rsid w:val="57677173"/>
    <w:rsid w:val="577865C9"/>
    <w:rsid w:val="578F7CCE"/>
    <w:rsid w:val="579C1BCB"/>
    <w:rsid w:val="579D1528"/>
    <w:rsid w:val="57B74973"/>
    <w:rsid w:val="57C16588"/>
    <w:rsid w:val="57E1103B"/>
    <w:rsid w:val="57E23AB5"/>
    <w:rsid w:val="57EC73CC"/>
    <w:rsid w:val="57F020A7"/>
    <w:rsid w:val="57F02DB4"/>
    <w:rsid w:val="580637F9"/>
    <w:rsid w:val="58144D0D"/>
    <w:rsid w:val="58244FA7"/>
    <w:rsid w:val="58420BB7"/>
    <w:rsid w:val="58467715"/>
    <w:rsid w:val="5847696C"/>
    <w:rsid w:val="584D616C"/>
    <w:rsid w:val="587B1239"/>
    <w:rsid w:val="58886F75"/>
    <w:rsid w:val="58A147B1"/>
    <w:rsid w:val="58B331A5"/>
    <w:rsid w:val="58B65B9B"/>
    <w:rsid w:val="58F05975"/>
    <w:rsid w:val="58F913D0"/>
    <w:rsid w:val="593309E8"/>
    <w:rsid w:val="5948053B"/>
    <w:rsid w:val="598227C6"/>
    <w:rsid w:val="59832607"/>
    <w:rsid w:val="59907A7D"/>
    <w:rsid w:val="59927C36"/>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6A2D43"/>
    <w:rsid w:val="5B81246B"/>
    <w:rsid w:val="5B814DBA"/>
    <w:rsid w:val="5B8931D8"/>
    <w:rsid w:val="5BAE1FF5"/>
    <w:rsid w:val="5BBA168B"/>
    <w:rsid w:val="5BBD01B3"/>
    <w:rsid w:val="5BC217C7"/>
    <w:rsid w:val="5BEF2E0C"/>
    <w:rsid w:val="5C13779B"/>
    <w:rsid w:val="5C195960"/>
    <w:rsid w:val="5C297741"/>
    <w:rsid w:val="5C2A3405"/>
    <w:rsid w:val="5C443BB1"/>
    <w:rsid w:val="5C4D1EFF"/>
    <w:rsid w:val="5CB660AB"/>
    <w:rsid w:val="5CC611FF"/>
    <w:rsid w:val="5CCF11D3"/>
    <w:rsid w:val="5CD96D5E"/>
    <w:rsid w:val="5D007372"/>
    <w:rsid w:val="5D3778FE"/>
    <w:rsid w:val="5D4A309B"/>
    <w:rsid w:val="5D6A315C"/>
    <w:rsid w:val="5D7F7CF2"/>
    <w:rsid w:val="5D851C35"/>
    <w:rsid w:val="5DAA43BA"/>
    <w:rsid w:val="5DBB1104"/>
    <w:rsid w:val="5DBC7B57"/>
    <w:rsid w:val="5DDE7708"/>
    <w:rsid w:val="5DF04B2E"/>
    <w:rsid w:val="5E0C0BDB"/>
    <w:rsid w:val="5E203FF8"/>
    <w:rsid w:val="5E567A95"/>
    <w:rsid w:val="5E77028A"/>
    <w:rsid w:val="5E7F5996"/>
    <w:rsid w:val="5E83629B"/>
    <w:rsid w:val="5F0A307C"/>
    <w:rsid w:val="5F187E14"/>
    <w:rsid w:val="5F255EFF"/>
    <w:rsid w:val="5F344365"/>
    <w:rsid w:val="5F374C3D"/>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3E3969"/>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E24F34"/>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57B63"/>
    <w:rsid w:val="678966ED"/>
    <w:rsid w:val="678A1A6C"/>
    <w:rsid w:val="67926E78"/>
    <w:rsid w:val="679F070D"/>
    <w:rsid w:val="67A9335C"/>
    <w:rsid w:val="67BB003D"/>
    <w:rsid w:val="67D12BEE"/>
    <w:rsid w:val="67D44D17"/>
    <w:rsid w:val="68014F2E"/>
    <w:rsid w:val="6802310C"/>
    <w:rsid w:val="680B32BF"/>
    <w:rsid w:val="680C4CB4"/>
    <w:rsid w:val="680E2045"/>
    <w:rsid w:val="68123743"/>
    <w:rsid w:val="681306CB"/>
    <w:rsid w:val="68334803"/>
    <w:rsid w:val="68374408"/>
    <w:rsid w:val="68400296"/>
    <w:rsid w:val="687A1374"/>
    <w:rsid w:val="68976726"/>
    <w:rsid w:val="68A35DBC"/>
    <w:rsid w:val="68B44ECE"/>
    <w:rsid w:val="69156EBB"/>
    <w:rsid w:val="69760313"/>
    <w:rsid w:val="698A6FB3"/>
    <w:rsid w:val="69D53BAF"/>
    <w:rsid w:val="69DD483F"/>
    <w:rsid w:val="69F47683"/>
    <w:rsid w:val="69F942E4"/>
    <w:rsid w:val="6A010AFD"/>
    <w:rsid w:val="6A0568FD"/>
    <w:rsid w:val="6A2B6B3C"/>
    <w:rsid w:val="6A2F5543"/>
    <w:rsid w:val="6A333F49"/>
    <w:rsid w:val="6A385E52"/>
    <w:rsid w:val="6A5F0290"/>
    <w:rsid w:val="6A674B7F"/>
    <w:rsid w:val="6A6A1EA4"/>
    <w:rsid w:val="6A767EB5"/>
    <w:rsid w:val="6A7C1DBF"/>
    <w:rsid w:val="6A865F51"/>
    <w:rsid w:val="6A92342E"/>
    <w:rsid w:val="6AA40D85"/>
    <w:rsid w:val="6ABB09AA"/>
    <w:rsid w:val="6AD74A57"/>
    <w:rsid w:val="6B0A3FAC"/>
    <w:rsid w:val="6B266753"/>
    <w:rsid w:val="6B2A00D0"/>
    <w:rsid w:val="6B4F341C"/>
    <w:rsid w:val="6B7845E0"/>
    <w:rsid w:val="6B7A7AE3"/>
    <w:rsid w:val="6B9F60AC"/>
    <w:rsid w:val="6BA350A4"/>
    <w:rsid w:val="6BAE3435"/>
    <w:rsid w:val="6BC52A2B"/>
    <w:rsid w:val="6BE4390F"/>
    <w:rsid w:val="6BFA38B5"/>
    <w:rsid w:val="6C0A3B4F"/>
    <w:rsid w:val="6C254067"/>
    <w:rsid w:val="6C3426E1"/>
    <w:rsid w:val="6C5703CB"/>
    <w:rsid w:val="6C68196A"/>
    <w:rsid w:val="6C774F51"/>
    <w:rsid w:val="6C7A1884"/>
    <w:rsid w:val="6C9846B8"/>
    <w:rsid w:val="6CD62F24"/>
    <w:rsid w:val="6D044527"/>
    <w:rsid w:val="6D0A6F75"/>
    <w:rsid w:val="6D2E4BAB"/>
    <w:rsid w:val="6D4A44DB"/>
    <w:rsid w:val="6D63623C"/>
    <w:rsid w:val="6D68730F"/>
    <w:rsid w:val="6D7C272C"/>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6347F5"/>
    <w:rsid w:val="6F8D3411"/>
    <w:rsid w:val="6FA8783E"/>
    <w:rsid w:val="6FBC2EB1"/>
    <w:rsid w:val="6FD13B89"/>
    <w:rsid w:val="6FD23F05"/>
    <w:rsid w:val="6FDB6D93"/>
    <w:rsid w:val="700346D4"/>
    <w:rsid w:val="7046232B"/>
    <w:rsid w:val="70623166"/>
    <w:rsid w:val="70714D08"/>
    <w:rsid w:val="7073020B"/>
    <w:rsid w:val="709C35CE"/>
    <w:rsid w:val="70BB05FF"/>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804A68"/>
    <w:rsid w:val="729926C8"/>
    <w:rsid w:val="72A50E51"/>
    <w:rsid w:val="72B574C1"/>
    <w:rsid w:val="72DB607B"/>
    <w:rsid w:val="73054CC1"/>
    <w:rsid w:val="73096F4B"/>
    <w:rsid w:val="73131A58"/>
    <w:rsid w:val="73142D5D"/>
    <w:rsid w:val="7317045F"/>
    <w:rsid w:val="732D5E85"/>
    <w:rsid w:val="733D42E3"/>
    <w:rsid w:val="734E1AC2"/>
    <w:rsid w:val="737230F7"/>
    <w:rsid w:val="73854316"/>
    <w:rsid w:val="73950D2D"/>
    <w:rsid w:val="73A57DF9"/>
    <w:rsid w:val="73A744CA"/>
    <w:rsid w:val="73A84956"/>
    <w:rsid w:val="73AC4089"/>
    <w:rsid w:val="73AC617D"/>
    <w:rsid w:val="73CC19D5"/>
    <w:rsid w:val="73D20B92"/>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6C0933"/>
    <w:rsid w:val="756E3E36"/>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16BAC"/>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1F45C7"/>
    <w:rsid w:val="793F707A"/>
    <w:rsid w:val="794B56F7"/>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9750AD"/>
    <w:rsid w:val="7AC04CBB"/>
    <w:rsid w:val="7AD57A5A"/>
    <w:rsid w:val="7AD9139A"/>
    <w:rsid w:val="7AE67D87"/>
    <w:rsid w:val="7AF31F44"/>
    <w:rsid w:val="7AFF37D8"/>
    <w:rsid w:val="7B093BBB"/>
    <w:rsid w:val="7B484ED1"/>
    <w:rsid w:val="7B6E2211"/>
    <w:rsid w:val="7B8472B4"/>
    <w:rsid w:val="7BC80470"/>
    <w:rsid w:val="7BD060AF"/>
    <w:rsid w:val="7BE0484E"/>
    <w:rsid w:val="7BFF337A"/>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CFE329D"/>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0044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40"/>
    <w:semiHidden/>
    <w:unhideWhenUsed/>
    <w:qFormat/>
    <w:uiPriority w:val="99"/>
    <w:rPr>
      <w:rFonts w:ascii="宋体"/>
      <w:sz w:val="18"/>
      <w:szCs w:val="18"/>
    </w:rPr>
  </w:style>
  <w:style w:type="paragraph" w:styleId="8">
    <w:name w:val="annotation text"/>
    <w:basedOn w:val="1"/>
    <w:link w:val="38"/>
    <w:unhideWhenUsed/>
    <w:qFormat/>
    <w:uiPriority w:val="0"/>
    <w:pPr>
      <w:jc w:val="left"/>
    </w:pPr>
  </w:style>
  <w:style w:type="paragraph" w:styleId="9">
    <w:name w:val="Body Text Indent"/>
    <w:basedOn w:val="1"/>
    <w:qFormat/>
    <w:uiPriority w:val="0"/>
    <w:pPr>
      <w:widowControl w:val="0"/>
      <w:ind w:left="210"/>
      <w:jc w:val="both"/>
    </w:pPr>
    <w:rPr>
      <w:snapToGrid w:val="0"/>
      <w:kern w:val="2"/>
      <w:sz w:val="21"/>
    </w:r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8"/>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7"/>
    <w:semiHidden/>
    <w:qFormat/>
    <w:uiPriority w:val="99"/>
    <w:rPr>
      <w:rFonts w:ascii="宋体" w:hAnsi="CG Times (WN)" w:eastAsia="宋体" w:cs="Times New Roman"/>
      <w:sz w:val="18"/>
      <w:szCs w:val="18"/>
    </w:rPr>
  </w:style>
  <w:style w:type="character" w:customStyle="1" w:styleId="41">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5"/>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paragraph" w:customStyle="1" w:styleId="63">
    <w:name w:val="TableText"/>
    <w:basedOn w:val="9"/>
    <w:qFormat/>
    <w:uiPriority w:val="0"/>
    <w:pPr>
      <w:keepNext/>
      <w:keepLines/>
      <w:widowControl/>
      <w:ind w:left="0"/>
      <w:jc w:val="center"/>
    </w:pPr>
    <w:rPr>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8</Pages>
  <Words>677</Words>
  <Characters>3860</Characters>
  <Lines>32</Lines>
  <Paragraphs>9</Paragraphs>
  <TotalTime>1</TotalTime>
  <ScaleCrop>false</ScaleCrop>
  <LinksUpToDate>false</LinksUpToDate>
  <CharactersWithSpaces>4528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2025-09-30T02:11:46Z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FF1C3987FCA34DCAAD3F1D96609B66B0_13</vt:lpwstr>
  </property>
</Properties>
</file>