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0AF39" w14:textId="2E9AAB95" w:rsidR="00404245" w:rsidRPr="001C2D88" w:rsidRDefault="00404245" w:rsidP="0040424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115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92474A">
        <w:rPr>
          <w:rFonts w:ascii="Arial" w:eastAsiaTheme="minorEastAsia" w:hAnsi="Arial" w:cs="Arial"/>
          <w:b/>
        </w:rPr>
        <w:t>507788</w:t>
      </w:r>
    </w:p>
    <w:p w14:paraId="4CDF1598" w14:textId="77777777" w:rsidR="00404245" w:rsidRPr="001C2D88" w:rsidRDefault="00404245" w:rsidP="0040424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St Julian’s,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Malta, May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ECABF5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5211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163EA9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C7265E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1825DC2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AF6FCA" w:rsidRPr="00AF6FCA">
        <w:rPr>
          <w:rFonts w:ascii="Arial" w:eastAsia="MS Mincho" w:hAnsi="Arial" w:cs="Arial"/>
          <w:sz w:val="22"/>
        </w:rPr>
        <w:t>On less than 5 MHz CBW for NTN and HPUE for NTN UE capabilities for Rel-19</w:t>
      </w:r>
    </w:p>
    <w:p w14:paraId="1870DC1E" w14:textId="7E567FCF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425A60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3995E3CA" w14:textId="6696D2C5" w:rsidR="005027A6" w:rsidRPr="005027A6" w:rsidRDefault="00361006" w:rsidP="006F62A7">
      <w:pPr>
        <w:spacing w:after="120"/>
        <w:jc w:val="both"/>
        <w:rPr>
          <w:rFonts w:eastAsia="MS Mincho"/>
          <w:i/>
          <w:iCs/>
          <w:sz w:val="21"/>
          <w:szCs w:val="21"/>
        </w:rPr>
      </w:pPr>
      <w:r>
        <w:rPr>
          <w:sz w:val="21"/>
          <w:szCs w:val="21"/>
        </w:rPr>
        <w:t>In RAN#10</w:t>
      </w:r>
      <w:r w:rsidR="000F5597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="006F62A7">
        <w:rPr>
          <w:sz w:val="21"/>
          <w:szCs w:val="21"/>
        </w:rPr>
        <w:t>, where the two main topics are “Less than 5 MHz CBW for NTN” and “HPUE for NR-NTN and IoT-NTN”.</w:t>
      </w:r>
    </w:p>
    <w:p w14:paraId="2E5C1AAC" w14:textId="06A6A76B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D01B04">
        <w:rPr>
          <w:sz w:val="21"/>
          <w:szCs w:val="21"/>
        </w:rPr>
        <w:t>discuss</w:t>
      </w:r>
      <w:r w:rsidR="00425A60">
        <w:rPr>
          <w:sz w:val="21"/>
          <w:szCs w:val="21"/>
        </w:rPr>
        <w:t xml:space="preserve"> whether</w:t>
      </w:r>
      <w:r w:rsidR="00D01B04">
        <w:rPr>
          <w:sz w:val="21"/>
          <w:szCs w:val="21"/>
        </w:rPr>
        <w:t xml:space="preserve"> </w:t>
      </w:r>
      <w:r w:rsidR="00C7265E">
        <w:rPr>
          <w:sz w:val="21"/>
          <w:szCs w:val="21"/>
        </w:rPr>
        <w:t xml:space="preserve">UE capabilities need to be introduced to support </w:t>
      </w:r>
      <w:r w:rsidR="006F62A7">
        <w:rPr>
          <w:sz w:val="21"/>
          <w:szCs w:val="21"/>
        </w:rPr>
        <w:t>these</w:t>
      </w:r>
      <w:r w:rsidR="00C7265E">
        <w:rPr>
          <w:sz w:val="21"/>
          <w:szCs w:val="21"/>
        </w:rPr>
        <w:t xml:space="preserve"> features</w:t>
      </w:r>
      <w:r w:rsidR="00425A60">
        <w:rPr>
          <w:sz w:val="21"/>
          <w:szCs w:val="21"/>
        </w:rPr>
        <w:t xml:space="preserve">, </w:t>
      </w:r>
      <w:proofErr w:type="gramStart"/>
      <w:r w:rsidR="00425A60">
        <w:rPr>
          <w:sz w:val="21"/>
          <w:szCs w:val="21"/>
        </w:rPr>
        <w:t>in order to</w:t>
      </w:r>
      <w:proofErr w:type="gramEnd"/>
      <w:r w:rsidR="00425A60">
        <w:rPr>
          <w:sz w:val="21"/>
          <w:szCs w:val="21"/>
        </w:rPr>
        <w:t xml:space="preserve"> potentially add them to the </w:t>
      </w:r>
      <w:r w:rsidR="00C7265E">
        <w:rPr>
          <w:sz w:val="21"/>
          <w:szCs w:val="21"/>
        </w:rPr>
        <w:t>Rel-19 RAN4</w:t>
      </w:r>
      <w:r w:rsidR="00AF6FCA">
        <w:rPr>
          <w:sz w:val="21"/>
          <w:szCs w:val="21"/>
        </w:rPr>
        <w:t xml:space="preserve"> UE</w:t>
      </w:r>
      <w:r w:rsidR="00C7265E">
        <w:rPr>
          <w:sz w:val="21"/>
          <w:szCs w:val="21"/>
        </w:rPr>
        <w:t xml:space="preserve"> feature</w:t>
      </w:r>
      <w:r w:rsidR="00AF6FCA">
        <w:rPr>
          <w:sz w:val="21"/>
          <w:szCs w:val="21"/>
        </w:rPr>
        <w:t>s</w:t>
      </w:r>
      <w:r w:rsidR="00C7265E">
        <w:rPr>
          <w:sz w:val="21"/>
          <w:szCs w:val="21"/>
        </w:rPr>
        <w:t xml:space="preserve"> list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34E6B0DC" w14:textId="75E86A02" w:rsidR="00C7265E" w:rsidRPr="00D3671A" w:rsidRDefault="00C7265E" w:rsidP="00C7265E">
      <w:pPr>
        <w:pStyle w:val="Heading2"/>
      </w:pPr>
      <w:r>
        <w:rPr>
          <w:lang w:eastAsia="ko-KR"/>
        </w:rPr>
        <w:t>Less than 5 MHz CBW for NR-NTN</w:t>
      </w:r>
      <w:r w:rsidRPr="00D3671A">
        <w:rPr>
          <w:lang w:eastAsia="ko-KR"/>
        </w:rPr>
        <w:t xml:space="preserve"> </w:t>
      </w:r>
    </w:p>
    <w:p w14:paraId="50719691" w14:textId="44EF5A1F" w:rsidR="000F5597" w:rsidRDefault="00D358B0" w:rsidP="000F559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RAN4#114 meeting, there was a following agreement:</w:t>
      </w:r>
    </w:p>
    <w:p w14:paraId="050FDF56" w14:textId="77777777" w:rsidR="00D358B0" w:rsidRDefault="00D358B0" w:rsidP="000F5597">
      <w:pPr>
        <w:rPr>
          <w:sz w:val="21"/>
          <w:szCs w:val="21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58B0" w14:paraId="448E0657" w14:textId="2525DC01" w:rsidTr="00D358B0">
        <w:tc>
          <w:tcPr>
            <w:tcW w:w="9631" w:type="dxa"/>
          </w:tcPr>
          <w:p w14:paraId="3BE09C55" w14:textId="211AAA5A" w:rsidR="00D358B0" w:rsidRPr="00D358B0" w:rsidRDefault="00D358B0" w:rsidP="00D358B0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 w:rsidRPr="00D358B0">
              <w:rPr>
                <w:b/>
                <w:sz w:val="21"/>
                <w:szCs w:val="21"/>
                <w:u w:val="single"/>
                <w:lang w:eastAsia="ko-KR"/>
              </w:rPr>
              <w:t xml:space="preserve">Issue 1-1: Whether 3MHz channel bandwidth </w:t>
            </w:r>
            <w:r w:rsidRPr="00D358B0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for NR-NTN in FR1-NTN bands</w:t>
            </w:r>
            <w:r w:rsidRPr="00D358B0">
              <w:rPr>
                <w:b/>
                <w:sz w:val="21"/>
                <w:szCs w:val="21"/>
                <w:u w:val="single"/>
                <w:lang w:eastAsia="ko-KR"/>
              </w:rPr>
              <w:t xml:space="preserve"> is mandatory or optional?</w:t>
            </w:r>
          </w:p>
          <w:p w14:paraId="2856F0F5" w14:textId="5CB7B62B" w:rsidR="00D358B0" w:rsidRPr="00D358B0" w:rsidRDefault="00D358B0" w:rsidP="00D358B0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 w:val="21"/>
                <w:szCs w:val="21"/>
              </w:rPr>
            </w:pPr>
            <w:r w:rsidRPr="00D358B0">
              <w:rPr>
                <w:rFonts w:eastAsia="SimSun"/>
                <w:sz w:val="21"/>
                <w:szCs w:val="21"/>
              </w:rPr>
              <w:t>Agreement:</w:t>
            </w:r>
          </w:p>
          <w:p w14:paraId="2A66BD06" w14:textId="08B8C4B2" w:rsidR="00D358B0" w:rsidRPr="00D358B0" w:rsidRDefault="00D358B0" w:rsidP="00D358B0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sz w:val="21"/>
                <w:szCs w:val="21"/>
              </w:rPr>
            </w:pPr>
            <w:r w:rsidRPr="00D358B0">
              <w:rPr>
                <w:rFonts w:eastAsia="SimSun"/>
                <w:sz w:val="21"/>
                <w:szCs w:val="21"/>
              </w:rPr>
              <w:t>Introduce 3MHz Channel bandwidth for NR-NTN in FR1-NTN bands as optional feature in Rel-19.</w:t>
            </w:r>
          </w:p>
          <w:p w14:paraId="3292CB4D" w14:textId="0F1EA17C" w:rsidR="00D358B0" w:rsidRPr="00D358B0" w:rsidRDefault="00D358B0" w:rsidP="00D358B0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D358B0">
              <w:rPr>
                <w:rFonts w:eastAsia="SimSun"/>
                <w:sz w:val="21"/>
                <w:szCs w:val="21"/>
              </w:rPr>
              <w:t xml:space="preserve">Further discuss whether 3MHz channel bandwidth is mandatory on certain bands in Rel-20 if </w:t>
            </w:r>
            <w:r w:rsidRPr="00D358B0">
              <w:rPr>
                <w:rFonts w:eastAsia="Calibri"/>
                <w:sz w:val="21"/>
                <w:szCs w:val="21"/>
              </w:rPr>
              <w:t>there is a specific request from operators</w:t>
            </w:r>
            <w:r w:rsidRPr="00D358B0">
              <w:rPr>
                <w:rFonts w:eastAsia="SimSun"/>
                <w:sz w:val="21"/>
                <w:szCs w:val="21"/>
              </w:rPr>
              <w:t>.</w:t>
            </w:r>
          </w:p>
        </w:tc>
      </w:tr>
    </w:tbl>
    <w:p w14:paraId="51E5189C" w14:textId="3875D08E" w:rsidR="00D358B0" w:rsidRDefault="00D358B0" w:rsidP="000F5597">
      <w:pPr>
        <w:rPr>
          <w:sz w:val="21"/>
          <w:szCs w:val="21"/>
          <w:lang w:eastAsia="ja-JP"/>
        </w:rPr>
      </w:pPr>
    </w:p>
    <w:p w14:paraId="69A7573A" w14:textId="7EA87F77" w:rsidR="00D358B0" w:rsidRDefault="00C0344A" w:rsidP="00C0344A">
      <w:pPr>
        <w:rPr>
          <w:sz w:val="21"/>
          <w:szCs w:val="21"/>
          <w:lang w:val="en-GB" w:eastAsia="en-GB"/>
        </w:rPr>
      </w:pPr>
      <w:r>
        <w:rPr>
          <w:sz w:val="21"/>
          <w:szCs w:val="21"/>
          <w:lang w:eastAsia="ja-JP"/>
        </w:rPr>
        <w:t xml:space="preserve">Hence, </w:t>
      </w:r>
      <w:r w:rsidR="00D358B0">
        <w:rPr>
          <w:sz w:val="21"/>
          <w:szCs w:val="21"/>
          <w:lang w:eastAsia="ja-JP"/>
        </w:rPr>
        <w:t xml:space="preserve">3 MHz CBW </w:t>
      </w:r>
      <w:r>
        <w:rPr>
          <w:sz w:val="21"/>
          <w:szCs w:val="21"/>
          <w:lang w:eastAsia="ja-JP"/>
        </w:rPr>
        <w:t>for NR-NTN has been agreed as</w:t>
      </w:r>
      <w:r w:rsidR="00D358B0">
        <w:rPr>
          <w:sz w:val="21"/>
          <w:szCs w:val="21"/>
          <w:lang w:eastAsia="ja-JP"/>
        </w:rPr>
        <w:t xml:space="preserve"> an optional feature in Rel-19, </w:t>
      </w:r>
      <w:r>
        <w:rPr>
          <w:sz w:val="21"/>
          <w:szCs w:val="21"/>
          <w:lang w:eastAsia="ja-JP"/>
        </w:rPr>
        <w:t xml:space="preserve">where </w:t>
      </w:r>
      <w:r w:rsidR="00D358B0">
        <w:rPr>
          <w:sz w:val="21"/>
          <w:szCs w:val="21"/>
          <w:lang w:eastAsia="ja-JP"/>
        </w:rPr>
        <w:t>the UE indicate</w:t>
      </w:r>
      <w:r>
        <w:rPr>
          <w:sz w:val="21"/>
          <w:szCs w:val="21"/>
          <w:lang w:eastAsia="ja-JP"/>
        </w:rPr>
        <w:t>s</w:t>
      </w:r>
      <w:r w:rsidR="00D358B0">
        <w:rPr>
          <w:sz w:val="21"/>
          <w:szCs w:val="21"/>
          <w:lang w:eastAsia="ja-JP"/>
        </w:rPr>
        <w:t xml:space="preserve"> its support</w:t>
      </w:r>
      <w:r>
        <w:rPr>
          <w:sz w:val="21"/>
          <w:szCs w:val="21"/>
          <w:lang w:eastAsia="ja-JP"/>
        </w:rPr>
        <w:t xml:space="preserve"> through the UE capabilities for </w:t>
      </w:r>
      <w:r w:rsidR="00D358B0">
        <w:rPr>
          <w:sz w:val="21"/>
          <w:szCs w:val="21"/>
          <w:lang w:val="en-GB" w:eastAsia="en-GB"/>
        </w:rPr>
        <w:t>the support for the symmetric and asymmetric channel bandwidths for 3 MHz CBW for NR-NTN,</w:t>
      </w:r>
      <w:r>
        <w:rPr>
          <w:sz w:val="21"/>
          <w:szCs w:val="21"/>
          <w:lang w:val="en-GB" w:eastAsia="en-GB"/>
        </w:rPr>
        <w:t xml:space="preserve"> where</w:t>
      </w:r>
      <w:r w:rsidR="00D358B0">
        <w:rPr>
          <w:sz w:val="21"/>
          <w:szCs w:val="21"/>
          <w:lang w:val="en-GB" w:eastAsia="en-GB"/>
        </w:rPr>
        <w:t xml:space="preserve"> the following was agreed in RAN4#114:</w:t>
      </w:r>
    </w:p>
    <w:p w14:paraId="1FFB0326" w14:textId="77777777" w:rsidR="00C0344A" w:rsidRPr="00C0344A" w:rsidRDefault="00C0344A" w:rsidP="00C0344A">
      <w:pPr>
        <w:rPr>
          <w:sz w:val="21"/>
          <w:szCs w:val="21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58B0" w14:paraId="37D9E457" w14:textId="77777777" w:rsidTr="00D358B0">
        <w:tc>
          <w:tcPr>
            <w:tcW w:w="9631" w:type="dxa"/>
          </w:tcPr>
          <w:p w14:paraId="7DCDF821" w14:textId="77777777" w:rsidR="00D358B0" w:rsidRPr="00D358B0" w:rsidRDefault="00D358B0" w:rsidP="00D358B0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 w:rsidRPr="00D358B0">
              <w:rPr>
                <w:b/>
                <w:sz w:val="21"/>
                <w:szCs w:val="21"/>
                <w:u w:val="single"/>
                <w:lang w:eastAsia="ko-KR"/>
              </w:rPr>
              <w:t>Issue 1-2: UE capability Signalling</w:t>
            </w:r>
          </w:p>
          <w:p w14:paraId="61B5053E" w14:textId="77777777" w:rsidR="00D358B0" w:rsidRPr="00D358B0" w:rsidRDefault="00D358B0" w:rsidP="00D358B0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 w:val="21"/>
                <w:szCs w:val="21"/>
              </w:rPr>
            </w:pPr>
            <w:r w:rsidRPr="00D358B0">
              <w:rPr>
                <w:rFonts w:eastAsia="SimSun"/>
                <w:sz w:val="21"/>
                <w:szCs w:val="21"/>
              </w:rPr>
              <w:t>Agreement:</w:t>
            </w:r>
          </w:p>
          <w:p w14:paraId="78971414" w14:textId="77777777" w:rsidR="00D358B0" w:rsidRPr="00D358B0" w:rsidRDefault="00D358B0" w:rsidP="00D358B0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sz w:val="21"/>
                <w:szCs w:val="21"/>
              </w:rPr>
            </w:pPr>
            <w:r w:rsidRPr="00D358B0">
              <w:rPr>
                <w:rFonts w:eastAsia="SimSun"/>
                <w:sz w:val="21"/>
                <w:szCs w:val="21"/>
              </w:rPr>
              <w:t>The exiting UE capabilities signalling of support3MHz-ChannelBW-Symmetric-r18 and support3MHz-ChannelBW-Asymmetric-r18 is reused for FR1 NTN bands.</w:t>
            </w:r>
          </w:p>
          <w:p w14:paraId="361AA933" w14:textId="78585460" w:rsidR="00D358B0" w:rsidRPr="00D358B0" w:rsidRDefault="00D358B0" w:rsidP="00D358B0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</w:rPr>
            </w:pPr>
            <w:r w:rsidRPr="00D358B0">
              <w:rPr>
                <w:sz w:val="21"/>
                <w:szCs w:val="21"/>
              </w:rPr>
              <w:t>The description of exiting UE capabilities signalling should be updated to support FR1 NTN bands.</w:t>
            </w:r>
          </w:p>
        </w:tc>
      </w:tr>
    </w:tbl>
    <w:p w14:paraId="7B9A978D" w14:textId="77777777" w:rsidR="00D358B0" w:rsidRDefault="00D358B0" w:rsidP="00567722">
      <w:pPr>
        <w:overflowPunct w:val="0"/>
        <w:autoSpaceDE w:val="0"/>
        <w:autoSpaceDN w:val="0"/>
        <w:spacing w:after="180"/>
        <w:textAlignment w:val="baseline"/>
        <w:rPr>
          <w:sz w:val="21"/>
          <w:szCs w:val="21"/>
          <w:lang w:val="en-GB" w:eastAsia="en-GB"/>
        </w:rPr>
      </w:pPr>
    </w:p>
    <w:p w14:paraId="5A80C02A" w14:textId="2BBE96A5" w:rsidR="00D358B0" w:rsidRPr="00D358B0" w:rsidRDefault="00D358B0" w:rsidP="00567722">
      <w:pPr>
        <w:overflowPunct w:val="0"/>
        <w:autoSpaceDE w:val="0"/>
        <w:autoSpaceDN w:val="0"/>
        <w:spacing w:after="180"/>
        <w:textAlignment w:val="baseline"/>
        <w:rPr>
          <w:sz w:val="21"/>
          <w:szCs w:val="21"/>
          <w:lang w:val="en-GB" w:eastAsia="en-GB"/>
        </w:rPr>
      </w:pPr>
      <w:r>
        <w:rPr>
          <w:sz w:val="21"/>
          <w:szCs w:val="21"/>
          <w:lang w:val="en-GB" w:eastAsia="en-GB"/>
        </w:rPr>
        <w:t xml:space="preserve">Since it was concluded that the existing Rel-18 UE capabilities </w:t>
      </w:r>
      <w:r w:rsidRPr="00D358B0">
        <w:rPr>
          <w:rFonts w:eastAsia="SimSun"/>
          <w:i/>
          <w:iCs/>
          <w:sz w:val="21"/>
          <w:szCs w:val="21"/>
        </w:rPr>
        <w:t>support3MHz-ChannelBW-Symmetric-r18</w:t>
      </w:r>
      <w:r>
        <w:rPr>
          <w:rFonts w:eastAsia="SimSun"/>
          <w:sz w:val="21"/>
          <w:szCs w:val="21"/>
        </w:rPr>
        <w:t xml:space="preserve"> and </w:t>
      </w:r>
      <w:r w:rsidRPr="00D358B0">
        <w:rPr>
          <w:rFonts w:eastAsia="SimSun"/>
          <w:i/>
          <w:iCs/>
          <w:sz w:val="21"/>
          <w:szCs w:val="21"/>
        </w:rPr>
        <w:t>support3MHz-ChannelBW-Asymmetric-r18</w:t>
      </w:r>
      <w:r>
        <w:rPr>
          <w:rFonts w:eastAsia="SimSun"/>
          <w:sz w:val="21"/>
          <w:szCs w:val="21"/>
        </w:rPr>
        <w:t xml:space="preserve"> will be reused for FR1 NTN bands, there is no need to introduce new UE capabilities with the same purpose in Rel-19. </w:t>
      </w:r>
    </w:p>
    <w:p w14:paraId="0F47F45C" w14:textId="288B3358" w:rsidR="00D358B0" w:rsidRDefault="00D358B0" w:rsidP="00567722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lastRenderedPageBreak/>
        <w:t xml:space="preserve">Observation 1: </w:t>
      </w:r>
      <w:r w:rsidRPr="00D358B0">
        <w:rPr>
          <w:b/>
          <w:bCs/>
          <w:sz w:val="21"/>
          <w:szCs w:val="21"/>
          <w:lang w:val="en-GB" w:eastAsia="en-GB"/>
        </w:rPr>
        <w:t xml:space="preserve">Since it was concluded that the existing Rel-18 UE capabilities support3MHz-ChannelBW-Symmetric-r18 and support3MHz-ChannelBW-Asymmetric-r18 will be reused for FR1 </w:t>
      </w:r>
      <w:r w:rsidR="00C0344A">
        <w:rPr>
          <w:b/>
          <w:bCs/>
          <w:sz w:val="21"/>
          <w:szCs w:val="21"/>
          <w:lang w:val="en-GB" w:eastAsia="en-GB"/>
        </w:rPr>
        <w:t>NR-</w:t>
      </w:r>
      <w:r w:rsidRPr="00D358B0">
        <w:rPr>
          <w:b/>
          <w:bCs/>
          <w:sz w:val="21"/>
          <w:szCs w:val="21"/>
          <w:lang w:val="en-GB" w:eastAsia="en-GB"/>
        </w:rPr>
        <w:t>NTN bands, there is no need to introduce new UE capabilities with the same purpose in Rel-19.</w:t>
      </w:r>
    </w:p>
    <w:p w14:paraId="38C35ED4" w14:textId="3239B1F1" w:rsidR="00C7265E" w:rsidRPr="00D3671A" w:rsidRDefault="00C7265E" w:rsidP="00C7265E">
      <w:pPr>
        <w:pStyle w:val="Heading2"/>
      </w:pPr>
      <w:r>
        <w:rPr>
          <w:lang w:eastAsia="ko-KR"/>
        </w:rPr>
        <w:t>HPUE for NR-NTN</w:t>
      </w:r>
      <w:r w:rsidRPr="00D3671A">
        <w:rPr>
          <w:lang w:eastAsia="ko-KR"/>
        </w:rPr>
        <w:t xml:space="preserve"> </w:t>
      </w:r>
      <w:r>
        <w:rPr>
          <w:lang w:eastAsia="ko-KR"/>
        </w:rPr>
        <w:t>and IoT-NTN</w:t>
      </w:r>
    </w:p>
    <w:p w14:paraId="2E3333F9" w14:textId="668F9092" w:rsidR="004D416E" w:rsidRDefault="00722422" w:rsidP="009C4B95">
      <w:pPr>
        <w:spacing w:after="120"/>
        <w:rPr>
          <w:sz w:val="21"/>
          <w:szCs w:val="21"/>
          <w:lang w:val="sv-SE" w:eastAsia="en-GB"/>
        </w:rPr>
      </w:pPr>
      <w:r w:rsidRPr="00722422">
        <w:rPr>
          <w:sz w:val="21"/>
          <w:szCs w:val="21"/>
          <w:lang w:val="sv-SE" w:eastAsia="en-GB"/>
        </w:rPr>
        <w:t>The</w:t>
      </w:r>
      <w:r>
        <w:rPr>
          <w:sz w:val="21"/>
          <w:szCs w:val="21"/>
          <w:lang w:val="sv-SE" w:eastAsia="en-GB"/>
        </w:rPr>
        <w:t xml:space="preserve"> support for high power classes is going to be optional</w:t>
      </w:r>
      <w:r w:rsidR="00AF6FCA">
        <w:rPr>
          <w:sz w:val="21"/>
          <w:szCs w:val="21"/>
          <w:lang w:val="sv-SE" w:eastAsia="en-GB"/>
        </w:rPr>
        <w:t xml:space="preserve"> as well</w:t>
      </w:r>
      <w:r>
        <w:rPr>
          <w:sz w:val="21"/>
          <w:szCs w:val="21"/>
          <w:lang w:val="sv-SE" w:eastAsia="en-GB"/>
        </w:rPr>
        <w:t>, just as for TN. In TS 38.306, the following ”per band” capabilities are defined for the UE support of power classes</w:t>
      </w:r>
      <w:r w:rsidR="00C0344A">
        <w:rPr>
          <w:sz w:val="21"/>
          <w:szCs w:val="21"/>
          <w:lang w:val="sv-SE" w:eastAsia="en-GB"/>
        </w:rPr>
        <w:t xml:space="preserve"> different than the default one</w:t>
      </w:r>
      <w:r>
        <w:rPr>
          <w:sz w:val="21"/>
          <w:szCs w:val="21"/>
          <w:lang w:val="sv-SE" w:eastAsia="en-GB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22422" w:rsidRPr="00414DF9" w14:paraId="0E1DE655" w14:textId="77777777" w:rsidTr="006E1D1B">
        <w:trPr>
          <w:cantSplit/>
          <w:tblHeader/>
        </w:trPr>
        <w:tc>
          <w:tcPr>
            <w:tcW w:w="6917" w:type="dxa"/>
          </w:tcPr>
          <w:p w14:paraId="215F4FD2" w14:textId="77777777" w:rsidR="00722422" w:rsidRPr="00414DF9" w:rsidRDefault="00722422" w:rsidP="006E1D1B">
            <w:pPr>
              <w:pStyle w:val="TAL"/>
              <w:rPr>
                <w:b/>
                <w:i/>
              </w:rPr>
            </w:pPr>
            <w:bookmarkStart w:id="0" w:name="_Hlk197680595"/>
            <w:r w:rsidRPr="00414DF9">
              <w:rPr>
                <w:b/>
                <w:i/>
              </w:rPr>
              <w:t>ue-PowerClass, ue-PowerClass-v1610, ue-PowerClass-v1700</w:t>
            </w:r>
          </w:p>
          <w:bookmarkEnd w:id="0"/>
          <w:p w14:paraId="6085DD44" w14:textId="77777777" w:rsidR="00722422" w:rsidRPr="00414DF9" w:rsidRDefault="00722422" w:rsidP="006E1D1B">
            <w:pPr>
              <w:pStyle w:val="TAL"/>
            </w:pPr>
            <w:r w:rsidRPr="00414DF9">
              <w:rPr>
                <w:rFonts w:cs="Arial"/>
                <w:szCs w:val="18"/>
              </w:rPr>
              <w:t>For FR1, if the UE supports the different UE power class than the default UE power class as defined in clause 6.2 of TS 38.101-1 [2]</w:t>
            </w:r>
            <w:r w:rsidRPr="00414DF9">
              <w:t xml:space="preserve">, or </w:t>
            </w:r>
            <w:r w:rsidRPr="00414DF9">
              <w:rPr>
                <w:rFonts w:cs="Arial"/>
                <w:szCs w:val="18"/>
              </w:rPr>
              <w:t>in clause 6.2 of</w:t>
            </w:r>
            <w:r w:rsidRPr="00414DF9">
              <w:t xml:space="preserve"> TS 38.101-5 [34]</w:t>
            </w:r>
            <w:r w:rsidRPr="00414DF9">
              <w:rPr>
                <w:rFonts w:cs="Arial"/>
                <w:szCs w:val="18"/>
              </w:rPr>
              <w:t>, the UE shall report the supported UE power class in this field. For FR2, UE shall report the supported UE power class as defined in clause 6 and 7 of TS 38.101-2 [3] in this field.</w:t>
            </w:r>
            <w:r w:rsidRPr="00414DF9">
              <w:rPr>
                <w:rFonts w:cs="Arial"/>
                <w:bCs/>
                <w:iCs/>
                <w:lang w:eastAsia="fr-FR"/>
              </w:rPr>
              <w:t xml:space="preserve"> UE indicating support for </w:t>
            </w:r>
            <w:r w:rsidRPr="00414DF9">
              <w:rPr>
                <w:rFonts w:cs="Arial"/>
                <w:bCs/>
                <w:i/>
                <w:lang w:eastAsia="fr-FR"/>
              </w:rPr>
              <w:t>pc6</w:t>
            </w:r>
            <w:r w:rsidRPr="00414DF9">
              <w:rPr>
                <w:rFonts w:cs="Arial"/>
                <w:bCs/>
                <w:iCs/>
                <w:lang w:eastAsia="fr-FR"/>
              </w:rPr>
              <w:t xml:space="preserve"> supports the enhanced intra-NR RRM and demodulation processing requirements for FR2 to support high speed up to 350 km/h as specified in TS 38.133 [5]. This capability is not applicable to IAB-MT or NCR-MT. The power class pc7 is only applicable for RedCap UEs operation in FR2. This capability is not applicable for UEs indicating support of </w:t>
            </w:r>
            <w:r w:rsidRPr="00414DF9">
              <w:rPr>
                <w:rFonts w:cs="Arial"/>
                <w:bCs/>
                <w:i/>
                <w:lang w:eastAsia="fr-FR"/>
              </w:rPr>
              <w:t>maxOutputPowerATG-r18</w:t>
            </w:r>
            <w:r w:rsidRPr="00414DF9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0A865977" w14:textId="77777777" w:rsidR="00722422" w:rsidRPr="00414DF9" w:rsidRDefault="00722422" w:rsidP="006E1D1B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F22E2F3" w14:textId="77777777" w:rsidR="00722422" w:rsidRPr="00414DF9" w:rsidRDefault="00722422" w:rsidP="006E1D1B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5869715F" w14:textId="77777777" w:rsidR="00722422" w:rsidRPr="00414DF9" w:rsidRDefault="00722422" w:rsidP="006E1D1B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2F3555" w14:textId="77777777" w:rsidR="00722422" w:rsidRPr="00414DF9" w:rsidRDefault="00722422" w:rsidP="006E1D1B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35127D57" w14:textId="77777777" w:rsidR="00722422" w:rsidRDefault="00722422" w:rsidP="009C4B95">
      <w:pPr>
        <w:spacing w:after="120"/>
        <w:rPr>
          <w:rFonts w:eastAsia="SimSun"/>
          <w:sz w:val="21"/>
          <w:szCs w:val="21"/>
          <w:lang w:val="en-GB"/>
        </w:rPr>
      </w:pPr>
    </w:p>
    <w:p w14:paraId="09C2B612" w14:textId="30110DFB" w:rsidR="00722422" w:rsidRPr="00722422" w:rsidRDefault="00722422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From the description of </w:t>
      </w:r>
      <w:r w:rsidRPr="00722422">
        <w:rPr>
          <w:rFonts w:eastAsia="SimSun"/>
          <w:i/>
          <w:iCs/>
          <w:sz w:val="21"/>
          <w:szCs w:val="21"/>
          <w:lang w:val="en-GB"/>
        </w:rPr>
        <w:t>ue-PowerClass</w:t>
      </w:r>
      <w:r w:rsidRPr="00722422">
        <w:rPr>
          <w:rFonts w:eastAsia="SimSun"/>
          <w:sz w:val="21"/>
          <w:szCs w:val="21"/>
          <w:lang w:val="en-GB"/>
        </w:rPr>
        <w:t xml:space="preserve">, </w:t>
      </w:r>
      <w:r w:rsidRPr="00722422">
        <w:rPr>
          <w:rFonts w:eastAsia="SimSun"/>
          <w:i/>
          <w:iCs/>
          <w:sz w:val="21"/>
          <w:szCs w:val="21"/>
          <w:lang w:val="en-GB"/>
        </w:rPr>
        <w:t>ue-PowerClass-v1610</w:t>
      </w:r>
      <w:r>
        <w:rPr>
          <w:rFonts w:eastAsia="SimSun"/>
          <w:sz w:val="21"/>
          <w:szCs w:val="21"/>
          <w:lang w:val="en-GB"/>
        </w:rPr>
        <w:t xml:space="preserve"> and</w:t>
      </w:r>
      <w:r w:rsidRPr="00722422">
        <w:rPr>
          <w:rFonts w:eastAsia="SimSun"/>
          <w:sz w:val="21"/>
          <w:szCs w:val="21"/>
          <w:lang w:val="en-GB"/>
        </w:rPr>
        <w:t xml:space="preserve"> </w:t>
      </w:r>
      <w:r w:rsidRPr="00722422">
        <w:rPr>
          <w:rFonts w:eastAsia="SimSun"/>
          <w:i/>
          <w:iCs/>
          <w:sz w:val="21"/>
          <w:szCs w:val="21"/>
          <w:lang w:val="en-GB"/>
        </w:rPr>
        <w:t>ue-PowerClass-v1700</w:t>
      </w:r>
      <w:r>
        <w:rPr>
          <w:rFonts w:eastAsia="SimSun"/>
          <w:sz w:val="21"/>
          <w:szCs w:val="21"/>
          <w:lang w:val="en-GB"/>
        </w:rPr>
        <w:t xml:space="preserve">, </w:t>
      </w:r>
      <w:r w:rsidR="00C0344A">
        <w:rPr>
          <w:rFonts w:eastAsia="SimSun"/>
          <w:sz w:val="21"/>
          <w:szCs w:val="21"/>
          <w:lang w:val="en-GB"/>
        </w:rPr>
        <w:t>it can be</w:t>
      </w:r>
      <w:r>
        <w:rPr>
          <w:rFonts w:eastAsia="SimSun"/>
          <w:sz w:val="21"/>
          <w:szCs w:val="21"/>
          <w:lang w:val="en-GB"/>
        </w:rPr>
        <w:t xml:space="preserve"> notice</w:t>
      </w:r>
      <w:r w:rsidR="00C0344A">
        <w:rPr>
          <w:rFonts w:eastAsia="SimSun"/>
          <w:sz w:val="21"/>
          <w:szCs w:val="21"/>
          <w:lang w:val="en-GB"/>
        </w:rPr>
        <w:t>d</w:t>
      </w:r>
      <w:r>
        <w:rPr>
          <w:rFonts w:eastAsia="SimSun"/>
          <w:sz w:val="21"/>
          <w:szCs w:val="21"/>
          <w:lang w:val="en-GB"/>
        </w:rPr>
        <w:t xml:space="preserve"> that </w:t>
      </w:r>
      <w:r w:rsidRPr="00722422">
        <w:rPr>
          <w:rFonts w:eastAsia="SimSun"/>
          <w:sz w:val="21"/>
          <w:szCs w:val="21"/>
          <w:lang w:val="en-GB"/>
        </w:rPr>
        <w:t>TS 38.101-5</w:t>
      </w:r>
      <w:r>
        <w:rPr>
          <w:rFonts w:eastAsia="SimSun"/>
          <w:sz w:val="21"/>
          <w:szCs w:val="21"/>
          <w:lang w:val="en-GB"/>
        </w:rPr>
        <w:t xml:space="preserve"> is already referenced to, which means that high power classes for NR-NTN are already supported </w:t>
      </w:r>
      <w:r w:rsidR="00C0344A">
        <w:rPr>
          <w:rFonts w:eastAsia="SimSun"/>
          <w:sz w:val="21"/>
          <w:szCs w:val="21"/>
          <w:lang w:val="en-GB"/>
        </w:rPr>
        <w:t xml:space="preserve">by those UE capabilities </w:t>
      </w:r>
      <w:r>
        <w:rPr>
          <w:rFonts w:eastAsia="SimSun"/>
          <w:sz w:val="21"/>
          <w:szCs w:val="21"/>
          <w:lang w:val="en-GB"/>
        </w:rPr>
        <w:t>in TS 38.306 specification.</w:t>
      </w:r>
    </w:p>
    <w:p w14:paraId="0954B3A5" w14:textId="77B657C4" w:rsidR="00722422" w:rsidRDefault="00722422" w:rsidP="00722422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2: High power classes for NR-NTN are already supported by</w:t>
      </w:r>
      <w:r w:rsidRPr="00722422">
        <w:rPr>
          <w:b/>
          <w:bCs/>
          <w:sz w:val="21"/>
          <w:szCs w:val="21"/>
          <w:lang w:val="en-GB" w:eastAsia="en-GB"/>
        </w:rPr>
        <w:t xml:space="preserve"> ue-PowerClass, ue-PowerClass-v1610 and ue-PowerClass-v1700</w:t>
      </w:r>
      <w:r>
        <w:rPr>
          <w:b/>
          <w:bCs/>
          <w:sz w:val="21"/>
          <w:szCs w:val="21"/>
          <w:lang w:val="en-GB" w:eastAsia="en-GB"/>
        </w:rPr>
        <w:t xml:space="preserve"> UE capabilities in TS 38.306</w:t>
      </w:r>
      <w:r w:rsidRPr="00D358B0">
        <w:rPr>
          <w:b/>
          <w:bCs/>
          <w:sz w:val="21"/>
          <w:szCs w:val="21"/>
          <w:lang w:val="en-GB" w:eastAsia="en-GB"/>
        </w:rPr>
        <w:t>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5F9F5AF6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8D5A25">
        <w:rPr>
          <w:rFonts w:ascii="Arial" w:eastAsiaTheme="minorHAnsi" w:hAnsi="Arial" w:cstheme="minorBidi"/>
          <w:sz w:val="20"/>
          <w:szCs w:val="22"/>
        </w:rPr>
        <w:t xml:space="preserve">made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the following </w:t>
      </w:r>
      <w:r w:rsidR="00C0344A">
        <w:rPr>
          <w:rFonts w:ascii="Arial" w:eastAsiaTheme="minorHAnsi" w:hAnsi="Arial" w:cstheme="minorBidi"/>
          <w:sz w:val="20"/>
          <w:szCs w:val="22"/>
        </w:rPr>
        <w:t>observations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73EC31C4" w14:textId="77777777" w:rsidR="00AF6FCA" w:rsidRDefault="00AF6FCA" w:rsidP="00AF6FCA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 xml:space="preserve">Observation 1: </w:t>
      </w:r>
      <w:r w:rsidRPr="00D358B0">
        <w:rPr>
          <w:b/>
          <w:bCs/>
          <w:sz w:val="21"/>
          <w:szCs w:val="21"/>
          <w:lang w:val="en-GB" w:eastAsia="en-GB"/>
        </w:rPr>
        <w:t xml:space="preserve">Since it was concluded that the existing Rel-18 UE capabilities support3MHz-ChannelBW-Symmetric-r18 and support3MHz-ChannelBW-Asymmetric-r18 will be reused for FR1 </w:t>
      </w:r>
      <w:r>
        <w:rPr>
          <w:b/>
          <w:bCs/>
          <w:sz w:val="21"/>
          <w:szCs w:val="21"/>
          <w:lang w:val="en-GB" w:eastAsia="en-GB"/>
        </w:rPr>
        <w:t>NR-</w:t>
      </w:r>
      <w:r w:rsidRPr="00D358B0">
        <w:rPr>
          <w:b/>
          <w:bCs/>
          <w:sz w:val="21"/>
          <w:szCs w:val="21"/>
          <w:lang w:val="en-GB" w:eastAsia="en-GB"/>
        </w:rPr>
        <w:t>NTN bands, there is no need to introduce new UE capabilities with the same purpose in Rel-19.</w:t>
      </w:r>
    </w:p>
    <w:p w14:paraId="61AEF603" w14:textId="77777777" w:rsidR="00AF6FCA" w:rsidRDefault="00AF6FCA" w:rsidP="00AF6FCA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2: High power classes for NR-NTN are already supported by</w:t>
      </w:r>
      <w:r w:rsidRPr="00722422">
        <w:rPr>
          <w:b/>
          <w:bCs/>
          <w:sz w:val="21"/>
          <w:szCs w:val="21"/>
          <w:lang w:val="en-GB" w:eastAsia="en-GB"/>
        </w:rPr>
        <w:t xml:space="preserve"> ue-PowerClass, ue-PowerClass-v1610 and ue-PowerClass-v1700</w:t>
      </w:r>
      <w:r>
        <w:rPr>
          <w:b/>
          <w:bCs/>
          <w:sz w:val="21"/>
          <w:szCs w:val="21"/>
          <w:lang w:val="en-GB" w:eastAsia="en-GB"/>
        </w:rPr>
        <w:t xml:space="preserve"> UE capabilities in TS 38.306</w:t>
      </w:r>
      <w:r w:rsidRPr="00D358B0">
        <w:rPr>
          <w:b/>
          <w:bCs/>
          <w:sz w:val="21"/>
          <w:szCs w:val="21"/>
          <w:lang w:val="en-GB" w:eastAsia="en-GB"/>
        </w:rPr>
        <w:t>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8E901C8" w14:textId="1D35B5FD" w:rsidR="00F768FE" w:rsidRPr="00722422" w:rsidRDefault="000F5597" w:rsidP="00722422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bookmarkStart w:id="2" w:name="_Hlk180683891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1"/>
      <w:bookmarkEnd w:id="2"/>
    </w:p>
    <w:sectPr w:rsidR="00F768FE" w:rsidRPr="007224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40CB" w14:textId="77777777" w:rsidR="006C71C7" w:rsidRDefault="006C71C7" w:rsidP="00CF21FF">
      <w:r>
        <w:separator/>
      </w:r>
    </w:p>
  </w:endnote>
  <w:endnote w:type="continuationSeparator" w:id="0">
    <w:p w14:paraId="0A7E00A2" w14:textId="77777777" w:rsidR="006C71C7" w:rsidRDefault="006C71C7" w:rsidP="00CF21FF">
      <w:r>
        <w:continuationSeparator/>
      </w:r>
    </w:p>
  </w:endnote>
  <w:endnote w:type="continuationNotice" w:id="1">
    <w:p w14:paraId="3596E104" w14:textId="77777777" w:rsidR="006C71C7" w:rsidRDefault="006C7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45CA4" w14:textId="77777777" w:rsidR="006C71C7" w:rsidRDefault="006C71C7" w:rsidP="00CF21FF">
      <w:r>
        <w:separator/>
      </w:r>
    </w:p>
  </w:footnote>
  <w:footnote w:type="continuationSeparator" w:id="0">
    <w:p w14:paraId="1A29A93A" w14:textId="77777777" w:rsidR="006C71C7" w:rsidRDefault="006C71C7" w:rsidP="00CF21FF">
      <w:r>
        <w:continuationSeparator/>
      </w:r>
    </w:p>
  </w:footnote>
  <w:footnote w:type="continuationNotice" w:id="1">
    <w:p w14:paraId="01A45843" w14:textId="77777777" w:rsidR="006C71C7" w:rsidRDefault="006C71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26158"/>
    <w:multiLevelType w:val="hybridMultilevel"/>
    <w:tmpl w:val="788A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4"/>
  </w:num>
  <w:num w:numId="4" w16cid:durableId="236524273">
    <w:abstractNumId w:val="17"/>
  </w:num>
  <w:num w:numId="5" w16cid:durableId="124935407">
    <w:abstractNumId w:val="18"/>
  </w:num>
  <w:num w:numId="6" w16cid:durableId="910846781">
    <w:abstractNumId w:val="21"/>
  </w:num>
  <w:num w:numId="7" w16cid:durableId="730082185">
    <w:abstractNumId w:val="20"/>
  </w:num>
  <w:num w:numId="8" w16cid:durableId="575479695">
    <w:abstractNumId w:val="14"/>
  </w:num>
  <w:num w:numId="9" w16cid:durableId="1112823213">
    <w:abstractNumId w:val="13"/>
  </w:num>
  <w:num w:numId="10" w16cid:durableId="614143105">
    <w:abstractNumId w:val="19"/>
  </w:num>
  <w:num w:numId="11" w16cid:durableId="1213073752">
    <w:abstractNumId w:val="11"/>
  </w:num>
  <w:num w:numId="12" w16cid:durableId="341251335">
    <w:abstractNumId w:val="23"/>
  </w:num>
  <w:num w:numId="13" w16cid:durableId="338388040">
    <w:abstractNumId w:val="27"/>
  </w:num>
  <w:num w:numId="14" w16cid:durableId="683022094">
    <w:abstractNumId w:val="5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6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22"/>
  </w:num>
  <w:num w:numId="22" w16cid:durableId="257518371">
    <w:abstractNumId w:val="6"/>
  </w:num>
  <w:num w:numId="23" w16cid:durableId="1330055923">
    <w:abstractNumId w:val="8"/>
  </w:num>
  <w:num w:numId="24" w16cid:durableId="73283000">
    <w:abstractNumId w:val="7"/>
  </w:num>
  <w:num w:numId="25" w16cid:durableId="1923754694">
    <w:abstractNumId w:val="25"/>
  </w:num>
  <w:num w:numId="26" w16cid:durableId="248199157">
    <w:abstractNumId w:val="24"/>
  </w:num>
  <w:num w:numId="27" w16cid:durableId="431051435">
    <w:abstractNumId w:val="10"/>
  </w:num>
  <w:num w:numId="28" w16cid:durableId="362561345">
    <w:abstractNumId w:val="15"/>
  </w:num>
  <w:num w:numId="29" w16cid:durableId="54140019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0E56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0D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16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CC5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597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3EA9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6D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0F93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A13"/>
    <w:rsid w:val="00256B34"/>
    <w:rsid w:val="00257009"/>
    <w:rsid w:val="0025794A"/>
    <w:rsid w:val="00257CE6"/>
    <w:rsid w:val="00260162"/>
    <w:rsid w:val="00260EC7"/>
    <w:rsid w:val="00260FBC"/>
    <w:rsid w:val="00261288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43D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C7F0E"/>
    <w:rsid w:val="002D03E5"/>
    <w:rsid w:val="002D0F9C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B33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1D94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24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0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11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A21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82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16E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23C5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4CB"/>
    <w:rsid w:val="00551A35"/>
    <w:rsid w:val="00551E62"/>
    <w:rsid w:val="00552A95"/>
    <w:rsid w:val="0055357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67722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4E7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26C3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2ADF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1AB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388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5D8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0EEA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C71C7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2A7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0DF"/>
    <w:rsid w:val="00721810"/>
    <w:rsid w:val="00722422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7FE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AA4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23B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0F1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539"/>
    <w:rsid w:val="008D2919"/>
    <w:rsid w:val="008D3035"/>
    <w:rsid w:val="008D3DF5"/>
    <w:rsid w:val="008D5922"/>
    <w:rsid w:val="008D5980"/>
    <w:rsid w:val="008D5A25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5A"/>
    <w:rsid w:val="008F5D74"/>
    <w:rsid w:val="008F5DDB"/>
    <w:rsid w:val="008F6056"/>
    <w:rsid w:val="008F6AA2"/>
    <w:rsid w:val="008F6AD1"/>
    <w:rsid w:val="008F6E60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74A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41C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1C3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0B37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97053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7051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95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41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2E6B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B01"/>
    <w:rsid w:val="00A9371E"/>
    <w:rsid w:val="00A93F9F"/>
    <w:rsid w:val="00A9420E"/>
    <w:rsid w:val="00A95047"/>
    <w:rsid w:val="00A9505C"/>
    <w:rsid w:val="00A95211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6FCA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4945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3C7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3F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01A"/>
    <w:rsid w:val="00BC44FE"/>
    <w:rsid w:val="00BC5982"/>
    <w:rsid w:val="00BC5EB8"/>
    <w:rsid w:val="00BC60BF"/>
    <w:rsid w:val="00BC6744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344A"/>
    <w:rsid w:val="00C0432A"/>
    <w:rsid w:val="00C047AC"/>
    <w:rsid w:val="00C05188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65E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5F01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B98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B04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8B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1DF"/>
    <w:rsid w:val="00D439EC"/>
    <w:rsid w:val="00D45D72"/>
    <w:rsid w:val="00D462A6"/>
    <w:rsid w:val="00D468DB"/>
    <w:rsid w:val="00D471E2"/>
    <w:rsid w:val="00D47AAA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94F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0B0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33E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2D11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4709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15C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BD8"/>
    <w:rsid w:val="00E35F97"/>
    <w:rsid w:val="00E3639C"/>
    <w:rsid w:val="00E363E5"/>
    <w:rsid w:val="00E3672B"/>
    <w:rsid w:val="00E3685C"/>
    <w:rsid w:val="00E368F6"/>
    <w:rsid w:val="00E37BA8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0EB0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2845"/>
    <w:rsid w:val="00E83292"/>
    <w:rsid w:val="00E83A39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16AC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A15"/>
    <w:rsid w:val="00F54B15"/>
    <w:rsid w:val="00F55340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8FE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FCA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SGSTableBasic11">
    <w:name w:val="SGS Table Basic 11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Normal"/>
    <w:next w:val="TableGrid"/>
    <w:uiPriority w:val="59"/>
    <w:qFormat/>
    <w:rsid w:val="002F4B33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purl.org/dc/dcmitype/"/>
    <ds:schemaRef ds:uri="http://schemas.microsoft.com/office/2006/documentManagement/types"/>
    <ds:schemaRef ds:uri="d8762117-8292-4133-b1c7-eab5c6487cfd"/>
    <ds:schemaRef ds:uri="http://www.w3.org/XML/1998/namespace"/>
    <ds:schemaRef ds:uri="http://purl.org/dc/elements/1.1/"/>
    <ds:schemaRef ds:uri="http://schemas.microsoft.com/sharepoint/v3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2445</TotalTime>
  <Pages>2</Pages>
  <Words>673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146</cp:revision>
  <cp:lastPrinted>2022-08-19T16:29:00Z</cp:lastPrinted>
  <dcterms:created xsi:type="dcterms:W3CDTF">2024-04-08T15:06:00Z</dcterms:created>
  <dcterms:modified xsi:type="dcterms:W3CDTF">2025-05-09T21:50:00Z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