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0CBC3" w14:textId="17F65496" w:rsidR="00FD0E19" w:rsidRPr="00112288" w:rsidRDefault="00FD0E19" w:rsidP="00FD0E19">
      <w:pPr>
        <w:spacing w:after="0"/>
        <w:rPr>
          <w:rFonts w:ascii="Arial" w:eastAsia="SimSun" w:hAnsi="Arial" w:cs="Arial"/>
          <w:b/>
          <w:bCs/>
          <w:sz w:val="24"/>
          <w:szCs w:val="24"/>
          <w:lang w:eastAsia="zh-CN"/>
        </w:rPr>
      </w:pPr>
      <w:bookmarkStart w:id="0" w:name="Title"/>
      <w:bookmarkStart w:id="1" w:name="DocumentFor"/>
      <w:bookmarkEnd w:id="0"/>
      <w:bookmarkEnd w:id="1"/>
      <w:r w:rsidRPr="00112288">
        <w:rPr>
          <w:rFonts w:ascii="Arial" w:eastAsia="SimSun" w:hAnsi="Arial" w:cs="Arial"/>
          <w:b/>
          <w:bCs/>
          <w:sz w:val="24"/>
          <w:szCs w:val="24"/>
          <w:lang w:eastAsia="zh-CN"/>
        </w:rPr>
        <w:t>3GPP TSG-RAN WG4 Meeting #115</w:t>
      </w:r>
      <w:r w:rsidRPr="00112288">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Pr>
          <w:rFonts w:ascii="Arial" w:eastAsia="SimSun" w:hAnsi="Arial" w:cs="Arial"/>
          <w:b/>
          <w:bCs/>
          <w:sz w:val="24"/>
          <w:szCs w:val="24"/>
          <w:lang w:eastAsia="zh-CN"/>
        </w:rPr>
        <w:tab/>
      </w:r>
      <w:r w:rsidRPr="00112288">
        <w:rPr>
          <w:rFonts w:ascii="Arial" w:eastAsia="SimSun" w:hAnsi="Arial" w:cs="Arial"/>
          <w:b/>
          <w:bCs/>
          <w:sz w:val="24"/>
          <w:szCs w:val="24"/>
          <w:lang w:eastAsia="zh-CN"/>
        </w:rPr>
        <w:t>R4-250</w:t>
      </w:r>
      <w:r>
        <w:rPr>
          <w:rFonts w:ascii="Arial" w:eastAsia="SimSun" w:hAnsi="Arial" w:cs="Arial"/>
          <w:b/>
          <w:bCs/>
          <w:sz w:val="24"/>
          <w:szCs w:val="24"/>
          <w:lang w:eastAsia="zh-CN"/>
        </w:rPr>
        <w:t>5901</w:t>
      </w:r>
    </w:p>
    <w:p w14:paraId="7965B222" w14:textId="77777777" w:rsidR="00FD0E19" w:rsidRPr="00112288" w:rsidRDefault="00FD0E19" w:rsidP="00FD0E19">
      <w:pPr>
        <w:rPr>
          <w:rFonts w:ascii="Arial" w:eastAsia="SimSun" w:hAnsi="Arial" w:cs="Arial"/>
          <w:b/>
          <w:bCs/>
          <w:sz w:val="24"/>
          <w:szCs w:val="24"/>
          <w:lang w:eastAsia="zh-CN"/>
        </w:rPr>
      </w:pPr>
      <w:r>
        <w:rPr>
          <w:rFonts w:ascii="Arial" w:eastAsia="SimSun" w:hAnsi="Arial" w:cs="Arial"/>
          <w:b/>
          <w:bCs/>
          <w:sz w:val="24"/>
          <w:szCs w:val="24"/>
          <w:lang w:eastAsia="zh-CN"/>
        </w:rPr>
        <w:t>Malta, MT</w:t>
      </w:r>
      <w:r w:rsidRPr="00112288">
        <w:rPr>
          <w:rFonts w:ascii="Arial" w:eastAsia="SimSun" w:hAnsi="Arial" w:cs="Arial"/>
          <w:b/>
          <w:bCs/>
          <w:sz w:val="24"/>
          <w:szCs w:val="24"/>
          <w:lang w:eastAsia="zh-CN"/>
        </w:rPr>
        <w:t>, 19</w:t>
      </w:r>
      <w:r w:rsidRPr="00112288">
        <w:rPr>
          <w:rFonts w:ascii="Arial" w:eastAsia="SimSun" w:hAnsi="Arial" w:cs="Arial"/>
          <w:b/>
          <w:bCs/>
          <w:sz w:val="24"/>
          <w:szCs w:val="24"/>
          <w:vertAlign w:val="superscript"/>
          <w:lang w:eastAsia="zh-CN"/>
        </w:rPr>
        <w:t>th</w:t>
      </w:r>
      <w:r w:rsidRPr="00112288">
        <w:rPr>
          <w:rFonts w:ascii="Arial" w:eastAsia="SimSun" w:hAnsi="Arial" w:cs="Arial"/>
          <w:b/>
          <w:bCs/>
          <w:sz w:val="24"/>
          <w:szCs w:val="24"/>
          <w:lang w:eastAsia="zh-CN"/>
        </w:rPr>
        <w:t xml:space="preserve"> – 23</w:t>
      </w:r>
      <w:r w:rsidRPr="00112288">
        <w:rPr>
          <w:rFonts w:ascii="Arial" w:eastAsia="SimSun" w:hAnsi="Arial" w:cs="Arial"/>
          <w:b/>
          <w:bCs/>
          <w:sz w:val="24"/>
          <w:szCs w:val="24"/>
          <w:vertAlign w:val="superscript"/>
          <w:lang w:eastAsia="zh-CN"/>
        </w:rPr>
        <w:t>rd</w:t>
      </w:r>
      <w:r w:rsidRPr="00112288">
        <w:rPr>
          <w:rFonts w:ascii="Arial" w:eastAsia="SimSun" w:hAnsi="Arial" w:cs="Arial"/>
          <w:b/>
          <w:bCs/>
          <w:sz w:val="24"/>
          <w:szCs w:val="24"/>
          <w:lang w:eastAsia="zh-CN"/>
        </w:rPr>
        <w:t xml:space="preserve"> </w:t>
      </w:r>
      <w:proofErr w:type="gramStart"/>
      <w:r w:rsidRPr="00112288">
        <w:rPr>
          <w:rFonts w:ascii="Arial" w:eastAsia="SimSun" w:hAnsi="Arial" w:cs="Arial"/>
          <w:b/>
          <w:bCs/>
          <w:sz w:val="24"/>
          <w:szCs w:val="24"/>
          <w:lang w:eastAsia="zh-CN"/>
        </w:rPr>
        <w:t>May,</w:t>
      </w:r>
      <w:proofErr w:type="gramEnd"/>
      <w:r w:rsidRPr="00112288">
        <w:rPr>
          <w:rFonts w:ascii="Arial" w:eastAsia="SimSun" w:hAnsi="Arial" w:cs="Arial"/>
          <w:b/>
          <w:bCs/>
          <w:sz w:val="24"/>
          <w:szCs w:val="24"/>
          <w:lang w:eastAsia="zh-CN"/>
        </w:rPr>
        <w:t xml:space="preserve"> 2025</w:t>
      </w:r>
    </w:p>
    <w:p w14:paraId="2305CEA3" w14:textId="522F9390" w:rsidR="009F52D7" w:rsidRPr="00EF5DC3" w:rsidRDefault="009F52D7" w:rsidP="001E1366">
      <w:pPr>
        <w:pStyle w:val="CH"/>
        <w:spacing w:before="240" w:after="0"/>
        <w:rPr>
          <w:sz w:val="24"/>
          <w:szCs w:val="24"/>
          <w:lang w:val="en-US"/>
        </w:rPr>
      </w:pPr>
      <w:r w:rsidRPr="00EF5DC3">
        <w:rPr>
          <w:sz w:val="24"/>
          <w:szCs w:val="24"/>
          <w:lang w:val="en-US"/>
        </w:rPr>
        <w:t>Agenda item:</w:t>
      </w:r>
      <w:r w:rsidRPr="00EF5DC3">
        <w:rPr>
          <w:sz w:val="24"/>
          <w:szCs w:val="24"/>
          <w:lang w:val="en-US"/>
        </w:rPr>
        <w:tab/>
      </w:r>
      <w:r w:rsidR="00C44C14" w:rsidRPr="00EF5DC3">
        <w:rPr>
          <w:sz w:val="24"/>
          <w:szCs w:val="24"/>
          <w:lang w:val="en-US"/>
        </w:rPr>
        <w:t>7</w:t>
      </w:r>
      <w:r w:rsidR="00197F09" w:rsidRPr="00EF5DC3">
        <w:rPr>
          <w:sz w:val="24"/>
          <w:szCs w:val="24"/>
          <w:lang w:val="en-US"/>
        </w:rPr>
        <w:t>.</w:t>
      </w:r>
      <w:r w:rsidR="002A5444" w:rsidRPr="00EF5DC3">
        <w:rPr>
          <w:sz w:val="24"/>
          <w:szCs w:val="24"/>
          <w:lang w:val="en-US"/>
        </w:rPr>
        <w:t>1</w:t>
      </w:r>
      <w:r w:rsidR="001E1366">
        <w:rPr>
          <w:sz w:val="24"/>
          <w:szCs w:val="24"/>
          <w:lang w:val="en-US"/>
        </w:rPr>
        <w:t>6</w:t>
      </w:r>
      <w:r w:rsidR="00197F09" w:rsidRPr="00EF5DC3">
        <w:rPr>
          <w:sz w:val="24"/>
          <w:szCs w:val="24"/>
          <w:lang w:val="en-US"/>
        </w:rPr>
        <w:t>.</w:t>
      </w:r>
      <w:r w:rsidR="00B13E2D">
        <w:rPr>
          <w:sz w:val="24"/>
          <w:szCs w:val="24"/>
          <w:lang w:val="en-US"/>
        </w:rPr>
        <w:t>3</w:t>
      </w:r>
    </w:p>
    <w:p w14:paraId="30D50B86" w14:textId="1B183FBA" w:rsidR="009F52D7" w:rsidRPr="00EF5DC3" w:rsidRDefault="009F52D7" w:rsidP="00E40FCF">
      <w:pPr>
        <w:pStyle w:val="CH"/>
        <w:spacing w:after="0"/>
        <w:rPr>
          <w:sz w:val="24"/>
          <w:szCs w:val="24"/>
          <w:lang w:val="en-US"/>
        </w:rPr>
      </w:pPr>
      <w:r w:rsidRPr="00EF5DC3">
        <w:rPr>
          <w:sz w:val="24"/>
          <w:szCs w:val="24"/>
          <w:lang w:val="en-US"/>
        </w:rPr>
        <w:t>Source:</w:t>
      </w:r>
      <w:r w:rsidRPr="00EF5DC3">
        <w:rPr>
          <w:sz w:val="24"/>
          <w:szCs w:val="24"/>
          <w:lang w:val="en-US"/>
        </w:rPr>
        <w:tab/>
        <w:t>Apple</w:t>
      </w:r>
    </w:p>
    <w:p w14:paraId="7827D204" w14:textId="4916AAC4" w:rsidR="009F52D7" w:rsidRPr="00EF5DC3" w:rsidRDefault="009F52D7" w:rsidP="00E40FCF">
      <w:pPr>
        <w:pStyle w:val="CH"/>
        <w:spacing w:after="0"/>
        <w:rPr>
          <w:sz w:val="24"/>
          <w:szCs w:val="24"/>
          <w:lang w:val="en-US"/>
        </w:rPr>
      </w:pPr>
      <w:r w:rsidRPr="00EF5DC3">
        <w:rPr>
          <w:sz w:val="24"/>
          <w:szCs w:val="24"/>
          <w:lang w:val="en-US"/>
        </w:rPr>
        <w:t>Title:</w:t>
      </w:r>
      <w:r w:rsidRPr="00EF5DC3">
        <w:rPr>
          <w:sz w:val="24"/>
          <w:szCs w:val="24"/>
          <w:lang w:val="en-US"/>
        </w:rPr>
        <w:tab/>
      </w:r>
      <w:r w:rsidR="007F1796">
        <w:rPr>
          <w:sz w:val="24"/>
          <w:szCs w:val="24"/>
          <w:lang w:val="en-US"/>
        </w:rPr>
        <w:t>Discussion on</w:t>
      </w:r>
      <w:r w:rsidR="00590EAB" w:rsidRPr="00EF5DC3">
        <w:rPr>
          <w:sz w:val="24"/>
          <w:szCs w:val="24"/>
          <w:lang w:val="en-US"/>
        </w:rPr>
        <w:t xml:space="preserve"> </w:t>
      </w:r>
      <w:r w:rsidR="00E40FCF" w:rsidRPr="00EF5DC3">
        <w:rPr>
          <w:sz w:val="24"/>
          <w:szCs w:val="24"/>
          <w:lang w:val="en-US"/>
        </w:rPr>
        <w:t xml:space="preserve">Spatial Channel Modeling </w:t>
      </w:r>
    </w:p>
    <w:p w14:paraId="2AB0E874" w14:textId="708BEC41" w:rsidR="009F52D7" w:rsidRPr="00EF5DC3" w:rsidRDefault="009F52D7" w:rsidP="00E40FCF">
      <w:pPr>
        <w:pStyle w:val="CH"/>
        <w:spacing w:after="0"/>
        <w:rPr>
          <w:sz w:val="24"/>
          <w:szCs w:val="24"/>
          <w:lang w:val="en-US"/>
        </w:rPr>
      </w:pPr>
      <w:r w:rsidRPr="00EF5DC3">
        <w:rPr>
          <w:sz w:val="24"/>
          <w:szCs w:val="24"/>
          <w:lang w:val="en-US"/>
        </w:rPr>
        <w:t>Release:</w:t>
      </w:r>
      <w:r w:rsidRPr="00EF5DC3">
        <w:rPr>
          <w:sz w:val="24"/>
          <w:szCs w:val="24"/>
          <w:lang w:val="en-US"/>
        </w:rPr>
        <w:tab/>
        <w:t>Rel-1</w:t>
      </w:r>
      <w:r w:rsidR="002D7073" w:rsidRPr="00EF5DC3">
        <w:rPr>
          <w:sz w:val="24"/>
          <w:szCs w:val="24"/>
          <w:lang w:val="en-US"/>
        </w:rPr>
        <w:t>9</w:t>
      </w:r>
    </w:p>
    <w:p w14:paraId="5FD26D80" w14:textId="69E72605" w:rsidR="009F52D7" w:rsidRPr="00EF5DC3" w:rsidRDefault="009F52D7" w:rsidP="00E40FCF">
      <w:pPr>
        <w:pStyle w:val="CH"/>
        <w:spacing w:after="0"/>
        <w:rPr>
          <w:sz w:val="24"/>
          <w:szCs w:val="24"/>
          <w:lang w:val="en-US"/>
        </w:rPr>
      </w:pPr>
      <w:r w:rsidRPr="00EF5DC3">
        <w:rPr>
          <w:sz w:val="24"/>
          <w:szCs w:val="24"/>
          <w:lang w:val="en-US"/>
        </w:rPr>
        <w:t>Document for:</w:t>
      </w:r>
      <w:r w:rsidRPr="00EF5DC3">
        <w:rPr>
          <w:sz w:val="24"/>
          <w:szCs w:val="24"/>
          <w:lang w:val="en-US"/>
        </w:rPr>
        <w:tab/>
      </w:r>
      <w:r w:rsidR="00AD261E" w:rsidRPr="00EF5DC3">
        <w:rPr>
          <w:sz w:val="24"/>
          <w:szCs w:val="24"/>
          <w:lang w:val="en-US"/>
        </w:rPr>
        <w:t>Discussion</w:t>
      </w:r>
    </w:p>
    <w:p w14:paraId="26BFACA8" w14:textId="77777777" w:rsidR="009F52D7" w:rsidRPr="00EF5DC3" w:rsidRDefault="009F52D7" w:rsidP="00E40FCF">
      <w:pPr>
        <w:pStyle w:val="CH"/>
        <w:rPr>
          <w:lang w:val="en-US"/>
        </w:rPr>
      </w:pPr>
    </w:p>
    <w:p w14:paraId="7D03A8FD" w14:textId="77777777" w:rsidR="002249BA" w:rsidRPr="00EF5DC3" w:rsidRDefault="002249BA" w:rsidP="002249BA">
      <w:pPr>
        <w:pStyle w:val="Heading1"/>
        <w:rPr>
          <w:lang w:val="en-US"/>
        </w:rPr>
      </w:pPr>
      <w:r w:rsidRPr="00EF5DC3">
        <w:rPr>
          <w:lang w:val="en-US"/>
        </w:rPr>
        <w:t xml:space="preserve">1. Introduction </w:t>
      </w:r>
    </w:p>
    <w:p w14:paraId="1076DCC3" w14:textId="28CB03BD" w:rsidR="002249BA" w:rsidRPr="00EF5DC3" w:rsidRDefault="00D65B2F" w:rsidP="00E40FCF">
      <w:r w:rsidRPr="00EF5DC3">
        <w:t>In RAN4#11</w:t>
      </w:r>
      <w:r w:rsidR="00C9329E">
        <w:t>4</w:t>
      </w:r>
      <w:r w:rsidR="00B13E2D">
        <w:t>bis</w:t>
      </w:r>
      <w:r w:rsidRPr="00EF5DC3">
        <w:t xml:space="preserve"> </w:t>
      </w:r>
      <w:r w:rsidR="00802DDF" w:rsidRPr="00EF5DC3">
        <w:t xml:space="preserve">spatial channel model for demodulation requirements was discussed and </w:t>
      </w:r>
      <w:r w:rsidRPr="00EF5DC3">
        <w:t>way forward [</w:t>
      </w:r>
      <w:r w:rsidR="00802DDF" w:rsidRPr="00EF5DC3">
        <w:t>1</w:t>
      </w:r>
      <w:r w:rsidRPr="00EF5DC3">
        <w:t xml:space="preserve">] was approved. </w:t>
      </w:r>
      <w:r w:rsidR="00847B96" w:rsidRPr="00EF5DC3">
        <w:t xml:space="preserve">In this </w:t>
      </w:r>
      <w:r w:rsidRPr="00EF5DC3">
        <w:t>contribution</w:t>
      </w:r>
      <w:r w:rsidR="00847B96" w:rsidRPr="00EF5DC3">
        <w:t xml:space="preserve"> we share our views on </w:t>
      </w:r>
      <w:r w:rsidR="0042365F">
        <w:t>the</w:t>
      </w:r>
      <w:r w:rsidR="00E40FCF" w:rsidRPr="00EF5DC3">
        <w:t xml:space="preserve"> study for spatial channel models </w:t>
      </w:r>
      <w:r w:rsidR="00685BA4" w:rsidRPr="00EF5DC3">
        <w:t xml:space="preserve">for demodulation and CSI reporting requirements </w:t>
      </w:r>
      <w:r w:rsidR="00E40FCF" w:rsidRPr="00EF5DC3">
        <w:t>in RAN4</w:t>
      </w:r>
      <w:r w:rsidR="002249BA" w:rsidRPr="00EF5DC3">
        <w:t xml:space="preserve">.   </w:t>
      </w:r>
    </w:p>
    <w:p w14:paraId="3AFFD937" w14:textId="77777777" w:rsidR="002249BA" w:rsidRPr="00EF5DC3" w:rsidRDefault="002249BA" w:rsidP="002249BA">
      <w:pPr>
        <w:pStyle w:val="Heading1"/>
        <w:rPr>
          <w:lang w:val="en-US"/>
        </w:rPr>
      </w:pPr>
      <w:r w:rsidRPr="00EF5DC3">
        <w:rPr>
          <w:lang w:val="en-US"/>
        </w:rPr>
        <w:t>2. Discussion</w:t>
      </w:r>
    </w:p>
    <w:p w14:paraId="695281E5" w14:textId="34671B23" w:rsidR="002B367C" w:rsidRPr="00EF5DC3" w:rsidRDefault="002B367C" w:rsidP="002B367C">
      <w:pPr>
        <w:pStyle w:val="Heading2"/>
        <w:rPr>
          <w:lang w:val="en-US"/>
        </w:rPr>
      </w:pPr>
      <w:r>
        <w:rPr>
          <w:lang w:val="en-US"/>
        </w:rPr>
        <w:t>General</w:t>
      </w:r>
      <w:r w:rsidRPr="00EF5DC3">
        <w:rPr>
          <w:lang w:val="en-US"/>
        </w:rPr>
        <w:t xml:space="preserve"> </w:t>
      </w:r>
    </w:p>
    <w:p w14:paraId="160F7043" w14:textId="523AB831" w:rsidR="002B367C" w:rsidRDefault="002B367C" w:rsidP="002B367C">
      <w:r>
        <w:t>In RAN4#114bis the following were discussed:</w:t>
      </w:r>
    </w:p>
    <w:p w14:paraId="74A8AFD0" w14:textId="77777777" w:rsidR="002B367C" w:rsidRDefault="002B367C" w:rsidP="002B367C"/>
    <w:p w14:paraId="4A7D12BA" w14:textId="77777777" w:rsidR="002B367C" w:rsidRPr="002B367C" w:rsidRDefault="002B367C" w:rsidP="002B367C">
      <w:pPr>
        <w:ind w:left="720"/>
        <w:rPr>
          <w:rFonts w:eastAsia="SimSun"/>
          <w:b/>
          <w:bCs/>
          <w:u w:val="single"/>
          <w:lang w:val="en-GB" w:eastAsia="ko-KR"/>
        </w:rPr>
      </w:pPr>
      <w:r w:rsidRPr="002B367C">
        <w:rPr>
          <w:rFonts w:eastAsia="SimSun"/>
          <w:b/>
          <w:bCs/>
          <w:u w:val="single"/>
          <w:lang w:val="en-GB" w:eastAsia="ko-KR"/>
        </w:rPr>
        <w:t>Prioritisation on SU and MU MIMO</w:t>
      </w:r>
    </w:p>
    <w:p w14:paraId="3B4438C5" w14:textId="77777777" w:rsidR="002B367C" w:rsidRPr="002B367C" w:rsidRDefault="002B367C" w:rsidP="002B367C">
      <w:pPr>
        <w:ind w:left="720"/>
        <w:rPr>
          <w:rFonts w:eastAsia="SimSun"/>
          <w:b/>
          <w:bCs/>
          <w:szCs w:val="24"/>
          <w:lang w:val="en-GB" w:eastAsia="zh-CN"/>
        </w:rPr>
      </w:pPr>
      <w:r w:rsidRPr="002B367C">
        <w:rPr>
          <w:rFonts w:eastAsia="SimSun"/>
          <w:b/>
          <w:bCs/>
          <w:szCs w:val="24"/>
          <w:lang w:val="en-GB" w:eastAsia="zh-CN"/>
        </w:rPr>
        <w:t>Way Forward</w:t>
      </w:r>
    </w:p>
    <w:p w14:paraId="4342B72E" w14:textId="77777777" w:rsidR="002B367C" w:rsidRPr="002B367C" w:rsidRDefault="002B367C" w:rsidP="002B367C">
      <w:pPr>
        <w:ind w:left="720"/>
        <w:rPr>
          <w:rFonts w:eastAsia="SimSun"/>
          <w:szCs w:val="24"/>
          <w:lang w:val="en-GB" w:eastAsia="zh-CN"/>
        </w:rPr>
      </w:pPr>
      <w:r w:rsidRPr="002B367C">
        <w:rPr>
          <w:rFonts w:eastAsia="SimSun"/>
          <w:szCs w:val="24"/>
          <w:lang w:val="en-GB" w:eastAsia="zh-CN"/>
        </w:rPr>
        <w:t>SU-MIMO is prioritised during RAN4#114-bis</w:t>
      </w:r>
    </w:p>
    <w:p w14:paraId="717A42D7" w14:textId="77777777" w:rsidR="002B367C" w:rsidRPr="002B367C" w:rsidRDefault="002B367C" w:rsidP="002B367C">
      <w:pPr>
        <w:ind w:left="1656"/>
        <w:rPr>
          <w:rFonts w:eastAsia="MS Mincho"/>
          <w:szCs w:val="24"/>
          <w:lang w:val="en-GB" w:eastAsia="zh-CN"/>
        </w:rPr>
      </w:pPr>
    </w:p>
    <w:p w14:paraId="7A6317DB" w14:textId="77777777" w:rsidR="002B367C" w:rsidRPr="002B367C" w:rsidRDefault="002B367C" w:rsidP="002B367C">
      <w:pPr>
        <w:ind w:left="720"/>
        <w:rPr>
          <w:rFonts w:eastAsia="SimSun"/>
          <w:b/>
          <w:bCs/>
          <w:u w:val="single"/>
          <w:lang w:val="en-GB" w:eastAsia="ko-KR"/>
        </w:rPr>
      </w:pPr>
      <w:r w:rsidRPr="002B367C">
        <w:rPr>
          <w:rFonts w:eastAsia="SimSun"/>
          <w:b/>
          <w:bCs/>
          <w:u w:val="single"/>
          <w:lang w:val="en-GB" w:eastAsia="ko-KR"/>
        </w:rPr>
        <w:t>FR2 Aspects</w:t>
      </w:r>
    </w:p>
    <w:p w14:paraId="46972006" w14:textId="77777777" w:rsidR="002B367C" w:rsidRPr="002B367C" w:rsidRDefault="002B367C" w:rsidP="002B367C">
      <w:pPr>
        <w:ind w:left="720"/>
        <w:rPr>
          <w:rFonts w:eastAsia="SimSun"/>
          <w:b/>
          <w:bCs/>
          <w:szCs w:val="24"/>
          <w:lang w:val="en-GB" w:eastAsia="zh-CN"/>
        </w:rPr>
      </w:pPr>
      <w:r w:rsidRPr="002B367C">
        <w:rPr>
          <w:rFonts w:eastAsia="SimSun"/>
          <w:b/>
          <w:bCs/>
          <w:szCs w:val="24"/>
          <w:lang w:val="en-GB" w:eastAsia="zh-CN"/>
        </w:rPr>
        <w:t>Way Forward</w:t>
      </w:r>
    </w:p>
    <w:p w14:paraId="2EB45C93" w14:textId="77777777" w:rsidR="002B367C" w:rsidRPr="002B367C" w:rsidRDefault="002B367C" w:rsidP="002B367C">
      <w:pPr>
        <w:ind w:left="720"/>
        <w:rPr>
          <w:rFonts w:eastAsia="SimSun"/>
          <w:szCs w:val="24"/>
          <w:lang w:val="en-GB" w:eastAsia="zh-CN"/>
        </w:rPr>
      </w:pPr>
      <w:r w:rsidRPr="002B367C">
        <w:rPr>
          <w:rFonts w:eastAsia="SimSun"/>
          <w:szCs w:val="24"/>
          <w:lang w:val="en-GB" w:eastAsia="zh-CN"/>
        </w:rPr>
        <w:t>FR1 is prioritised during RAN4#114-bis, any removal of aspects from SI to be discussed at RAN Plenary.</w:t>
      </w:r>
    </w:p>
    <w:p w14:paraId="37372540" w14:textId="77777777" w:rsidR="002B367C" w:rsidRDefault="002B367C" w:rsidP="002B367C"/>
    <w:p w14:paraId="500FA22E" w14:textId="40C3A931" w:rsidR="002B367C" w:rsidRDefault="002B367C" w:rsidP="002B367C">
      <w:r>
        <w:t>The study so far has focused on SU-MIMO scenarios in FR1. We have not concluded on aspects of alignment and comparison yet</w:t>
      </w:r>
      <w:r w:rsidR="00026296">
        <w:t xml:space="preserve"> for SU-MIMO. We don’t see it feasible to cover MU-MIMO and FR2 in the remaining time for this study. Although this is something to be discussed in RAN plenary to remove aspects of the SI, we think we should have a discussion and agreement in RAN4 before it is brought up in the plenary. </w:t>
      </w:r>
    </w:p>
    <w:p w14:paraId="472C657F" w14:textId="52D05397" w:rsidR="00026296" w:rsidRDefault="00026296" w:rsidP="00026296">
      <w:pPr>
        <w:pStyle w:val="ListParagraph"/>
        <w:numPr>
          <w:ilvl w:val="0"/>
          <w:numId w:val="9"/>
        </w:numPr>
        <w:rPr>
          <w:b w:val="0"/>
          <w:bCs w:val="0"/>
          <w:i/>
          <w:iCs/>
        </w:rPr>
      </w:pPr>
      <w:r>
        <w:rPr>
          <w:b w:val="0"/>
          <w:bCs w:val="0"/>
          <w:i/>
          <w:iCs/>
        </w:rPr>
        <w:t xml:space="preserve">Study so far is focused on SU-MIMO in FR1, with no conclusions yet. </w:t>
      </w:r>
    </w:p>
    <w:p w14:paraId="06372113" w14:textId="1D23BBC6" w:rsidR="00026296" w:rsidRDefault="00026296" w:rsidP="00026296">
      <w:pPr>
        <w:pStyle w:val="ListParagraph"/>
        <w:numPr>
          <w:ilvl w:val="0"/>
          <w:numId w:val="9"/>
        </w:numPr>
        <w:rPr>
          <w:b w:val="0"/>
          <w:bCs w:val="0"/>
          <w:i/>
          <w:iCs/>
        </w:rPr>
      </w:pPr>
      <w:r>
        <w:rPr>
          <w:b w:val="0"/>
          <w:bCs w:val="0"/>
          <w:i/>
          <w:iCs/>
        </w:rPr>
        <w:t>It would not be feasible to include MU-MIMO and FR2 in the remaining time</w:t>
      </w:r>
      <w:r w:rsidRPr="007C4864">
        <w:rPr>
          <w:b w:val="0"/>
          <w:bCs w:val="0"/>
          <w:i/>
          <w:iCs/>
        </w:rPr>
        <w:t xml:space="preserve">. </w:t>
      </w:r>
    </w:p>
    <w:p w14:paraId="0AB4DD96" w14:textId="3DBABB2D" w:rsidR="00026296" w:rsidRDefault="00026296" w:rsidP="00026296">
      <w:pPr>
        <w:pStyle w:val="ListParagraph"/>
        <w:numPr>
          <w:ilvl w:val="0"/>
          <w:numId w:val="9"/>
        </w:numPr>
        <w:rPr>
          <w:b w:val="0"/>
          <w:bCs w:val="0"/>
          <w:i/>
          <w:iCs/>
        </w:rPr>
      </w:pPr>
      <w:r>
        <w:rPr>
          <w:b w:val="0"/>
          <w:bCs w:val="0"/>
          <w:i/>
          <w:iCs/>
        </w:rPr>
        <w:t>De-prioritization of MU-MIMO and FR2 needs to be discussed and agreed in RAN4 before it is brought up in RAN plenary for SI scope update.</w:t>
      </w:r>
    </w:p>
    <w:p w14:paraId="4F9369FB" w14:textId="3159BD5E" w:rsidR="00026296" w:rsidRPr="00EF5DC3" w:rsidRDefault="00026296" w:rsidP="00026296">
      <w:pPr>
        <w:pStyle w:val="ListParagraph"/>
      </w:pPr>
      <w:r>
        <w:t>De-prioritize MU-MIMO and FR2 for Rel-19 SCM study</w:t>
      </w:r>
      <w:r w:rsidRPr="00EF5DC3">
        <w:t xml:space="preserve">. </w:t>
      </w:r>
    </w:p>
    <w:p w14:paraId="78F44F4E" w14:textId="77777777" w:rsidR="00026296" w:rsidRDefault="00026296" w:rsidP="002B367C"/>
    <w:p w14:paraId="0D41BEBB" w14:textId="7FF93266" w:rsidR="000E6918" w:rsidRPr="00EF5DC3" w:rsidRDefault="007F1796" w:rsidP="000E6918">
      <w:pPr>
        <w:pStyle w:val="Heading2"/>
        <w:rPr>
          <w:lang w:val="en-US"/>
        </w:rPr>
      </w:pPr>
      <w:r>
        <w:rPr>
          <w:lang w:val="en-US"/>
        </w:rPr>
        <w:t>Common for all methodologies</w:t>
      </w:r>
      <w:r w:rsidR="00256E92" w:rsidRPr="00EF5DC3">
        <w:rPr>
          <w:lang w:val="en-US"/>
        </w:rPr>
        <w:t xml:space="preserve"> </w:t>
      </w:r>
    </w:p>
    <w:p w14:paraId="1D55169D" w14:textId="69D9A5AB" w:rsidR="00256E92" w:rsidRDefault="00940F62" w:rsidP="00E40FCF">
      <w:r>
        <w:t xml:space="preserve">The following was discussed in RAN4#144bis - </w:t>
      </w:r>
    </w:p>
    <w:p w14:paraId="5528E759" w14:textId="60A98281" w:rsidR="00C34B5F" w:rsidRPr="00C34B5F" w:rsidRDefault="00C34B5F" w:rsidP="00940F62">
      <w:pPr>
        <w:ind w:left="270"/>
        <w:rPr>
          <w:b/>
          <w:u w:val="single"/>
          <w:lang w:val="en-GB"/>
        </w:rPr>
      </w:pPr>
      <w:r w:rsidRPr="00C34B5F">
        <w:rPr>
          <w:b/>
          <w:u w:val="single"/>
          <w:lang w:val="en-GB"/>
        </w:rPr>
        <w:lastRenderedPageBreak/>
        <w:t xml:space="preserve">PDSCH </w:t>
      </w:r>
      <w:r w:rsidR="002B367C">
        <w:rPr>
          <w:b/>
          <w:u w:val="single"/>
          <w:lang w:val="en-GB"/>
        </w:rPr>
        <w:t xml:space="preserve">‘Fixed’ </w:t>
      </w:r>
      <w:r w:rsidRPr="00C34B5F">
        <w:rPr>
          <w:b/>
          <w:u w:val="single"/>
          <w:lang w:val="en-GB"/>
        </w:rPr>
        <w:t>PMI Selection</w:t>
      </w:r>
    </w:p>
    <w:p w14:paraId="2C974698" w14:textId="77777777" w:rsidR="002B367C" w:rsidRPr="00986915" w:rsidRDefault="002B367C" w:rsidP="00940F62">
      <w:pPr>
        <w:ind w:left="270"/>
        <w:rPr>
          <w:b/>
          <w:bCs/>
          <w:szCs w:val="24"/>
          <w:lang w:eastAsia="zh-CN"/>
        </w:rPr>
      </w:pPr>
      <w:r w:rsidRPr="00986915">
        <w:rPr>
          <w:b/>
          <w:bCs/>
          <w:szCs w:val="24"/>
          <w:lang w:eastAsia="zh-CN"/>
        </w:rPr>
        <w:t>Way Forward</w:t>
      </w:r>
    </w:p>
    <w:p w14:paraId="427BFF9F" w14:textId="77777777" w:rsidR="002B367C" w:rsidRPr="00986915" w:rsidRDefault="002B367C" w:rsidP="00940F62">
      <w:pPr>
        <w:ind w:left="270"/>
        <w:rPr>
          <w:szCs w:val="24"/>
          <w:lang w:eastAsia="zh-CN"/>
        </w:rPr>
      </w:pPr>
      <w:r w:rsidRPr="00986915">
        <w:rPr>
          <w:szCs w:val="24"/>
          <w:lang w:eastAsia="zh-CN"/>
        </w:rPr>
        <w:t>For alignment a random PMI will be used, for comparison cases with a ‘fixed’ PMI FFS on approach.</w:t>
      </w:r>
    </w:p>
    <w:p w14:paraId="5912E5E7" w14:textId="77777777" w:rsidR="00940F62" w:rsidRPr="00747592" w:rsidRDefault="00940F62" w:rsidP="00940F62">
      <w:pPr>
        <w:ind w:left="270"/>
        <w:rPr>
          <w:b/>
          <w:u w:val="single"/>
          <w:lang w:val="en-GB"/>
        </w:rPr>
      </w:pPr>
      <w:r w:rsidRPr="00747592">
        <w:rPr>
          <w:b/>
          <w:u w:val="single"/>
          <w:lang w:val="en-GB"/>
        </w:rPr>
        <w:t>PMI Granularity in PMI reporting cases</w:t>
      </w:r>
    </w:p>
    <w:p w14:paraId="450AA709" w14:textId="77777777" w:rsidR="00940F62" w:rsidRPr="00747592" w:rsidRDefault="00940F62" w:rsidP="00940F62">
      <w:pPr>
        <w:ind w:left="270"/>
        <w:rPr>
          <w:rFonts w:eastAsia="SimSun"/>
          <w:b/>
          <w:bCs/>
          <w:szCs w:val="24"/>
          <w:lang w:val="en-GB" w:eastAsia="zh-CN"/>
        </w:rPr>
      </w:pPr>
      <w:r w:rsidRPr="00747592">
        <w:rPr>
          <w:rFonts w:eastAsia="SimSun"/>
          <w:b/>
          <w:bCs/>
          <w:szCs w:val="24"/>
          <w:lang w:val="en-GB" w:eastAsia="zh-CN"/>
        </w:rPr>
        <w:t>Way Forward</w:t>
      </w:r>
    </w:p>
    <w:p w14:paraId="44B6CF1F" w14:textId="77777777" w:rsidR="00940F62" w:rsidRPr="00747592" w:rsidRDefault="00940F62" w:rsidP="00940F62">
      <w:pPr>
        <w:ind w:left="270"/>
        <w:rPr>
          <w:rFonts w:eastAsia="SimSun"/>
          <w:szCs w:val="24"/>
          <w:lang w:val="en-GB" w:eastAsia="zh-CN"/>
        </w:rPr>
      </w:pPr>
      <w:r w:rsidRPr="00747592">
        <w:rPr>
          <w:rFonts w:eastAsia="SimSun"/>
          <w:szCs w:val="24"/>
          <w:lang w:val="en-GB" w:eastAsia="zh-CN"/>
        </w:rPr>
        <w:t>RAN4 to use wideband PMI for Type 1 Follow PMI cases</w:t>
      </w:r>
    </w:p>
    <w:p w14:paraId="3434C3B6" w14:textId="77777777" w:rsidR="00940F62" w:rsidRPr="00747592" w:rsidRDefault="00940F62" w:rsidP="00940F62">
      <w:pPr>
        <w:ind w:left="270"/>
        <w:rPr>
          <w:rFonts w:eastAsia="SimSun"/>
          <w:szCs w:val="24"/>
          <w:lang w:val="en-GB" w:eastAsia="zh-CN"/>
        </w:rPr>
      </w:pPr>
      <w:r w:rsidRPr="00747592">
        <w:rPr>
          <w:rFonts w:eastAsia="SimSun"/>
          <w:szCs w:val="24"/>
          <w:lang w:val="en-GB" w:eastAsia="zh-CN"/>
        </w:rPr>
        <w:t>RAN4 to use wideband PMI for Type 1 Random PMI cases</w:t>
      </w:r>
    </w:p>
    <w:p w14:paraId="6744E2B9" w14:textId="77777777" w:rsidR="00940F62" w:rsidRPr="00747592" w:rsidRDefault="00940F62" w:rsidP="00940F62">
      <w:pPr>
        <w:ind w:left="270"/>
        <w:rPr>
          <w:rFonts w:eastAsia="SimSun"/>
          <w:i/>
          <w:iCs/>
          <w:szCs w:val="24"/>
          <w:lang w:val="en-GB" w:eastAsia="zh-CN"/>
        </w:rPr>
      </w:pPr>
      <w:r w:rsidRPr="00747592">
        <w:rPr>
          <w:rFonts w:eastAsia="SimSun"/>
          <w:i/>
          <w:iCs/>
          <w:szCs w:val="24"/>
          <w:lang w:val="en-GB" w:eastAsia="zh-CN"/>
        </w:rPr>
        <w:t>Note: Previous requirements have used both wideband and sub-band PMI</w:t>
      </w:r>
    </w:p>
    <w:p w14:paraId="311F4C15" w14:textId="77777777" w:rsidR="00940F62" w:rsidRPr="00940F62" w:rsidRDefault="00940F62" w:rsidP="00940F62">
      <w:pPr>
        <w:ind w:left="270"/>
        <w:rPr>
          <w:b/>
          <w:u w:val="single"/>
          <w:lang w:val="en-GB"/>
        </w:rPr>
      </w:pPr>
      <w:r w:rsidRPr="00940F62">
        <w:rPr>
          <w:b/>
          <w:u w:val="single"/>
          <w:lang w:val="en-GB"/>
        </w:rPr>
        <w:t>Precoder Granularity for PDSCH cases</w:t>
      </w:r>
    </w:p>
    <w:p w14:paraId="18B68285" w14:textId="77777777" w:rsidR="00940F62" w:rsidRPr="00940F62" w:rsidRDefault="00940F62" w:rsidP="00940F62">
      <w:pPr>
        <w:ind w:left="270"/>
        <w:rPr>
          <w:rFonts w:eastAsia="SimSun"/>
          <w:b/>
          <w:bCs/>
          <w:szCs w:val="24"/>
          <w:lang w:val="en-GB" w:eastAsia="zh-CN"/>
        </w:rPr>
      </w:pPr>
      <w:r w:rsidRPr="00940F62">
        <w:rPr>
          <w:rFonts w:eastAsia="SimSun"/>
          <w:b/>
          <w:bCs/>
          <w:szCs w:val="24"/>
          <w:lang w:val="en-GB" w:eastAsia="zh-CN"/>
        </w:rPr>
        <w:t>Way Forward</w:t>
      </w:r>
    </w:p>
    <w:p w14:paraId="2CB9E755" w14:textId="77777777" w:rsidR="00940F62" w:rsidRPr="00940F62" w:rsidRDefault="00940F62" w:rsidP="00940F62">
      <w:pPr>
        <w:ind w:left="270"/>
        <w:rPr>
          <w:rFonts w:eastAsia="SimSun"/>
          <w:szCs w:val="24"/>
          <w:lang w:val="en-GB" w:eastAsia="zh-CN"/>
        </w:rPr>
      </w:pPr>
      <w:r w:rsidRPr="00940F62">
        <w:rPr>
          <w:rFonts w:eastAsia="SimSun"/>
          <w:szCs w:val="24"/>
          <w:lang w:val="en-GB" w:eastAsia="zh-CN"/>
        </w:rPr>
        <w:t>Same assumption as PDSCH demodulation requirements for random PMI</w:t>
      </w:r>
    </w:p>
    <w:p w14:paraId="72EC7880" w14:textId="77777777" w:rsidR="00940F62" w:rsidRPr="00940F62" w:rsidRDefault="00940F62" w:rsidP="00940F62">
      <w:pPr>
        <w:ind w:left="270"/>
        <w:rPr>
          <w:rFonts w:eastAsia="SimSun"/>
          <w:szCs w:val="24"/>
          <w:lang w:val="en-GB" w:eastAsia="zh-CN"/>
        </w:rPr>
      </w:pPr>
      <w:r w:rsidRPr="00940F62">
        <w:rPr>
          <w:rFonts w:eastAsia="SimSun"/>
          <w:szCs w:val="24"/>
          <w:lang w:val="en-GB" w:eastAsia="zh-CN"/>
        </w:rPr>
        <w:t xml:space="preserve">For number of TX &gt; </w:t>
      </w:r>
      <w:proofErr w:type="gramStart"/>
      <w:r w:rsidRPr="00940F62">
        <w:rPr>
          <w:rFonts w:eastAsia="SimSun"/>
          <w:szCs w:val="24"/>
          <w:lang w:val="en-GB" w:eastAsia="zh-CN"/>
        </w:rPr>
        <w:t>1:Single</w:t>
      </w:r>
      <w:proofErr w:type="gramEnd"/>
      <w:r w:rsidRPr="00940F62">
        <w:rPr>
          <w:rFonts w:eastAsia="SimSun"/>
          <w:szCs w:val="24"/>
          <w:lang w:val="en-GB" w:eastAsia="zh-CN"/>
        </w:rPr>
        <w:t xml:space="preserve"> Panel Type I; Randomized precoder selection for every PRB bundle and updated per slot, with equal probability of each applicable i</w:t>
      </w:r>
      <w:r w:rsidRPr="00940F62">
        <w:rPr>
          <w:rFonts w:eastAsia="SimSun"/>
          <w:szCs w:val="24"/>
          <w:vertAlign w:val="subscript"/>
          <w:lang w:val="en-GB" w:eastAsia="zh-CN"/>
        </w:rPr>
        <w:t>1</w:t>
      </w:r>
      <w:r w:rsidRPr="00940F62">
        <w:rPr>
          <w:rFonts w:eastAsia="SimSun"/>
          <w:szCs w:val="24"/>
          <w:lang w:val="en-GB" w:eastAsia="zh-CN"/>
        </w:rPr>
        <w:t>/i</w:t>
      </w:r>
      <w:r w:rsidRPr="00940F62">
        <w:rPr>
          <w:rFonts w:eastAsia="SimSun"/>
          <w:szCs w:val="24"/>
          <w:vertAlign w:val="subscript"/>
          <w:lang w:val="en-GB" w:eastAsia="zh-CN"/>
        </w:rPr>
        <w:t>2</w:t>
      </w:r>
      <w:r w:rsidRPr="00940F62">
        <w:rPr>
          <w:rFonts w:eastAsia="SimSun"/>
          <w:szCs w:val="24"/>
          <w:lang w:val="en-GB" w:eastAsia="zh-CN"/>
        </w:rPr>
        <w:t xml:space="preserve"> combination or codebook index, chosen from section 5.2.2.2.1 of TS 38.214 [12].</w:t>
      </w:r>
    </w:p>
    <w:p w14:paraId="74D7B16B" w14:textId="77777777" w:rsidR="00940F62" w:rsidRPr="00940F62" w:rsidRDefault="00940F62" w:rsidP="00940F62">
      <w:pPr>
        <w:ind w:left="270"/>
        <w:rPr>
          <w:rFonts w:eastAsia="SimSun"/>
          <w:szCs w:val="24"/>
          <w:lang w:val="en-GB" w:eastAsia="zh-CN"/>
        </w:rPr>
      </w:pPr>
      <w:r w:rsidRPr="00940F62">
        <w:rPr>
          <w:rFonts w:eastAsia="SimSun"/>
          <w:szCs w:val="24"/>
          <w:lang w:val="en-GB" w:eastAsia="zh-CN"/>
        </w:rPr>
        <w:t>For number of Tx&gt;2 and Rank=1 or 2, Set “</w:t>
      </w:r>
      <w:proofErr w:type="spellStart"/>
      <w:r w:rsidRPr="00940F62">
        <w:rPr>
          <w:rFonts w:eastAsia="SimSun"/>
          <w:szCs w:val="24"/>
          <w:lang w:val="en-GB" w:eastAsia="zh-CN"/>
        </w:rPr>
        <w:t>codebookMode</w:t>
      </w:r>
      <w:proofErr w:type="spellEnd"/>
      <w:r w:rsidRPr="00940F62">
        <w:rPr>
          <w:rFonts w:eastAsia="SimSun"/>
          <w:szCs w:val="24"/>
          <w:lang w:val="en-GB" w:eastAsia="zh-CN"/>
        </w:rPr>
        <w:t>” to 1 as defined in section 5.2.2.2.1 of TS 38.214 [12]</w:t>
      </w:r>
    </w:p>
    <w:p w14:paraId="11BE5DDE" w14:textId="77777777" w:rsidR="00940F62" w:rsidRPr="00940F62" w:rsidRDefault="00940F62" w:rsidP="00940F62">
      <w:pPr>
        <w:ind w:left="270"/>
        <w:rPr>
          <w:rFonts w:eastAsia="SimSun"/>
          <w:szCs w:val="24"/>
          <w:lang w:val="en-GB" w:eastAsia="zh-CN"/>
        </w:rPr>
      </w:pPr>
    </w:p>
    <w:p w14:paraId="4F23DB33" w14:textId="77777777" w:rsidR="00940F62" w:rsidRPr="00940F62" w:rsidRDefault="00940F62" w:rsidP="00940F62">
      <w:pPr>
        <w:ind w:left="270"/>
        <w:rPr>
          <w:rFonts w:eastAsia="SimSun"/>
          <w:szCs w:val="24"/>
          <w:lang w:val="en-GB" w:eastAsia="zh-CN"/>
        </w:rPr>
      </w:pPr>
      <w:r w:rsidRPr="00940F62">
        <w:rPr>
          <w:rFonts w:eastAsia="SimSun"/>
          <w:szCs w:val="24"/>
          <w:lang w:val="en-GB" w:eastAsia="zh-CN"/>
        </w:rPr>
        <w:t>RAN4 to use wideband PMI for Type 1 Fixed PMI cases</w:t>
      </w:r>
    </w:p>
    <w:p w14:paraId="7FE96DBC" w14:textId="0311F761" w:rsidR="00B36DBE" w:rsidRDefault="00B36DBE" w:rsidP="00B36DBE"/>
    <w:p w14:paraId="476250E4" w14:textId="4544EA9D" w:rsidR="00B36DBE" w:rsidRDefault="00026296" w:rsidP="00B36DBE">
      <w:r>
        <w:t>We prefer to use the same test setup/ parameters for alignment and comparison to avoid duplication of work if possible. We don’t see the necessity to use fixed PMI</w:t>
      </w:r>
      <w:r w:rsidR="00B36DBE">
        <w:t xml:space="preserve"> for comparison purposes either. The exercise of fixing PMI is very cumbersome and requires a 2 step-process. We think it is okay to live with the limitation that maximum TP might not be achieved with random PMI with 8RX 8-layers. We aren’t defining requirements here and this is a study.</w:t>
      </w:r>
    </w:p>
    <w:p w14:paraId="77096CDB" w14:textId="73BAF7B4" w:rsidR="00026296" w:rsidRDefault="00940F62" w:rsidP="00E40FCF">
      <w:r>
        <w:t xml:space="preserve">For PMI test case, we have agreed to use wideband PMI for Type I at least for alignment. When it comes to comparison between </w:t>
      </w:r>
      <w:proofErr w:type="spellStart"/>
      <w:r>
        <w:t>eType</w:t>
      </w:r>
      <w:proofErr w:type="spellEnd"/>
      <w:r>
        <w:t xml:space="preserve"> II and Type I performance, there might be an issue raised that we are comparing SB (</w:t>
      </w:r>
      <w:proofErr w:type="spellStart"/>
      <w:r>
        <w:t>eType</w:t>
      </w:r>
      <w:proofErr w:type="spellEnd"/>
      <w:r>
        <w:t xml:space="preserve"> II) to WB (Type I) </w:t>
      </w:r>
      <w:r w:rsidR="00F704F4">
        <w:t>performance,</w:t>
      </w:r>
      <w:r>
        <w:t xml:space="preserve"> and we might need to use a different assumption for comparison. Since we have already agreed to use WB </w:t>
      </w:r>
      <w:proofErr w:type="spellStart"/>
      <w:r>
        <w:t>precodgin</w:t>
      </w:r>
      <w:proofErr w:type="spellEnd"/>
      <w:r>
        <w:t xml:space="preserve"> granularity for Type I codebook for SU-PMI, we propose to agree to use the same for comparison as well. </w:t>
      </w:r>
    </w:p>
    <w:p w14:paraId="17075D6A" w14:textId="77777777" w:rsidR="00C34B5F" w:rsidRDefault="00C34B5F" w:rsidP="00E40FCF"/>
    <w:p w14:paraId="3C46FBD5" w14:textId="76991CBB" w:rsidR="00C34B5F" w:rsidRDefault="00B36DBE" w:rsidP="00C34B5F">
      <w:pPr>
        <w:pStyle w:val="ListParagraph"/>
        <w:numPr>
          <w:ilvl w:val="0"/>
          <w:numId w:val="9"/>
        </w:numPr>
        <w:rPr>
          <w:b w:val="0"/>
          <w:bCs w:val="0"/>
          <w:i/>
          <w:iCs/>
        </w:rPr>
      </w:pPr>
      <w:r>
        <w:rPr>
          <w:b w:val="0"/>
          <w:bCs w:val="0"/>
          <w:i/>
          <w:iCs/>
        </w:rPr>
        <w:t>Same test parameters/ set up should be used for alignment and comparison to avoid duplication of work</w:t>
      </w:r>
      <w:r w:rsidR="00C34B5F" w:rsidRPr="007C4864">
        <w:rPr>
          <w:b w:val="0"/>
          <w:bCs w:val="0"/>
          <w:i/>
          <w:iCs/>
        </w:rPr>
        <w:t xml:space="preserve">. </w:t>
      </w:r>
    </w:p>
    <w:p w14:paraId="5900E7BC" w14:textId="0FB5B93B" w:rsidR="00C34B5F" w:rsidRDefault="00C34B5F" w:rsidP="00C34B5F">
      <w:pPr>
        <w:pStyle w:val="ListParagraph"/>
        <w:numPr>
          <w:ilvl w:val="0"/>
          <w:numId w:val="9"/>
        </w:numPr>
        <w:rPr>
          <w:b w:val="0"/>
          <w:bCs w:val="0"/>
          <w:i/>
          <w:iCs/>
        </w:rPr>
      </w:pPr>
      <w:r>
        <w:rPr>
          <w:b w:val="0"/>
          <w:bCs w:val="0"/>
          <w:i/>
          <w:iCs/>
        </w:rPr>
        <w:t xml:space="preserve">It is very cumbersome to fix PMI </w:t>
      </w:r>
      <w:r w:rsidR="002B62E1">
        <w:rPr>
          <w:b w:val="0"/>
          <w:bCs w:val="0"/>
          <w:i/>
          <w:iCs/>
        </w:rPr>
        <w:t xml:space="preserve">for PDSCH test cases </w:t>
      </w:r>
      <w:r>
        <w:rPr>
          <w:b w:val="0"/>
          <w:bCs w:val="0"/>
          <w:i/>
          <w:iCs/>
        </w:rPr>
        <w:t>and requires a 2-step process</w:t>
      </w:r>
    </w:p>
    <w:p w14:paraId="3701200C" w14:textId="0FD75ED6" w:rsidR="00C34B5F" w:rsidRPr="007C4864" w:rsidRDefault="00C34B5F" w:rsidP="00C34B5F">
      <w:pPr>
        <w:pStyle w:val="ListParagraph"/>
        <w:numPr>
          <w:ilvl w:val="0"/>
          <w:numId w:val="9"/>
        </w:numPr>
        <w:rPr>
          <w:b w:val="0"/>
          <w:bCs w:val="0"/>
          <w:i/>
          <w:iCs/>
        </w:rPr>
      </w:pPr>
      <w:r>
        <w:rPr>
          <w:b w:val="0"/>
          <w:bCs w:val="0"/>
          <w:i/>
          <w:iCs/>
        </w:rPr>
        <w:t>For the study, it should be okay if max TP is not achieved with random PMI since requirements are not being defined here.</w:t>
      </w:r>
    </w:p>
    <w:p w14:paraId="0A37EE74" w14:textId="76F68BE4" w:rsidR="00C34B5F" w:rsidRPr="00EF5DC3" w:rsidRDefault="00C34B5F" w:rsidP="00C34B5F">
      <w:pPr>
        <w:pStyle w:val="ListParagraph"/>
      </w:pPr>
      <w:r>
        <w:t>Only</w:t>
      </w:r>
      <w:r w:rsidR="000906F6">
        <w:t xml:space="preserve"> </w:t>
      </w:r>
      <w:r w:rsidR="00B36DBE">
        <w:t>use</w:t>
      </w:r>
      <w:r w:rsidR="000906F6">
        <w:t xml:space="preserve"> random PMI for PDSCH test cases with 4RX and 8RX</w:t>
      </w:r>
      <w:r w:rsidR="00B36DBE">
        <w:t xml:space="preserve"> for alignment and comparison</w:t>
      </w:r>
      <w:r w:rsidRPr="00EF5DC3">
        <w:t xml:space="preserve">. </w:t>
      </w:r>
    </w:p>
    <w:p w14:paraId="179C61E3" w14:textId="049FDF86" w:rsidR="002B62E1" w:rsidRPr="007C4864" w:rsidRDefault="002B62E1" w:rsidP="002B62E1">
      <w:pPr>
        <w:pStyle w:val="ListParagraph"/>
        <w:numPr>
          <w:ilvl w:val="0"/>
          <w:numId w:val="9"/>
        </w:numPr>
        <w:rPr>
          <w:b w:val="0"/>
          <w:bCs w:val="0"/>
          <w:i/>
          <w:iCs/>
        </w:rPr>
      </w:pPr>
      <w:r>
        <w:rPr>
          <w:b w:val="0"/>
          <w:bCs w:val="0"/>
          <w:i/>
          <w:iCs/>
        </w:rPr>
        <w:t xml:space="preserve">We have agreed to use WB PMI for SU-PMI test cases with Type I CB at least for alignment, while </w:t>
      </w:r>
      <w:proofErr w:type="spellStart"/>
      <w:r>
        <w:rPr>
          <w:b w:val="0"/>
          <w:bCs w:val="0"/>
          <w:i/>
          <w:iCs/>
        </w:rPr>
        <w:t>eType</w:t>
      </w:r>
      <w:proofErr w:type="spellEnd"/>
      <w:r>
        <w:rPr>
          <w:b w:val="0"/>
          <w:bCs w:val="0"/>
          <w:i/>
          <w:iCs/>
        </w:rPr>
        <w:t xml:space="preserve"> II is always SB granularity.</w:t>
      </w:r>
    </w:p>
    <w:p w14:paraId="6DE6B0A8" w14:textId="63220ACA" w:rsidR="002B62E1" w:rsidRPr="00EF5DC3" w:rsidRDefault="002B62E1" w:rsidP="002B62E1">
      <w:pPr>
        <w:pStyle w:val="ListParagraph"/>
      </w:pPr>
      <w:r>
        <w:t>Use WB recoding granularity for Type I even for comparison, even though not an equivalent comparison</w:t>
      </w:r>
      <w:r w:rsidRPr="00EF5DC3">
        <w:t xml:space="preserve">. </w:t>
      </w:r>
    </w:p>
    <w:p w14:paraId="3E768AC2" w14:textId="77777777" w:rsidR="00C34B5F" w:rsidRDefault="00C34B5F" w:rsidP="00E40FCF"/>
    <w:p w14:paraId="66C56639" w14:textId="77777777" w:rsidR="004A7671" w:rsidRDefault="004A7671" w:rsidP="00E40FCF"/>
    <w:p w14:paraId="0ABA2F11" w14:textId="77777777" w:rsidR="005169BD" w:rsidRPr="00EF5DC3" w:rsidRDefault="005169BD" w:rsidP="005169BD">
      <w:pPr>
        <w:pStyle w:val="Heading2"/>
        <w:rPr>
          <w:lang w:val="en-US"/>
        </w:rPr>
      </w:pPr>
      <w:r w:rsidRPr="00EF5DC3">
        <w:rPr>
          <w:lang w:val="en-US"/>
        </w:rPr>
        <w:t>CDL based methodologies</w:t>
      </w:r>
    </w:p>
    <w:p w14:paraId="23AC59EC" w14:textId="77777777" w:rsidR="005169BD" w:rsidRDefault="005169BD" w:rsidP="005169BD">
      <w:pPr>
        <w:spacing w:after="180"/>
        <w:rPr>
          <w:rFonts w:eastAsia="SimSun"/>
          <w:b/>
          <w:u w:val="single"/>
          <w:lang w:eastAsia="ko-KR"/>
        </w:rPr>
      </w:pPr>
    </w:p>
    <w:p w14:paraId="5104B062" w14:textId="0A466A51" w:rsidR="002B62E1" w:rsidRDefault="00DD5EE9" w:rsidP="005169BD">
      <w:pPr>
        <w:spacing w:after="180"/>
        <w:rPr>
          <w:rFonts w:eastAsia="SimSun"/>
          <w:bCs/>
          <w:lang w:eastAsia="ko-KR"/>
        </w:rPr>
      </w:pPr>
      <w:r w:rsidRPr="00DD5EE9">
        <w:rPr>
          <w:rFonts w:eastAsia="SimSun"/>
          <w:bCs/>
          <w:lang w:eastAsia="ko-KR"/>
        </w:rPr>
        <w:t>In RAN4#114bis it was agreed to use a truncated CDL channel model ‘A4’ for alignment</w:t>
      </w:r>
      <w:r>
        <w:rPr>
          <w:rFonts w:eastAsia="SimSun"/>
          <w:bCs/>
          <w:lang w:eastAsia="ko-KR"/>
        </w:rPr>
        <w:t xml:space="preserve">. </w:t>
      </w:r>
    </w:p>
    <w:p w14:paraId="1E7742D4" w14:textId="77777777" w:rsidR="00E32910" w:rsidRPr="00E32910" w:rsidRDefault="00E32910" w:rsidP="00E32910">
      <w:pPr>
        <w:ind w:left="360"/>
        <w:rPr>
          <w:rFonts w:eastAsia="SimSun"/>
          <w:b/>
          <w:bCs/>
          <w:u w:val="single"/>
          <w:lang w:val="en-GB" w:eastAsia="ko-KR"/>
        </w:rPr>
      </w:pPr>
      <w:r w:rsidRPr="00E32910">
        <w:rPr>
          <w:rFonts w:eastAsia="SimSun"/>
          <w:b/>
          <w:bCs/>
          <w:u w:val="single"/>
          <w:lang w:val="en-GB" w:eastAsia="ko-KR"/>
        </w:rPr>
        <w:t>CDL Table Truncation</w:t>
      </w:r>
    </w:p>
    <w:p w14:paraId="604B9016" w14:textId="77777777" w:rsidR="00E32910" w:rsidRPr="00E32910" w:rsidRDefault="00E32910" w:rsidP="00E32910">
      <w:pPr>
        <w:spacing w:after="180"/>
        <w:ind w:left="360"/>
        <w:rPr>
          <w:rFonts w:eastAsia="SimSun"/>
          <w:b/>
          <w:bCs/>
          <w:szCs w:val="24"/>
          <w:lang w:val="en-GB" w:eastAsia="zh-CN"/>
        </w:rPr>
      </w:pPr>
      <w:r w:rsidRPr="00E32910">
        <w:rPr>
          <w:rFonts w:eastAsia="SimSun"/>
          <w:b/>
          <w:bCs/>
          <w:szCs w:val="24"/>
          <w:lang w:val="en-GB" w:eastAsia="zh-CN"/>
        </w:rPr>
        <w:t>Way Forward</w:t>
      </w:r>
    </w:p>
    <w:p w14:paraId="4DE38A5C" w14:textId="77777777" w:rsidR="00E32910" w:rsidRPr="00E32910" w:rsidRDefault="00E32910" w:rsidP="00E32910">
      <w:pPr>
        <w:spacing w:after="180"/>
        <w:ind w:left="360"/>
        <w:rPr>
          <w:rFonts w:eastAsia="SimSun"/>
          <w:szCs w:val="24"/>
          <w:lang w:val="en-GB" w:eastAsia="zh-CN"/>
        </w:rPr>
      </w:pPr>
      <w:r w:rsidRPr="00E32910">
        <w:rPr>
          <w:rFonts w:eastAsia="SimSun"/>
          <w:szCs w:val="24"/>
          <w:lang w:val="en-GB" w:eastAsia="zh-CN"/>
        </w:rPr>
        <w:t>As a starting point, a single CDL Table taken forward to include truncation and cluster combining (details included in Annex A). The number of clusters used will be 12.</w:t>
      </w:r>
    </w:p>
    <w:p w14:paraId="2D3FDA9E" w14:textId="77777777" w:rsidR="00E32910" w:rsidRPr="00E32910" w:rsidRDefault="00E32910" w:rsidP="00E32910">
      <w:pPr>
        <w:spacing w:after="180"/>
        <w:ind w:left="360"/>
        <w:rPr>
          <w:rFonts w:eastAsia="SimSun"/>
          <w:lang w:val="en-GB" w:eastAsia="ja-JP"/>
        </w:rPr>
      </w:pPr>
      <w:r w:rsidRPr="00E32910">
        <w:rPr>
          <w:rFonts w:eastAsia="SimSun"/>
          <w:szCs w:val="24"/>
          <w:lang w:val="en-GB" w:eastAsia="zh-CN"/>
        </w:rPr>
        <w:t>This will be assessed during RAN4#115 if it can support 8 layers; and if a untruncated option is required.</w:t>
      </w:r>
    </w:p>
    <w:p w14:paraId="05B2A828" w14:textId="77777777" w:rsidR="00E32910" w:rsidRPr="00E32910" w:rsidRDefault="00E32910" w:rsidP="00E32910">
      <w:pPr>
        <w:spacing w:after="180"/>
        <w:ind w:left="360"/>
        <w:rPr>
          <w:rFonts w:eastAsia="SimSun"/>
          <w:lang w:val="en-GB" w:eastAsia="ja-JP"/>
        </w:rPr>
      </w:pPr>
    </w:p>
    <w:p w14:paraId="31E9C852" w14:textId="77777777" w:rsidR="00E32910" w:rsidRPr="00E32910" w:rsidRDefault="00E32910" w:rsidP="00E32910">
      <w:pPr>
        <w:ind w:left="360"/>
        <w:rPr>
          <w:rFonts w:eastAsia="SimSun"/>
          <w:b/>
          <w:bCs/>
          <w:u w:val="single"/>
          <w:lang w:val="en-GB" w:eastAsia="ko-KR"/>
        </w:rPr>
      </w:pPr>
      <w:r w:rsidRPr="00E32910">
        <w:rPr>
          <w:rFonts w:eastAsia="SimSun"/>
          <w:b/>
          <w:bCs/>
          <w:u w:val="single"/>
          <w:lang w:val="en-GB" w:eastAsia="ko-KR"/>
        </w:rPr>
        <w:t>Truncated CDL Model</w:t>
      </w:r>
    </w:p>
    <w:p w14:paraId="70B6B7B2" w14:textId="77777777" w:rsidR="00E32910" w:rsidRPr="00E32910" w:rsidRDefault="00E32910" w:rsidP="00E32910">
      <w:pPr>
        <w:spacing w:after="180"/>
        <w:ind w:left="360"/>
        <w:rPr>
          <w:rFonts w:eastAsia="SimSun"/>
          <w:b/>
          <w:bCs/>
          <w:szCs w:val="24"/>
          <w:lang w:val="en-GB" w:eastAsia="zh-CN"/>
        </w:rPr>
      </w:pPr>
      <w:r w:rsidRPr="00E32910">
        <w:rPr>
          <w:rFonts w:eastAsia="SimSun"/>
          <w:b/>
          <w:bCs/>
          <w:szCs w:val="24"/>
          <w:lang w:val="en-GB" w:eastAsia="zh-CN"/>
        </w:rPr>
        <w:t>Agreement</w:t>
      </w:r>
    </w:p>
    <w:p w14:paraId="2CB21390" w14:textId="77777777" w:rsidR="00E32910" w:rsidRPr="00E32910" w:rsidRDefault="00E32910" w:rsidP="00E32910">
      <w:pPr>
        <w:spacing w:after="180"/>
        <w:ind w:left="360"/>
        <w:rPr>
          <w:rFonts w:eastAsia="SimSun"/>
          <w:szCs w:val="24"/>
          <w:lang w:val="en-GB" w:eastAsia="zh-CN"/>
        </w:rPr>
      </w:pPr>
      <w:r w:rsidRPr="00E32910">
        <w:rPr>
          <w:rFonts w:eastAsia="SimSun"/>
          <w:szCs w:val="24"/>
          <w:lang w:val="en-GB" w:eastAsia="zh-CN"/>
        </w:rPr>
        <w:t xml:space="preserve">The configuration table of the truncated CDL model (commonly referred to as ‘A4’) is derived by the procedure detailed in Annex A, and includes truncation, as well as, </w:t>
      </w:r>
      <w:bookmarkStart w:id="2" w:name="_Hlk195174582"/>
      <w:r w:rsidRPr="00E32910">
        <w:rPr>
          <w:rFonts w:eastAsia="SimSun"/>
          <w:szCs w:val="24"/>
          <w:lang w:val="en-GB" w:eastAsia="zh-CN"/>
        </w:rPr>
        <w:t>combining of clusters with equal angular profiles under the earliest delay</w:t>
      </w:r>
      <w:bookmarkEnd w:id="2"/>
      <w:r w:rsidRPr="00E32910">
        <w:rPr>
          <w:rFonts w:eastAsia="SimSun"/>
          <w:szCs w:val="24"/>
          <w:lang w:val="en-GB" w:eastAsia="zh-CN"/>
        </w:rPr>
        <w:t>. The configuration is based on 38.901 CDL link level tables after delay and angle scaling.</w:t>
      </w:r>
    </w:p>
    <w:p w14:paraId="46A5445E" w14:textId="77777777" w:rsidR="00E32910" w:rsidRPr="00E32910" w:rsidRDefault="00E32910" w:rsidP="00E32910">
      <w:pPr>
        <w:spacing w:after="180"/>
        <w:ind w:left="360"/>
        <w:rPr>
          <w:rFonts w:eastAsia="SimSun"/>
          <w:lang w:val="en-GB" w:eastAsia="ja-JP"/>
        </w:rPr>
      </w:pPr>
      <w:r w:rsidRPr="00E32910">
        <w:rPr>
          <w:rFonts w:eastAsia="SimSun"/>
          <w:szCs w:val="24"/>
          <w:lang w:val="en-GB" w:eastAsia="zh-CN"/>
        </w:rPr>
        <w:t>The implementation of the truncated CDL model treats all clusters the same, and uses 20 rays per cluster (i.e., no ray splitting or sub-clustering is applied)</w:t>
      </w:r>
    </w:p>
    <w:p w14:paraId="4D3CA7CF" w14:textId="77777777" w:rsidR="00E32910" w:rsidRPr="00E32910" w:rsidRDefault="00E32910" w:rsidP="00E32910">
      <w:pPr>
        <w:ind w:left="360"/>
        <w:jc w:val="both"/>
        <w:rPr>
          <w:rFonts w:eastAsia="MS Mincho"/>
          <w:i/>
          <w:iCs/>
          <w:sz w:val="22"/>
          <w:szCs w:val="24"/>
          <w:lang w:val="x-none" w:eastAsia="ja-JP"/>
        </w:rPr>
      </w:pPr>
      <w:r w:rsidRPr="00E32910">
        <w:rPr>
          <w:rFonts w:eastAsia="MS Mincho"/>
          <w:i/>
          <w:iCs/>
          <w:sz w:val="22"/>
          <w:szCs w:val="24"/>
          <w:lang w:val="x-none" w:eastAsia="ja-JP"/>
        </w:rPr>
        <w:t>Note: Companies welcome to bring results for both truncated and untruncated results.</w:t>
      </w:r>
    </w:p>
    <w:p w14:paraId="3691DDDB" w14:textId="77777777" w:rsidR="00E32910" w:rsidRDefault="00E32910" w:rsidP="005169BD">
      <w:pPr>
        <w:spacing w:after="180"/>
        <w:rPr>
          <w:rFonts w:eastAsia="SimSun"/>
          <w:bCs/>
          <w:lang w:eastAsia="ko-KR"/>
        </w:rPr>
      </w:pPr>
    </w:p>
    <w:p w14:paraId="52E37001" w14:textId="2FC8A99D" w:rsidR="00E32910" w:rsidRPr="00DD5EE9" w:rsidRDefault="00E32910" w:rsidP="005169BD">
      <w:pPr>
        <w:spacing w:after="180"/>
        <w:rPr>
          <w:rFonts w:eastAsia="SimSun"/>
          <w:bCs/>
          <w:lang w:eastAsia="ko-KR"/>
        </w:rPr>
      </w:pPr>
      <w:r>
        <w:rPr>
          <w:rFonts w:eastAsia="SimSun"/>
          <w:bCs/>
          <w:lang w:eastAsia="ko-KR"/>
        </w:rPr>
        <w:t xml:space="preserve">During post RAN4#114bis email discussion the truncated channel models were discussed. We have one truncated channel model for </w:t>
      </w:r>
      <w:proofErr w:type="gramStart"/>
      <w:r>
        <w:rPr>
          <w:rFonts w:eastAsia="SimSun"/>
          <w:bCs/>
          <w:lang w:eastAsia="ko-KR"/>
        </w:rPr>
        <w:t>AAV(</w:t>
      </w:r>
      <w:proofErr w:type="gramEnd"/>
      <w:r>
        <w:rPr>
          <w:rFonts w:eastAsia="SimSun"/>
          <w:bCs/>
          <w:lang w:eastAsia="ko-KR"/>
        </w:rPr>
        <w:t xml:space="preserve">1,1)/AAV3 and one for </w:t>
      </w:r>
      <w:proofErr w:type="gramStart"/>
      <w:r>
        <w:rPr>
          <w:rFonts w:eastAsia="SimSun"/>
          <w:bCs/>
          <w:lang w:eastAsia="ko-KR"/>
        </w:rPr>
        <w:t>AAV(</w:t>
      </w:r>
      <w:proofErr w:type="gramEnd"/>
      <w:r>
        <w:rPr>
          <w:rFonts w:eastAsia="SimSun"/>
          <w:bCs/>
          <w:lang w:eastAsia="ko-KR"/>
        </w:rPr>
        <w:t xml:space="preserve">8,1)/AAV1Y. </w:t>
      </w:r>
      <w:r w:rsidR="00507F88">
        <w:rPr>
          <w:rFonts w:eastAsia="SimSun"/>
          <w:bCs/>
          <w:lang w:eastAsia="ko-KR"/>
        </w:rPr>
        <w:t>T</w:t>
      </w:r>
      <w:r w:rsidR="00507F88">
        <w:t xml:space="preserve">he assumptions of antenna radiation pattern, AAV, BS down tilt need to be made for the truncation. Hence the truncated channel model is only applicable for that scenario. It is fine for the purpose of this study, but it would not be a channel model that can be used with any configuration. Also, the angular scaling was done with the assumption of </w:t>
      </w:r>
      <w:proofErr w:type="spellStart"/>
      <w:r w:rsidR="00507F88">
        <w:t>UMa</w:t>
      </w:r>
      <w:proofErr w:type="spellEnd"/>
      <w:r w:rsidR="00507F88">
        <w:t xml:space="preserve"> scenario. With the truncation, </w:t>
      </w:r>
      <w:r w:rsidR="00B72F3C">
        <w:t xml:space="preserve">it is worth pointing out that </w:t>
      </w:r>
      <w:r w:rsidR="00507F88">
        <w:t xml:space="preserve">the </w:t>
      </w:r>
      <w:r w:rsidR="00B72F3C">
        <w:t xml:space="preserve">angular spreads are no longer the same as the desired value used for </w:t>
      </w:r>
      <w:proofErr w:type="spellStart"/>
      <w:r w:rsidR="00B72F3C">
        <w:t>UMa</w:t>
      </w:r>
      <w:proofErr w:type="spellEnd"/>
      <w:r w:rsidR="00B72F3C">
        <w:t xml:space="preserve"> scenario. </w:t>
      </w:r>
    </w:p>
    <w:p w14:paraId="7C43B6E4" w14:textId="2C0FEAE4" w:rsidR="00902FAB" w:rsidRPr="00902FAB" w:rsidRDefault="00902FAB" w:rsidP="00902FAB">
      <w:pPr>
        <w:pStyle w:val="ListParagraph"/>
        <w:numPr>
          <w:ilvl w:val="0"/>
          <w:numId w:val="9"/>
        </w:numPr>
      </w:pPr>
      <w:r>
        <w:rPr>
          <w:b w:val="0"/>
          <w:bCs w:val="0"/>
          <w:i/>
          <w:iCs/>
        </w:rPr>
        <w:t>The truncated channel model is only applicable to the configuration assumed for truncation -</w:t>
      </w:r>
      <w:r w:rsidRPr="00902FAB">
        <w:rPr>
          <w:rFonts w:eastAsia="Times New Roman" w:cs="Times New Roman"/>
          <w:b w:val="0"/>
          <w:bCs w:val="0"/>
          <w:lang w:eastAsia="en-US"/>
        </w:rPr>
        <w:t xml:space="preserve"> </w:t>
      </w:r>
      <w:r w:rsidRPr="00902FAB">
        <w:rPr>
          <w:b w:val="0"/>
          <w:bCs w:val="0"/>
          <w:i/>
          <w:iCs/>
        </w:rPr>
        <w:t>antenna radiation pattern, AAV, BS down tilt</w:t>
      </w:r>
      <w:r>
        <w:rPr>
          <w:b w:val="0"/>
          <w:bCs w:val="0"/>
          <w:i/>
          <w:iCs/>
        </w:rPr>
        <w:t xml:space="preserve"> and needs to be re-derived based on the scenario/ configuration</w:t>
      </w:r>
    </w:p>
    <w:p w14:paraId="60F7639D" w14:textId="4B29CC42" w:rsidR="00902FAB" w:rsidRPr="00EF5DC3" w:rsidRDefault="00902FAB" w:rsidP="00902FAB">
      <w:pPr>
        <w:pStyle w:val="ListParagraph"/>
        <w:numPr>
          <w:ilvl w:val="0"/>
          <w:numId w:val="9"/>
        </w:numPr>
      </w:pPr>
      <w:r>
        <w:rPr>
          <w:b w:val="0"/>
          <w:bCs w:val="0"/>
          <w:i/>
          <w:iCs/>
        </w:rPr>
        <w:t xml:space="preserve">The mean angle spreads are not the same as the desired angle spread used for </w:t>
      </w:r>
      <w:proofErr w:type="spellStart"/>
      <w:r>
        <w:rPr>
          <w:b w:val="0"/>
          <w:bCs w:val="0"/>
          <w:i/>
          <w:iCs/>
        </w:rPr>
        <w:t>UMa</w:t>
      </w:r>
      <w:proofErr w:type="spellEnd"/>
      <w:r>
        <w:rPr>
          <w:b w:val="0"/>
          <w:bCs w:val="0"/>
          <w:i/>
          <w:iCs/>
        </w:rPr>
        <w:t xml:space="preserve"> scenario.</w:t>
      </w:r>
    </w:p>
    <w:p w14:paraId="03B879CB" w14:textId="77777777" w:rsidR="00231D38" w:rsidRDefault="00231D38" w:rsidP="00E40FCF"/>
    <w:p w14:paraId="6898F9B0" w14:textId="4E6E4058" w:rsidR="00902FAB" w:rsidRDefault="00902FAB" w:rsidP="00E40FCF">
      <w:r>
        <w:t xml:space="preserve">For truncated channel model after the angle and delay scaling, the delays need to be quantized to </w:t>
      </w:r>
      <w:r w:rsidR="00B37F25">
        <w:t>the delay resolution (2ns for FR1)</w:t>
      </w:r>
      <w:r>
        <w:t xml:space="preserve"> and the angles need to be rounded to 1 decimal point. We propose to round the angles to 1 </w:t>
      </w:r>
      <w:r w:rsidR="00B37F25">
        <w:t>decimal.</w:t>
      </w:r>
    </w:p>
    <w:p w14:paraId="0E735196" w14:textId="6DC377C7" w:rsidR="00B37F25" w:rsidRPr="00EF5DC3" w:rsidRDefault="00B37F25" w:rsidP="00B37F25">
      <w:pPr>
        <w:pStyle w:val="ListParagraph"/>
      </w:pPr>
      <w:r>
        <w:t>In the final CDL table, round the angles to 1 decimal point</w:t>
      </w:r>
      <w:r w:rsidRPr="00EF5DC3">
        <w:t xml:space="preserve">. </w:t>
      </w:r>
    </w:p>
    <w:p w14:paraId="553419C6" w14:textId="77777777" w:rsidR="00F57EA1" w:rsidRDefault="00B37F25" w:rsidP="00E40FCF">
      <w:r>
        <w:t xml:space="preserve">In case the truncated channel model A4 is not suitable for the study, we propose to use 20 cluster model </w:t>
      </w:r>
      <w:proofErr w:type="gramStart"/>
      <w:r>
        <w:t>variant</w:t>
      </w:r>
      <w:proofErr w:type="gramEnd"/>
      <w:r>
        <w:t xml:space="preserve"> of A2, where the clusters that are derived from strong clusters are combined and each cluster gets 20 rays. </w:t>
      </w:r>
    </w:p>
    <w:p w14:paraId="2837C3D8" w14:textId="25297B6F" w:rsidR="00B37F25" w:rsidRDefault="00F57EA1" w:rsidP="00E40FCF">
      <w:r>
        <w:t>We provide the channel models A2-20 and A4 below.</w:t>
      </w:r>
    </w:p>
    <w:p w14:paraId="237E0437" w14:textId="3A90847D" w:rsidR="00F57EA1" w:rsidRDefault="00F57EA1" w:rsidP="00F57EA1">
      <w:pPr>
        <w:pStyle w:val="Caption"/>
        <w:keepNext/>
        <w:jc w:val="center"/>
      </w:pPr>
      <w:r>
        <w:lastRenderedPageBreak/>
        <w:t xml:space="preserve">Table </w:t>
      </w:r>
      <w:fldSimple w:instr=" SEQ Table \* ARABIC ">
        <w:r>
          <w:rPr>
            <w:noProof/>
          </w:rPr>
          <w:t>1</w:t>
        </w:r>
      </w:fldSimple>
      <w:r>
        <w:t xml:space="preserve">: </w:t>
      </w:r>
      <w:proofErr w:type="spellStart"/>
      <w:r>
        <w:t>UMa</w:t>
      </w:r>
      <w:proofErr w:type="spellEnd"/>
      <w:r>
        <w:t>-CDL-C A2-20 Channel model table</w:t>
      </w:r>
    </w:p>
    <w:tbl>
      <w:tblPr>
        <w:tblW w:w="9100" w:type="dxa"/>
        <w:tblLook w:val="04A0" w:firstRow="1" w:lastRow="0" w:firstColumn="1" w:lastColumn="0" w:noHBand="0" w:noVBand="1"/>
      </w:tblPr>
      <w:tblGrid>
        <w:gridCol w:w="1300"/>
        <w:gridCol w:w="1300"/>
        <w:gridCol w:w="1300"/>
        <w:gridCol w:w="1300"/>
        <w:gridCol w:w="1300"/>
        <w:gridCol w:w="1300"/>
        <w:gridCol w:w="1300"/>
      </w:tblGrid>
      <w:tr w:rsidR="00F57EA1" w:rsidRPr="00F57EA1" w14:paraId="2AFBAC62" w14:textId="77777777" w:rsidTr="00F57EA1">
        <w:trPr>
          <w:trHeight w:val="600"/>
        </w:trPr>
        <w:tc>
          <w:tcPr>
            <w:tcW w:w="1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36E39B8"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Cluster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6A921C3"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180E81D"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79559C2A"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6454EC38"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8F70F04"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907CACC"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ZOA in [°]</w:t>
            </w:r>
          </w:p>
        </w:tc>
      </w:tr>
      <w:tr w:rsidR="00F57EA1" w:rsidRPr="00F57EA1" w14:paraId="50152CD2"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410EEE4" w14:textId="77777777" w:rsidR="00F57EA1" w:rsidRPr="00F57EA1" w:rsidRDefault="00F57EA1" w:rsidP="00F57EA1">
            <w:pPr>
              <w:spacing w:after="0"/>
              <w:jc w:val="center"/>
              <w:rPr>
                <w:rFonts w:ascii="Aptos" w:hAnsi="Aptos"/>
                <w:color w:val="000000"/>
              </w:rPr>
            </w:pPr>
            <w:r w:rsidRPr="00F57EA1">
              <w:rPr>
                <w:rFonts w:ascii="Aptos" w:hAnsi="Aptos"/>
                <w:color w:val="000000"/>
              </w:rPr>
              <w:t>1</w:t>
            </w:r>
          </w:p>
        </w:tc>
        <w:tc>
          <w:tcPr>
            <w:tcW w:w="1300" w:type="dxa"/>
            <w:tcBorders>
              <w:top w:val="nil"/>
              <w:left w:val="nil"/>
              <w:bottom w:val="single" w:sz="4" w:space="0" w:color="auto"/>
              <w:right w:val="single" w:sz="4" w:space="0" w:color="auto"/>
            </w:tcBorders>
            <w:shd w:val="clear" w:color="auto" w:fill="auto"/>
            <w:vAlign w:val="center"/>
            <w:hideMark/>
          </w:tcPr>
          <w:p w14:paraId="68A958A6" w14:textId="77777777" w:rsidR="00F57EA1" w:rsidRPr="00F57EA1" w:rsidRDefault="00F57EA1" w:rsidP="00F57EA1">
            <w:pPr>
              <w:spacing w:after="0"/>
              <w:jc w:val="center"/>
              <w:rPr>
                <w:rFonts w:ascii="Aptos" w:hAnsi="Aptos"/>
                <w:color w:val="000000"/>
              </w:rPr>
            </w:pPr>
            <w:r w:rsidRPr="00F57EA1">
              <w:rPr>
                <w:rFonts w:ascii="Aptos" w:hAnsi="Aptos"/>
                <w:color w:val="000000"/>
              </w:rPr>
              <w:t>0</w:t>
            </w:r>
          </w:p>
        </w:tc>
        <w:tc>
          <w:tcPr>
            <w:tcW w:w="1300" w:type="dxa"/>
            <w:tcBorders>
              <w:top w:val="nil"/>
              <w:left w:val="nil"/>
              <w:bottom w:val="single" w:sz="4" w:space="0" w:color="auto"/>
              <w:right w:val="single" w:sz="4" w:space="0" w:color="auto"/>
            </w:tcBorders>
            <w:shd w:val="clear" w:color="auto" w:fill="auto"/>
            <w:vAlign w:val="center"/>
            <w:hideMark/>
          </w:tcPr>
          <w:p w14:paraId="43BABE82" w14:textId="77777777" w:rsidR="00F57EA1" w:rsidRPr="00F57EA1" w:rsidRDefault="00F57EA1" w:rsidP="00F57EA1">
            <w:pPr>
              <w:spacing w:after="0"/>
              <w:jc w:val="center"/>
              <w:rPr>
                <w:rFonts w:ascii="Aptos" w:hAnsi="Aptos"/>
                <w:color w:val="000000"/>
              </w:rPr>
            </w:pPr>
            <w:r w:rsidRPr="00F57EA1">
              <w:rPr>
                <w:rFonts w:ascii="Aptos" w:hAnsi="Aptos"/>
                <w:color w:val="000000"/>
              </w:rPr>
              <w:t>-7.4</w:t>
            </w:r>
          </w:p>
        </w:tc>
        <w:tc>
          <w:tcPr>
            <w:tcW w:w="1300" w:type="dxa"/>
            <w:tcBorders>
              <w:top w:val="nil"/>
              <w:left w:val="nil"/>
              <w:bottom w:val="single" w:sz="4" w:space="0" w:color="auto"/>
              <w:right w:val="single" w:sz="4" w:space="0" w:color="auto"/>
            </w:tcBorders>
            <w:shd w:val="clear" w:color="auto" w:fill="auto"/>
            <w:noWrap/>
            <w:vAlign w:val="bottom"/>
            <w:hideMark/>
          </w:tcPr>
          <w:p w14:paraId="6E2B51C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-38.2</w:t>
            </w:r>
          </w:p>
        </w:tc>
        <w:tc>
          <w:tcPr>
            <w:tcW w:w="1300" w:type="dxa"/>
            <w:tcBorders>
              <w:top w:val="nil"/>
              <w:left w:val="nil"/>
              <w:bottom w:val="single" w:sz="4" w:space="0" w:color="auto"/>
              <w:right w:val="single" w:sz="4" w:space="0" w:color="auto"/>
            </w:tcBorders>
            <w:shd w:val="clear" w:color="auto" w:fill="auto"/>
            <w:noWrap/>
            <w:vAlign w:val="bottom"/>
            <w:hideMark/>
          </w:tcPr>
          <w:p w14:paraId="0EECFCE3"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-96.9</w:t>
            </w:r>
          </w:p>
        </w:tc>
        <w:tc>
          <w:tcPr>
            <w:tcW w:w="1300" w:type="dxa"/>
            <w:tcBorders>
              <w:top w:val="nil"/>
              <w:left w:val="nil"/>
              <w:bottom w:val="single" w:sz="4" w:space="0" w:color="auto"/>
              <w:right w:val="single" w:sz="4" w:space="0" w:color="auto"/>
            </w:tcBorders>
            <w:shd w:val="clear" w:color="auto" w:fill="auto"/>
            <w:noWrap/>
            <w:vAlign w:val="bottom"/>
            <w:hideMark/>
          </w:tcPr>
          <w:p w14:paraId="34AE4FC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96.8</w:t>
            </w:r>
          </w:p>
        </w:tc>
        <w:tc>
          <w:tcPr>
            <w:tcW w:w="1300" w:type="dxa"/>
            <w:tcBorders>
              <w:top w:val="nil"/>
              <w:left w:val="nil"/>
              <w:bottom w:val="single" w:sz="4" w:space="0" w:color="auto"/>
              <w:right w:val="single" w:sz="4" w:space="0" w:color="auto"/>
            </w:tcBorders>
            <w:shd w:val="clear" w:color="auto" w:fill="auto"/>
            <w:noWrap/>
            <w:vAlign w:val="bottom"/>
            <w:hideMark/>
          </w:tcPr>
          <w:p w14:paraId="1E3771C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98.1</w:t>
            </w:r>
          </w:p>
        </w:tc>
      </w:tr>
      <w:tr w:rsidR="00F57EA1" w:rsidRPr="00F57EA1" w14:paraId="3263DAA8"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7655758" w14:textId="77777777" w:rsidR="00F57EA1" w:rsidRPr="00F57EA1" w:rsidRDefault="00F57EA1" w:rsidP="00F57EA1">
            <w:pPr>
              <w:spacing w:after="0"/>
              <w:jc w:val="center"/>
              <w:rPr>
                <w:rFonts w:ascii="Aptos" w:hAnsi="Aptos"/>
                <w:color w:val="000000"/>
              </w:rPr>
            </w:pPr>
            <w:r w:rsidRPr="00F57EA1">
              <w:rPr>
                <w:rFonts w:ascii="Aptos" w:hAnsi="Aptos"/>
                <w:color w:val="000000"/>
              </w:rPr>
              <w:t>2</w:t>
            </w:r>
          </w:p>
        </w:tc>
        <w:tc>
          <w:tcPr>
            <w:tcW w:w="1300" w:type="dxa"/>
            <w:tcBorders>
              <w:top w:val="nil"/>
              <w:left w:val="nil"/>
              <w:bottom w:val="single" w:sz="4" w:space="0" w:color="auto"/>
              <w:right w:val="single" w:sz="4" w:space="0" w:color="auto"/>
            </w:tcBorders>
            <w:shd w:val="clear" w:color="auto" w:fill="auto"/>
            <w:vAlign w:val="center"/>
            <w:hideMark/>
          </w:tcPr>
          <w:p w14:paraId="65D4A9C0" w14:textId="77777777" w:rsidR="00F57EA1" w:rsidRPr="00F57EA1" w:rsidRDefault="00F57EA1" w:rsidP="00F57EA1">
            <w:pPr>
              <w:spacing w:after="0"/>
              <w:jc w:val="center"/>
              <w:rPr>
                <w:rFonts w:ascii="Aptos" w:hAnsi="Aptos"/>
                <w:color w:val="000000"/>
              </w:rPr>
            </w:pPr>
            <w:r w:rsidRPr="00F57EA1">
              <w:rPr>
                <w:rFonts w:ascii="Aptos" w:hAnsi="Aptos"/>
                <w:color w:val="000000"/>
              </w:rPr>
              <w:t>76</w:t>
            </w:r>
          </w:p>
        </w:tc>
        <w:tc>
          <w:tcPr>
            <w:tcW w:w="1300" w:type="dxa"/>
            <w:tcBorders>
              <w:top w:val="nil"/>
              <w:left w:val="nil"/>
              <w:bottom w:val="single" w:sz="4" w:space="0" w:color="auto"/>
              <w:right w:val="single" w:sz="4" w:space="0" w:color="auto"/>
            </w:tcBorders>
            <w:shd w:val="clear" w:color="auto" w:fill="auto"/>
            <w:vAlign w:val="center"/>
            <w:hideMark/>
          </w:tcPr>
          <w:p w14:paraId="2A812256" w14:textId="77777777" w:rsidR="00F57EA1" w:rsidRPr="00F57EA1" w:rsidRDefault="00F57EA1" w:rsidP="00F57EA1">
            <w:pPr>
              <w:spacing w:after="0"/>
              <w:jc w:val="center"/>
              <w:rPr>
                <w:rFonts w:ascii="Aptos" w:hAnsi="Aptos"/>
                <w:color w:val="000000"/>
              </w:rPr>
            </w:pPr>
            <w:r w:rsidRPr="00F57EA1">
              <w:rPr>
                <w:rFonts w:ascii="Aptos" w:hAnsi="Aptos"/>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70F133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-21.8</w:t>
            </w:r>
          </w:p>
        </w:tc>
        <w:tc>
          <w:tcPr>
            <w:tcW w:w="1300" w:type="dxa"/>
            <w:tcBorders>
              <w:top w:val="nil"/>
              <w:left w:val="nil"/>
              <w:bottom w:val="single" w:sz="4" w:space="0" w:color="auto"/>
              <w:right w:val="single" w:sz="4" w:space="0" w:color="auto"/>
            </w:tcBorders>
            <w:shd w:val="clear" w:color="auto" w:fill="auto"/>
            <w:noWrap/>
            <w:vAlign w:val="bottom"/>
            <w:hideMark/>
          </w:tcPr>
          <w:p w14:paraId="585FD90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118.9</w:t>
            </w:r>
          </w:p>
        </w:tc>
        <w:tc>
          <w:tcPr>
            <w:tcW w:w="1300" w:type="dxa"/>
            <w:tcBorders>
              <w:top w:val="nil"/>
              <w:left w:val="nil"/>
              <w:bottom w:val="single" w:sz="4" w:space="0" w:color="auto"/>
              <w:right w:val="single" w:sz="4" w:space="0" w:color="auto"/>
            </w:tcBorders>
            <w:shd w:val="clear" w:color="auto" w:fill="auto"/>
            <w:noWrap/>
            <w:vAlign w:val="bottom"/>
            <w:hideMark/>
          </w:tcPr>
          <w:p w14:paraId="7015AB0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98.5</w:t>
            </w:r>
          </w:p>
        </w:tc>
        <w:tc>
          <w:tcPr>
            <w:tcW w:w="1300" w:type="dxa"/>
            <w:tcBorders>
              <w:top w:val="nil"/>
              <w:left w:val="nil"/>
              <w:bottom w:val="single" w:sz="4" w:space="0" w:color="auto"/>
              <w:right w:val="single" w:sz="4" w:space="0" w:color="auto"/>
            </w:tcBorders>
            <w:shd w:val="clear" w:color="auto" w:fill="auto"/>
            <w:noWrap/>
            <w:vAlign w:val="bottom"/>
            <w:hideMark/>
          </w:tcPr>
          <w:p w14:paraId="0A4FCC7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71.1</w:t>
            </w:r>
          </w:p>
        </w:tc>
      </w:tr>
      <w:tr w:rsidR="00F57EA1" w:rsidRPr="00F57EA1" w14:paraId="64E160B1"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BC82850" w14:textId="77777777" w:rsidR="00F57EA1" w:rsidRPr="00F57EA1" w:rsidRDefault="00F57EA1" w:rsidP="00F57EA1">
            <w:pPr>
              <w:spacing w:after="0"/>
              <w:jc w:val="center"/>
              <w:rPr>
                <w:rFonts w:ascii="Aptos" w:hAnsi="Aptos"/>
                <w:color w:val="000000"/>
              </w:rPr>
            </w:pPr>
            <w:r w:rsidRPr="00F57EA1">
              <w:rPr>
                <w:rFonts w:ascii="Aptos" w:hAnsi="Aptos"/>
                <w:color w:val="000000"/>
              </w:rPr>
              <w:t>3</w:t>
            </w:r>
          </w:p>
        </w:tc>
        <w:tc>
          <w:tcPr>
            <w:tcW w:w="1300" w:type="dxa"/>
            <w:tcBorders>
              <w:top w:val="nil"/>
              <w:left w:val="nil"/>
              <w:bottom w:val="single" w:sz="4" w:space="0" w:color="auto"/>
              <w:right w:val="single" w:sz="4" w:space="0" w:color="auto"/>
            </w:tcBorders>
            <w:shd w:val="clear" w:color="auto" w:fill="auto"/>
            <w:vAlign w:val="center"/>
            <w:hideMark/>
          </w:tcPr>
          <w:p w14:paraId="08BF5145" w14:textId="77777777" w:rsidR="00F57EA1" w:rsidRPr="00F57EA1" w:rsidRDefault="00F57EA1" w:rsidP="00F57EA1">
            <w:pPr>
              <w:spacing w:after="0"/>
              <w:jc w:val="center"/>
              <w:rPr>
                <w:rFonts w:ascii="Aptos" w:hAnsi="Aptos"/>
                <w:color w:val="000000"/>
              </w:rPr>
            </w:pPr>
            <w:r w:rsidRPr="00F57EA1">
              <w:rPr>
                <w:rFonts w:ascii="Aptos" w:hAnsi="Aptos"/>
                <w:color w:val="000000"/>
              </w:rPr>
              <w:t>80</w:t>
            </w:r>
          </w:p>
        </w:tc>
        <w:tc>
          <w:tcPr>
            <w:tcW w:w="1300" w:type="dxa"/>
            <w:tcBorders>
              <w:top w:val="nil"/>
              <w:left w:val="nil"/>
              <w:bottom w:val="single" w:sz="4" w:space="0" w:color="auto"/>
              <w:right w:val="single" w:sz="4" w:space="0" w:color="auto"/>
            </w:tcBorders>
            <w:shd w:val="clear" w:color="auto" w:fill="auto"/>
            <w:vAlign w:val="center"/>
            <w:hideMark/>
          </w:tcPr>
          <w:p w14:paraId="2E9D6D21" w14:textId="77777777" w:rsidR="00F57EA1" w:rsidRPr="00F57EA1" w:rsidRDefault="00F57EA1" w:rsidP="00F57EA1">
            <w:pPr>
              <w:spacing w:after="0"/>
              <w:jc w:val="center"/>
              <w:rPr>
                <w:rFonts w:ascii="Aptos" w:hAnsi="Aptos"/>
                <w:color w:val="000000"/>
              </w:rPr>
            </w:pPr>
            <w:r w:rsidRPr="00F57EA1">
              <w:rPr>
                <w:rFonts w:ascii="Aptos" w:hAnsi="Aptos"/>
                <w:color w:val="000000"/>
              </w:rPr>
              <w:t>-5.5</w:t>
            </w:r>
          </w:p>
        </w:tc>
        <w:tc>
          <w:tcPr>
            <w:tcW w:w="1300" w:type="dxa"/>
            <w:tcBorders>
              <w:top w:val="nil"/>
              <w:left w:val="nil"/>
              <w:bottom w:val="single" w:sz="4" w:space="0" w:color="auto"/>
              <w:right w:val="single" w:sz="4" w:space="0" w:color="auto"/>
            </w:tcBorders>
            <w:shd w:val="clear" w:color="auto" w:fill="auto"/>
            <w:noWrap/>
            <w:vAlign w:val="bottom"/>
            <w:hideMark/>
          </w:tcPr>
          <w:p w14:paraId="6870532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-34.2</w:t>
            </w:r>
          </w:p>
        </w:tc>
        <w:tc>
          <w:tcPr>
            <w:tcW w:w="1300" w:type="dxa"/>
            <w:tcBorders>
              <w:top w:val="nil"/>
              <w:left w:val="nil"/>
              <w:bottom w:val="single" w:sz="4" w:space="0" w:color="auto"/>
              <w:right w:val="single" w:sz="4" w:space="0" w:color="auto"/>
            </w:tcBorders>
            <w:shd w:val="clear" w:color="auto" w:fill="auto"/>
            <w:noWrap/>
            <w:vAlign w:val="bottom"/>
            <w:hideMark/>
          </w:tcPr>
          <w:p w14:paraId="3832893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-124.4</w:t>
            </w:r>
          </w:p>
        </w:tc>
        <w:tc>
          <w:tcPr>
            <w:tcW w:w="1300" w:type="dxa"/>
            <w:tcBorders>
              <w:top w:val="nil"/>
              <w:left w:val="nil"/>
              <w:bottom w:val="single" w:sz="4" w:space="0" w:color="auto"/>
              <w:right w:val="single" w:sz="4" w:space="0" w:color="auto"/>
            </w:tcBorders>
            <w:shd w:val="clear" w:color="auto" w:fill="auto"/>
            <w:noWrap/>
            <w:vAlign w:val="bottom"/>
            <w:hideMark/>
          </w:tcPr>
          <w:p w14:paraId="05C69D2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100.9</w:t>
            </w:r>
          </w:p>
        </w:tc>
        <w:tc>
          <w:tcPr>
            <w:tcW w:w="1300" w:type="dxa"/>
            <w:tcBorders>
              <w:top w:val="nil"/>
              <w:left w:val="nil"/>
              <w:bottom w:val="single" w:sz="4" w:space="0" w:color="auto"/>
              <w:right w:val="single" w:sz="4" w:space="0" w:color="auto"/>
            </w:tcBorders>
            <w:shd w:val="clear" w:color="auto" w:fill="auto"/>
            <w:noWrap/>
            <w:vAlign w:val="bottom"/>
            <w:hideMark/>
          </w:tcPr>
          <w:p w14:paraId="2F86E3E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67.6</w:t>
            </w:r>
          </w:p>
        </w:tc>
      </w:tr>
      <w:tr w:rsidR="00F57EA1" w:rsidRPr="00F57EA1" w14:paraId="1101C2C1"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5474F5A" w14:textId="77777777" w:rsidR="00F57EA1" w:rsidRPr="00F57EA1" w:rsidRDefault="00F57EA1" w:rsidP="00F57EA1">
            <w:pPr>
              <w:spacing w:after="0"/>
              <w:jc w:val="center"/>
              <w:rPr>
                <w:rFonts w:ascii="Aptos" w:hAnsi="Aptos"/>
                <w:color w:val="000000"/>
              </w:rPr>
            </w:pPr>
            <w:r w:rsidRPr="00F57EA1">
              <w:rPr>
                <w:rFonts w:ascii="Aptos" w:hAnsi="Aptos"/>
                <w:color w:val="000000"/>
              </w:rPr>
              <w:t>4</w:t>
            </w:r>
          </w:p>
        </w:tc>
        <w:tc>
          <w:tcPr>
            <w:tcW w:w="1300" w:type="dxa"/>
            <w:tcBorders>
              <w:top w:val="nil"/>
              <w:left w:val="nil"/>
              <w:bottom w:val="single" w:sz="4" w:space="0" w:color="auto"/>
              <w:right w:val="single" w:sz="4" w:space="0" w:color="auto"/>
            </w:tcBorders>
            <w:shd w:val="clear" w:color="auto" w:fill="auto"/>
            <w:vAlign w:val="center"/>
            <w:hideMark/>
          </w:tcPr>
          <w:p w14:paraId="0BBBFC80" w14:textId="77777777" w:rsidR="00F57EA1" w:rsidRPr="00F57EA1" w:rsidRDefault="00F57EA1" w:rsidP="00F57EA1">
            <w:pPr>
              <w:spacing w:after="0"/>
              <w:jc w:val="center"/>
              <w:rPr>
                <w:rFonts w:ascii="Aptos" w:hAnsi="Aptos"/>
                <w:color w:val="000000"/>
              </w:rPr>
            </w:pPr>
            <w:r w:rsidRPr="00F57EA1">
              <w:rPr>
                <w:rFonts w:ascii="Aptos" w:hAnsi="Aptos"/>
                <w:color w:val="000000"/>
              </w:rPr>
              <w:t>232</w:t>
            </w:r>
          </w:p>
        </w:tc>
        <w:tc>
          <w:tcPr>
            <w:tcW w:w="1300" w:type="dxa"/>
            <w:tcBorders>
              <w:top w:val="nil"/>
              <w:left w:val="nil"/>
              <w:bottom w:val="single" w:sz="4" w:space="0" w:color="auto"/>
              <w:right w:val="single" w:sz="4" w:space="0" w:color="auto"/>
            </w:tcBorders>
            <w:shd w:val="clear" w:color="auto" w:fill="auto"/>
            <w:vAlign w:val="center"/>
            <w:hideMark/>
          </w:tcPr>
          <w:p w14:paraId="45D274F2" w14:textId="77777777" w:rsidR="00F57EA1" w:rsidRPr="00F57EA1" w:rsidRDefault="00F57EA1" w:rsidP="00F57EA1">
            <w:pPr>
              <w:spacing w:after="0"/>
              <w:jc w:val="center"/>
              <w:rPr>
                <w:rFonts w:ascii="Aptos" w:hAnsi="Aptos"/>
                <w:color w:val="000000"/>
              </w:rPr>
            </w:pPr>
            <w:r w:rsidRPr="00F57EA1">
              <w:rPr>
                <w:rFonts w:ascii="Aptos" w:hAnsi="Aptos"/>
                <w:color w:val="000000"/>
              </w:rPr>
              <w:t>0.0</w:t>
            </w:r>
          </w:p>
        </w:tc>
        <w:tc>
          <w:tcPr>
            <w:tcW w:w="1300" w:type="dxa"/>
            <w:tcBorders>
              <w:top w:val="nil"/>
              <w:left w:val="nil"/>
              <w:bottom w:val="single" w:sz="4" w:space="0" w:color="auto"/>
              <w:right w:val="single" w:sz="4" w:space="0" w:color="auto"/>
            </w:tcBorders>
            <w:shd w:val="clear" w:color="auto" w:fill="auto"/>
            <w:noWrap/>
            <w:vAlign w:val="bottom"/>
            <w:hideMark/>
          </w:tcPr>
          <w:p w14:paraId="35DD357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-5.9</w:t>
            </w:r>
          </w:p>
        </w:tc>
        <w:tc>
          <w:tcPr>
            <w:tcW w:w="1300" w:type="dxa"/>
            <w:tcBorders>
              <w:top w:val="nil"/>
              <w:left w:val="nil"/>
              <w:bottom w:val="single" w:sz="4" w:space="0" w:color="auto"/>
              <w:right w:val="single" w:sz="4" w:space="0" w:color="auto"/>
            </w:tcBorders>
            <w:shd w:val="clear" w:color="auto" w:fill="auto"/>
            <w:noWrap/>
            <w:vAlign w:val="bottom"/>
            <w:hideMark/>
          </w:tcPr>
          <w:p w14:paraId="0258F00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171.2</w:t>
            </w:r>
          </w:p>
        </w:tc>
        <w:tc>
          <w:tcPr>
            <w:tcW w:w="1300" w:type="dxa"/>
            <w:tcBorders>
              <w:top w:val="nil"/>
              <w:left w:val="nil"/>
              <w:bottom w:val="single" w:sz="4" w:space="0" w:color="auto"/>
              <w:right w:val="single" w:sz="4" w:space="0" w:color="auto"/>
            </w:tcBorders>
            <w:shd w:val="clear" w:color="auto" w:fill="auto"/>
            <w:noWrap/>
            <w:vAlign w:val="bottom"/>
            <w:hideMark/>
          </w:tcPr>
          <w:p w14:paraId="28FBD45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99.2</w:t>
            </w:r>
          </w:p>
        </w:tc>
        <w:tc>
          <w:tcPr>
            <w:tcW w:w="1300" w:type="dxa"/>
            <w:tcBorders>
              <w:top w:val="nil"/>
              <w:left w:val="nil"/>
              <w:bottom w:val="single" w:sz="4" w:space="0" w:color="auto"/>
              <w:right w:val="single" w:sz="4" w:space="0" w:color="auto"/>
            </w:tcBorders>
            <w:shd w:val="clear" w:color="auto" w:fill="auto"/>
            <w:noWrap/>
            <w:vAlign w:val="bottom"/>
            <w:hideMark/>
          </w:tcPr>
          <w:p w14:paraId="600DEB1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76.6</w:t>
            </w:r>
          </w:p>
        </w:tc>
      </w:tr>
      <w:tr w:rsidR="00F57EA1" w:rsidRPr="00F57EA1" w14:paraId="5433BEA4"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B992C53" w14:textId="77777777" w:rsidR="00F57EA1" w:rsidRPr="00F57EA1" w:rsidRDefault="00F57EA1" w:rsidP="00F57EA1">
            <w:pPr>
              <w:spacing w:after="0"/>
              <w:jc w:val="center"/>
              <w:rPr>
                <w:rFonts w:ascii="Aptos" w:hAnsi="Aptos"/>
                <w:color w:val="000000"/>
              </w:rPr>
            </w:pPr>
            <w:r w:rsidRPr="00F57EA1">
              <w:rPr>
                <w:rFonts w:ascii="Aptos" w:hAnsi="Aptos"/>
                <w:color w:val="000000"/>
              </w:rPr>
              <w:t>5</w:t>
            </w:r>
          </w:p>
        </w:tc>
        <w:tc>
          <w:tcPr>
            <w:tcW w:w="1300" w:type="dxa"/>
            <w:tcBorders>
              <w:top w:val="nil"/>
              <w:left w:val="nil"/>
              <w:bottom w:val="single" w:sz="4" w:space="0" w:color="auto"/>
              <w:right w:val="single" w:sz="4" w:space="0" w:color="auto"/>
            </w:tcBorders>
            <w:shd w:val="clear" w:color="auto" w:fill="auto"/>
            <w:vAlign w:val="center"/>
            <w:hideMark/>
          </w:tcPr>
          <w:p w14:paraId="0E462733" w14:textId="77777777" w:rsidR="00F57EA1" w:rsidRPr="00F57EA1" w:rsidRDefault="00F57EA1" w:rsidP="00F57EA1">
            <w:pPr>
              <w:spacing w:after="0"/>
              <w:jc w:val="center"/>
              <w:rPr>
                <w:rFonts w:ascii="Aptos" w:hAnsi="Aptos"/>
                <w:color w:val="000000"/>
              </w:rPr>
            </w:pPr>
            <w:r w:rsidRPr="00F57EA1">
              <w:rPr>
                <w:rFonts w:ascii="Aptos" w:hAnsi="Aptos"/>
                <w:color w:val="000000"/>
              </w:rPr>
              <w:t>240</w:t>
            </w:r>
          </w:p>
        </w:tc>
        <w:tc>
          <w:tcPr>
            <w:tcW w:w="1300" w:type="dxa"/>
            <w:tcBorders>
              <w:top w:val="nil"/>
              <w:left w:val="nil"/>
              <w:bottom w:val="single" w:sz="4" w:space="0" w:color="auto"/>
              <w:right w:val="single" w:sz="4" w:space="0" w:color="auto"/>
            </w:tcBorders>
            <w:shd w:val="clear" w:color="auto" w:fill="auto"/>
            <w:vAlign w:val="center"/>
            <w:hideMark/>
          </w:tcPr>
          <w:p w14:paraId="345A8819" w14:textId="77777777" w:rsidR="00F57EA1" w:rsidRPr="00F57EA1" w:rsidRDefault="00F57EA1" w:rsidP="00F57EA1">
            <w:pPr>
              <w:spacing w:after="0"/>
              <w:jc w:val="center"/>
              <w:rPr>
                <w:rFonts w:ascii="Aptos" w:hAnsi="Aptos"/>
                <w:color w:val="000000"/>
              </w:rPr>
            </w:pPr>
            <w:r w:rsidRPr="00F57EA1">
              <w:rPr>
                <w:rFonts w:ascii="Aptos" w:hAnsi="Aptos"/>
                <w:color w:val="000000"/>
              </w:rPr>
              <w:t>-10.4</w:t>
            </w:r>
          </w:p>
        </w:tc>
        <w:tc>
          <w:tcPr>
            <w:tcW w:w="1300" w:type="dxa"/>
            <w:tcBorders>
              <w:top w:val="nil"/>
              <w:left w:val="nil"/>
              <w:bottom w:val="single" w:sz="4" w:space="0" w:color="auto"/>
              <w:right w:val="single" w:sz="4" w:space="0" w:color="auto"/>
            </w:tcBorders>
            <w:shd w:val="clear" w:color="auto" w:fill="auto"/>
            <w:noWrap/>
            <w:vAlign w:val="bottom"/>
            <w:hideMark/>
          </w:tcPr>
          <w:p w14:paraId="1024063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5110463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51.9</w:t>
            </w:r>
          </w:p>
        </w:tc>
        <w:tc>
          <w:tcPr>
            <w:tcW w:w="1300" w:type="dxa"/>
            <w:tcBorders>
              <w:top w:val="nil"/>
              <w:left w:val="nil"/>
              <w:bottom w:val="single" w:sz="4" w:space="0" w:color="auto"/>
              <w:right w:val="single" w:sz="4" w:space="0" w:color="auto"/>
            </w:tcBorders>
            <w:shd w:val="clear" w:color="auto" w:fill="auto"/>
            <w:noWrap/>
            <w:vAlign w:val="bottom"/>
            <w:hideMark/>
          </w:tcPr>
          <w:p w14:paraId="7862E06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106.4</w:t>
            </w:r>
          </w:p>
        </w:tc>
        <w:tc>
          <w:tcPr>
            <w:tcW w:w="1300" w:type="dxa"/>
            <w:tcBorders>
              <w:top w:val="nil"/>
              <w:left w:val="nil"/>
              <w:bottom w:val="single" w:sz="4" w:space="0" w:color="auto"/>
              <w:right w:val="single" w:sz="4" w:space="0" w:color="auto"/>
            </w:tcBorders>
            <w:shd w:val="clear" w:color="auto" w:fill="auto"/>
            <w:noWrap/>
            <w:vAlign w:val="bottom"/>
            <w:hideMark/>
          </w:tcPr>
          <w:p w14:paraId="0447DE9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62.8</w:t>
            </w:r>
          </w:p>
        </w:tc>
      </w:tr>
      <w:tr w:rsidR="00F57EA1" w:rsidRPr="00F57EA1" w14:paraId="0EA1A211"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0258DB7" w14:textId="77777777" w:rsidR="00F57EA1" w:rsidRPr="00F57EA1" w:rsidRDefault="00F57EA1" w:rsidP="00F57EA1">
            <w:pPr>
              <w:spacing w:after="0"/>
              <w:jc w:val="center"/>
              <w:rPr>
                <w:rFonts w:ascii="Aptos" w:hAnsi="Aptos"/>
                <w:color w:val="000000"/>
              </w:rPr>
            </w:pPr>
            <w:r w:rsidRPr="00F57EA1">
              <w:rPr>
                <w:rFonts w:ascii="Aptos" w:hAnsi="Aptos"/>
                <w:color w:val="000000"/>
              </w:rPr>
              <w:t>6</w:t>
            </w:r>
          </w:p>
        </w:tc>
        <w:tc>
          <w:tcPr>
            <w:tcW w:w="1300" w:type="dxa"/>
            <w:tcBorders>
              <w:top w:val="nil"/>
              <w:left w:val="nil"/>
              <w:bottom w:val="single" w:sz="4" w:space="0" w:color="auto"/>
              <w:right w:val="single" w:sz="4" w:space="0" w:color="auto"/>
            </w:tcBorders>
            <w:shd w:val="clear" w:color="auto" w:fill="auto"/>
            <w:vAlign w:val="center"/>
            <w:hideMark/>
          </w:tcPr>
          <w:p w14:paraId="1BBA9427" w14:textId="77777777" w:rsidR="00F57EA1" w:rsidRPr="00F57EA1" w:rsidRDefault="00F57EA1" w:rsidP="00F57EA1">
            <w:pPr>
              <w:spacing w:after="0"/>
              <w:jc w:val="center"/>
              <w:rPr>
                <w:rFonts w:ascii="Aptos" w:hAnsi="Aptos"/>
                <w:color w:val="000000"/>
              </w:rPr>
            </w:pPr>
            <w:r w:rsidRPr="00F57EA1">
              <w:rPr>
                <w:rFonts w:ascii="Aptos" w:hAnsi="Aptos"/>
                <w:color w:val="000000"/>
              </w:rPr>
              <w:t>290</w:t>
            </w:r>
          </w:p>
        </w:tc>
        <w:tc>
          <w:tcPr>
            <w:tcW w:w="1300" w:type="dxa"/>
            <w:tcBorders>
              <w:top w:val="nil"/>
              <w:left w:val="nil"/>
              <w:bottom w:val="single" w:sz="4" w:space="0" w:color="auto"/>
              <w:right w:val="single" w:sz="4" w:space="0" w:color="auto"/>
            </w:tcBorders>
            <w:shd w:val="clear" w:color="auto" w:fill="auto"/>
            <w:vAlign w:val="center"/>
            <w:hideMark/>
          </w:tcPr>
          <w:p w14:paraId="5FD25A82" w14:textId="77777777" w:rsidR="00F57EA1" w:rsidRPr="00F57EA1" w:rsidRDefault="00F57EA1" w:rsidP="00F57EA1">
            <w:pPr>
              <w:spacing w:after="0"/>
              <w:jc w:val="center"/>
              <w:rPr>
                <w:rFonts w:ascii="Aptos" w:hAnsi="Aptos"/>
                <w:color w:val="000000"/>
              </w:rPr>
            </w:pPr>
            <w:r w:rsidRPr="00F57EA1">
              <w:rPr>
                <w:rFonts w:ascii="Aptos" w:hAnsi="Aptos"/>
                <w:color w:val="000000"/>
              </w:rPr>
              <w:t>-10.1</w:t>
            </w:r>
          </w:p>
        </w:tc>
        <w:tc>
          <w:tcPr>
            <w:tcW w:w="1300" w:type="dxa"/>
            <w:tcBorders>
              <w:top w:val="nil"/>
              <w:left w:val="nil"/>
              <w:bottom w:val="single" w:sz="4" w:space="0" w:color="auto"/>
              <w:right w:val="single" w:sz="4" w:space="0" w:color="auto"/>
            </w:tcBorders>
            <w:shd w:val="clear" w:color="auto" w:fill="auto"/>
            <w:noWrap/>
            <w:vAlign w:val="bottom"/>
            <w:hideMark/>
          </w:tcPr>
          <w:p w14:paraId="23E70BD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-50.6</w:t>
            </w:r>
          </w:p>
        </w:tc>
        <w:tc>
          <w:tcPr>
            <w:tcW w:w="1300" w:type="dxa"/>
            <w:tcBorders>
              <w:top w:val="nil"/>
              <w:left w:val="nil"/>
              <w:bottom w:val="single" w:sz="4" w:space="0" w:color="auto"/>
              <w:right w:val="single" w:sz="4" w:space="0" w:color="auto"/>
            </w:tcBorders>
            <w:shd w:val="clear" w:color="auto" w:fill="auto"/>
            <w:noWrap/>
            <w:vAlign w:val="bottom"/>
            <w:hideMark/>
          </w:tcPr>
          <w:p w14:paraId="71BEE091"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42BA1F3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94.5</w:t>
            </w:r>
          </w:p>
        </w:tc>
        <w:tc>
          <w:tcPr>
            <w:tcW w:w="1300" w:type="dxa"/>
            <w:tcBorders>
              <w:top w:val="nil"/>
              <w:left w:val="nil"/>
              <w:bottom w:val="single" w:sz="4" w:space="0" w:color="auto"/>
              <w:right w:val="single" w:sz="4" w:space="0" w:color="auto"/>
            </w:tcBorders>
            <w:shd w:val="clear" w:color="auto" w:fill="auto"/>
            <w:noWrap/>
            <w:vAlign w:val="bottom"/>
            <w:hideMark/>
          </w:tcPr>
          <w:p w14:paraId="794CB3F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56.6</w:t>
            </w:r>
          </w:p>
        </w:tc>
      </w:tr>
      <w:tr w:rsidR="00F57EA1" w:rsidRPr="00F57EA1" w14:paraId="3491DAF4"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9D31FA5" w14:textId="77777777" w:rsidR="00F57EA1" w:rsidRPr="00F57EA1" w:rsidRDefault="00F57EA1" w:rsidP="00F57EA1">
            <w:pPr>
              <w:spacing w:after="0"/>
              <w:jc w:val="center"/>
              <w:rPr>
                <w:rFonts w:ascii="Aptos" w:hAnsi="Aptos"/>
                <w:color w:val="000000"/>
              </w:rPr>
            </w:pPr>
            <w:r w:rsidRPr="00F57EA1">
              <w:rPr>
                <w:rFonts w:ascii="Aptos" w:hAnsi="Aptos"/>
                <w:color w:val="000000"/>
              </w:rPr>
              <w:t>7</w:t>
            </w:r>
          </w:p>
        </w:tc>
        <w:tc>
          <w:tcPr>
            <w:tcW w:w="1300" w:type="dxa"/>
            <w:tcBorders>
              <w:top w:val="nil"/>
              <w:left w:val="nil"/>
              <w:bottom w:val="single" w:sz="4" w:space="0" w:color="auto"/>
              <w:right w:val="single" w:sz="4" w:space="0" w:color="auto"/>
            </w:tcBorders>
            <w:shd w:val="clear" w:color="auto" w:fill="auto"/>
            <w:vAlign w:val="center"/>
            <w:hideMark/>
          </w:tcPr>
          <w:p w14:paraId="6371E2FE" w14:textId="77777777" w:rsidR="00F57EA1" w:rsidRPr="00F57EA1" w:rsidRDefault="00F57EA1" w:rsidP="00F57EA1">
            <w:pPr>
              <w:spacing w:after="0"/>
              <w:jc w:val="center"/>
              <w:rPr>
                <w:rFonts w:ascii="Aptos" w:hAnsi="Aptos"/>
                <w:color w:val="000000"/>
              </w:rPr>
            </w:pPr>
            <w:r w:rsidRPr="00F57EA1">
              <w:rPr>
                <w:rFonts w:ascii="Aptos" w:hAnsi="Aptos"/>
                <w:color w:val="000000"/>
              </w:rPr>
              <w:t>300</w:t>
            </w:r>
          </w:p>
        </w:tc>
        <w:tc>
          <w:tcPr>
            <w:tcW w:w="1300" w:type="dxa"/>
            <w:tcBorders>
              <w:top w:val="nil"/>
              <w:left w:val="nil"/>
              <w:bottom w:val="single" w:sz="4" w:space="0" w:color="auto"/>
              <w:right w:val="single" w:sz="4" w:space="0" w:color="auto"/>
            </w:tcBorders>
            <w:shd w:val="clear" w:color="auto" w:fill="auto"/>
            <w:vAlign w:val="center"/>
            <w:hideMark/>
          </w:tcPr>
          <w:p w14:paraId="231E1340" w14:textId="77777777" w:rsidR="00F57EA1" w:rsidRPr="00F57EA1" w:rsidRDefault="00F57EA1" w:rsidP="00F57EA1">
            <w:pPr>
              <w:spacing w:after="0"/>
              <w:jc w:val="center"/>
              <w:rPr>
                <w:rFonts w:ascii="Aptos" w:hAnsi="Aptos"/>
                <w:color w:val="000000"/>
              </w:rPr>
            </w:pPr>
            <w:r w:rsidRPr="00F57EA1">
              <w:rPr>
                <w:rFonts w:ascii="Aptos" w:hAnsi="Aptos"/>
                <w:color w:val="000000"/>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53D54415"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49.1</w:t>
            </w:r>
          </w:p>
        </w:tc>
        <w:tc>
          <w:tcPr>
            <w:tcW w:w="1300" w:type="dxa"/>
            <w:tcBorders>
              <w:top w:val="nil"/>
              <w:left w:val="nil"/>
              <w:bottom w:val="single" w:sz="4" w:space="0" w:color="auto"/>
              <w:right w:val="single" w:sz="4" w:space="0" w:color="auto"/>
            </w:tcBorders>
            <w:shd w:val="clear" w:color="auto" w:fill="auto"/>
            <w:noWrap/>
            <w:vAlign w:val="bottom"/>
            <w:hideMark/>
          </w:tcPr>
          <w:p w14:paraId="37A1BE8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-42.1</w:t>
            </w:r>
          </w:p>
        </w:tc>
        <w:tc>
          <w:tcPr>
            <w:tcW w:w="1300" w:type="dxa"/>
            <w:tcBorders>
              <w:top w:val="nil"/>
              <w:left w:val="nil"/>
              <w:bottom w:val="single" w:sz="4" w:space="0" w:color="auto"/>
              <w:right w:val="single" w:sz="4" w:space="0" w:color="auto"/>
            </w:tcBorders>
            <w:shd w:val="clear" w:color="auto" w:fill="auto"/>
            <w:noWrap/>
            <w:vAlign w:val="bottom"/>
            <w:hideMark/>
          </w:tcPr>
          <w:p w14:paraId="5318412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107.5</w:t>
            </w:r>
          </w:p>
        </w:tc>
        <w:tc>
          <w:tcPr>
            <w:tcW w:w="1300" w:type="dxa"/>
            <w:tcBorders>
              <w:top w:val="nil"/>
              <w:left w:val="nil"/>
              <w:bottom w:val="single" w:sz="4" w:space="0" w:color="auto"/>
              <w:right w:val="single" w:sz="4" w:space="0" w:color="auto"/>
            </w:tcBorders>
            <w:shd w:val="clear" w:color="auto" w:fill="auto"/>
            <w:noWrap/>
            <w:vAlign w:val="bottom"/>
            <w:hideMark/>
          </w:tcPr>
          <w:p w14:paraId="648745E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69.8</w:t>
            </w:r>
          </w:p>
        </w:tc>
      </w:tr>
      <w:tr w:rsidR="00F57EA1" w:rsidRPr="00F57EA1" w14:paraId="7D8E0273"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A899E47" w14:textId="77777777" w:rsidR="00F57EA1" w:rsidRPr="00F57EA1" w:rsidRDefault="00F57EA1" w:rsidP="00F57EA1">
            <w:pPr>
              <w:spacing w:after="0"/>
              <w:jc w:val="center"/>
              <w:rPr>
                <w:rFonts w:ascii="Aptos" w:hAnsi="Aptos"/>
                <w:color w:val="000000"/>
              </w:rPr>
            </w:pPr>
            <w:r w:rsidRPr="00F57EA1">
              <w:rPr>
                <w:rFonts w:ascii="Aptos" w:hAnsi="Aptos"/>
                <w:color w:val="000000"/>
              </w:rPr>
              <w:t>8</w:t>
            </w:r>
          </w:p>
        </w:tc>
        <w:tc>
          <w:tcPr>
            <w:tcW w:w="1300" w:type="dxa"/>
            <w:tcBorders>
              <w:top w:val="nil"/>
              <w:left w:val="nil"/>
              <w:bottom w:val="single" w:sz="4" w:space="0" w:color="auto"/>
              <w:right w:val="single" w:sz="4" w:space="0" w:color="auto"/>
            </w:tcBorders>
            <w:shd w:val="clear" w:color="auto" w:fill="auto"/>
            <w:vAlign w:val="center"/>
            <w:hideMark/>
          </w:tcPr>
          <w:p w14:paraId="6C89E940" w14:textId="77777777" w:rsidR="00F57EA1" w:rsidRPr="00F57EA1" w:rsidRDefault="00F57EA1" w:rsidP="00F57EA1">
            <w:pPr>
              <w:spacing w:after="0"/>
              <w:jc w:val="center"/>
              <w:rPr>
                <w:rFonts w:ascii="Aptos" w:hAnsi="Aptos"/>
                <w:color w:val="000000"/>
              </w:rPr>
            </w:pPr>
            <w:r w:rsidRPr="00F57EA1">
              <w:rPr>
                <w:rFonts w:ascii="Aptos" w:hAnsi="Aptos"/>
                <w:color w:val="000000"/>
              </w:rPr>
              <w:t>340</w:t>
            </w:r>
          </w:p>
        </w:tc>
        <w:tc>
          <w:tcPr>
            <w:tcW w:w="1300" w:type="dxa"/>
            <w:tcBorders>
              <w:top w:val="nil"/>
              <w:left w:val="nil"/>
              <w:bottom w:val="single" w:sz="4" w:space="0" w:color="auto"/>
              <w:right w:val="single" w:sz="4" w:space="0" w:color="auto"/>
            </w:tcBorders>
            <w:shd w:val="clear" w:color="auto" w:fill="auto"/>
            <w:vAlign w:val="center"/>
            <w:hideMark/>
          </w:tcPr>
          <w:p w14:paraId="01C625D4" w14:textId="77777777" w:rsidR="00F57EA1" w:rsidRPr="00F57EA1" w:rsidRDefault="00F57EA1" w:rsidP="00F57EA1">
            <w:pPr>
              <w:spacing w:after="0"/>
              <w:jc w:val="center"/>
              <w:rPr>
                <w:rFonts w:ascii="Aptos" w:hAnsi="Aptos"/>
                <w:color w:val="000000"/>
              </w:rPr>
            </w:pPr>
            <w:r w:rsidRPr="00F57EA1">
              <w:rPr>
                <w:rFonts w:ascii="Aptos" w:hAnsi="Aptos"/>
                <w:color w:val="000000"/>
              </w:rPr>
              <w:t>-14.1</w:t>
            </w:r>
          </w:p>
        </w:tc>
        <w:tc>
          <w:tcPr>
            <w:tcW w:w="1300" w:type="dxa"/>
            <w:tcBorders>
              <w:top w:val="nil"/>
              <w:left w:val="nil"/>
              <w:bottom w:val="single" w:sz="4" w:space="0" w:color="auto"/>
              <w:right w:val="single" w:sz="4" w:space="0" w:color="auto"/>
            </w:tcBorders>
            <w:shd w:val="clear" w:color="auto" w:fill="auto"/>
            <w:noWrap/>
            <w:vAlign w:val="bottom"/>
            <w:hideMark/>
          </w:tcPr>
          <w:p w14:paraId="29A5E6F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-73.0</w:t>
            </w:r>
          </w:p>
        </w:tc>
        <w:tc>
          <w:tcPr>
            <w:tcW w:w="1300" w:type="dxa"/>
            <w:tcBorders>
              <w:top w:val="nil"/>
              <w:left w:val="nil"/>
              <w:bottom w:val="single" w:sz="4" w:space="0" w:color="auto"/>
              <w:right w:val="single" w:sz="4" w:space="0" w:color="auto"/>
            </w:tcBorders>
            <w:shd w:val="clear" w:color="auto" w:fill="auto"/>
            <w:noWrap/>
            <w:vAlign w:val="bottom"/>
            <w:hideMark/>
          </w:tcPr>
          <w:p w14:paraId="5C999CD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43.1</w:t>
            </w:r>
          </w:p>
        </w:tc>
        <w:tc>
          <w:tcPr>
            <w:tcW w:w="1300" w:type="dxa"/>
            <w:tcBorders>
              <w:top w:val="nil"/>
              <w:left w:val="nil"/>
              <w:bottom w:val="single" w:sz="4" w:space="0" w:color="auto"/>
              <w:right w:val="single" w:sz="4" w:space="0" w:color="auto"/>
            </w:tcBorders>
            <w:shd w:val="clear" w:color="auto" w:fill="auto"/>
            <w:noWrap/>
            <w:vAlign w:val="bottom"/>
            <w:hideMark/>
          </w:tcPr>
          <w:p w14:paraId="0C22ED8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92.3</w:t>
            </w:r>
          </w:p>
        </w:tc>
        <w:tc>
          <w:tcPr>
            <w:tcW w:w="1300" w:type="dxa"/>
            <w:tcBorders>
              <w:top w:val="nil"/>
              <w:left w:val="nil"/>
              <w:bottom w:val="single" w:sz="4" w:space="0" w:color="auto"/>
              <w:right w:val="single" w:sz="4" w:space="0" w:color="auto"/>
            </w:tcBorders>
            <w:shd w:val="clear" w:color="auto" w:fill="auto"/>
            <w:noWrap/>
            <w:vAlign w:val="bottom"/>
            <w:hideMark/>
          </w:tcPr>
          <w:p w14:paraId="32FF0C7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50.8</w:t>
            </w:r>
          </w:p>
        </w:tc>
      </w:tr>
      <w:tr w:rsidR="00F57EA1" w:rsidRPr="00F57EA1" w14:paraId="4E555005"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C00F215" w14:textId="77777777" w:rsidR="00F57EA1" w:rsidRPr="00F57EA1" w:rsidRDefault="00F57EA1" w:rsidP="00F57EA1">
            <w:pPr>
              <w:spacing w:after="0"/>
              <w:jc w:val="center"/>
              <w:rPr>
                <w:rFonts w:ascii="Aptos" w:hAnsi="Aptos"/>
                <w:color w:val="000000"/>
              </w:rPr>
            </w:pPr>
            <w:r w:rsidRPr="00F57EA1">
              <w:rPr>
                <w:rFonts w:ascii="Aptos" w:hAnsi="Aptos"/>
                <w:color w:val="000000"/>
              </w:rPr>
              <w:t>9</w:t>
            </w:r>
          </w:p>
        </w:tc>
        <w:tc>
          <w:tcPr>
            <w:tcW w:w="1300" w:type="dxa"/>
            <w:tcBorders>
              <w:top w:val="nil"/>
              <w:left w:val="nil"/>
              <w:bottom w:val="single" w:sz="4" w:space="0" w:color="auto"/>
              <w:right w:val="single" w:sz="4" w:space="0" w:color="auto"/>
            </w:tcBorders>
            <w:shd w:val="clear" w:color="auto" w:fill="auto"/>
            <w:vAlign w:val="center"/>
            <w:hideMark/>
          </w:tcPr>
          <w:p w14:paraId="5B53F6A7" w14:textId="77777777" w:rsidR="00F57EA1" w:rsidRPr="00F57EA1" w:rsidRDefault="00F57EA1" w:rsidP="00F57EA1">
            <w:pPr>
              <w:spacing w:after="0"/>
              <w:jc w:val="center"/>
              <w:rPr>
                <w:rFonts w:ascii="Aptos" w:hAnsi="Aptos"/>
                <w:color w:val="000000"/>
              </w:rPr>
            </w:pPr>
            <w:r w:rsidRPr="00F57EA1">
              <w:rPr>
                <w:rFonts w:ascii="Aptos" w:hAnsi="Aptos"/>
                <w:color w:val="000000"/>
              </w:rPr>
              <w:t>448</w:t>
            </w:r>
          </w:p>
        </w:tc>
        <w:tc>
          <w:tcPr>
            <w:tcW w:w="1300" w:type="dxa"/>
            <w:tcBorders>
              <w:top w:val="nil"/>
              <w:left w:val="nil"/>
              <w:bottom w:val="single" w:sz="4" w:space="0" w:color="auto"/>
              <w:right w:val="single" w:sz="4" w:space="0" w:color="auto"/>
            </w:tcBorders>
            <w:shd w:val="clear" w:color="auto" w:fill="auto"/>
            <w:vAlign w:val="center"/>
            <w:hideMark/>
          </w:tcPr>
          <w:p w14:paraId="3F2A5B81" w14:textId="77777777" w:rsidR="00F57EA1" w:rsidRPr="00F57EA1" w:rsidRDefault="00F57EA1" w:rsidP="00F57EA1">
            <w:pPr>
              <w:spacing w:after="0"/>
              <w:jc w:val="center"/>
              <w:rPr>
                <w:rFonts w:ascii="Aptos" w:hAnsi="Aptos"/>
                <w:color w:val="000000"/>
              </w:rPr>
            </w:pPr>
            <w:r w:rsidRPr="00F57EA1">
              <w:rPr>
                <w:rFonts w:ascii="Aptos" w:hAnsi="Aptos"/>
                <w:color w:val="000000"/>
              </w:rPr>
              <w:t>-8.1</w:t>
            </w:r>
          </w:p>
        </w:tc>
        <w:tc>
          <w:tcPr>
            <w:tcW w:w="1300" w:type="dxa"/>
            <w:tcBorders>
              <w:top w:val="nil"/>
              <w:left w:val="nil"/>
              <w:bottom w:val="single" w:sz="4" w:space="0" w:color="auto"/>
              <w:right w:val="single" w:sz="4" w:space="0" w:color="auto"/>
            </w:tcBorders>
            <w:shd w:val="clear" w:color="auto" w:fill="auto"/>
            <w:noWrap/>
            <w:vAlign w:val="bottom"/>
            <w:hideMark/>
          </w:tcPr>
          <w:p w14:paraId="570540D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7F95AEA1"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65.1</w:t>
            </w:r>
          </w:p>
        </w:tc>
        <w:tc>
          <w:tcPr>
            <w:tcW w:w="1300" w:type="dxa"/>
            <w:tcBorders>
              <w:top w:val="nil"/>
              <w:left w:val="nil"/>
              <w:bottom w:val="single" w:sz="4" w:space="0" w:color="auto"/>
              <w:right w:val="single" w:sz="4" w:space="0" w:color="auto"/>
            </w:tcBorders>
            <w:shd w:val="clear" w:color="auto" w:fill="auto"/>
            <w:noWrap/>
            <w:vAlign w:val="bottom"/>
            <w:hideMark/>
          </w:tcPr>
          <w:p w14:paraId="2C59429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104.6</w:t>
            </w:r>
          </w:p>
        </w:tc>
        <w:tc>
          <w:tcPr>
            <w:tcW w:w="1300" w:type="dxa"/>
            <w:tcBorders>
              <w:top w:val="nil"/>
              <w:left w:val="nil"/>
              <w:bottom w:val="single" w:sz="4" w:space="0" w:color="auto"/>
              <w:right w:val="single" w:sz="4" w:space="0" w:color="auto"/>
            </w:tcBorders>
            <w:shd w:val="clear" w:color="auto" w:fill="auto"/>
            <w:noWrap/>
            <w:vAlign w:val="bottom"/>
            <w:hideMark/>
          </w:tcPr>
          <w:p w14:paraId="775D38B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103.4</w:t>
            </w:r>
          </w:p>
        </w:tc>
      </w:tr>
      <w:tr w:rsidR="00F57EA1" w:rsidRPr="00F57EA1" w14:paraId="74C47B43"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9EBA89B" w14:textId="77777777" w:rsidR="00F57EA1" w:rsidRPr="00F57EA1" w:rsidRDefault="00F57EA1" w:rsidP="00F57EA1">
            <w:pPr>
              <w:spacing w:after="0"/>
              <w:jc w:val="center"/>
              <w:rPr>
                <w:rFonts w:ascii="Aptos" w:hAnsi="Aptos"/>
                <w:color w:val="000000"/>
              </w:rPr>
            </w:pPr>
            <w:r w:rsidRPr="00F57EA1">
              <w:rPr>
                <w:rFonts w:ascii="Aptos" w:hAnsi="Aptos"/>
                <w:color w:val="000000"/>
              </w:rPr>
              <w:t>10</w:t>
            </w:r>
          </w:p>
        </w:tc>
        <w:tc>
          <w:tcPr>
            <w:tcW w:w="1300" w:type="dxa"/>
            <w:tcBorders>
              <w:top w:val="nil"/>
              <w:left w:val="nil"/>
              <w:bottom w:val="single" w:sz="4" w:space="0" w:color="auto"/>
              <w:right w:val="single" w:sz="4" w:space="0" w:color="auto"/>
            </w:tcBorders>
            <w:shd w:val="clear" w:color="auto" w:fill="auto"/>
            <w:vAlign w:val="center"/>
            <w:hideMark/>
          </w:tcPr>
          <w:p w14:paraId="20B02584" w14:textId="77777777" w:rsidR="00F57EA1" w:rsidRPr="00F57EA1" w:rsidRDefault="00F57EA1" w:rsidP="00F57EA1">
            <w:pPr>
              <w:spacing w:after="0"/>
              <w:jc w:val="center"/>
              <w:rPr>
                <w:rFonts w:ascii="Aptos" w:hAnsi="Aptos"/>
                <w:color w:val="000000"/>
              </w:rPr>
            </w:pPr>
            <w:r w:rsidRPr="00F57EA1">
              <w:rPr>
                <w:rFonts w:ascii="Aptos" w:hAnsi="Aptos"/>
                <w:color w:val="000000"/>
              </w:rPr>
              <w:t>476</w:t>
            </w:r>
          </w:p>
        </w:tc>
        <w:tc>
          <w:tcPr>
            <w:tcW w:w="1300" w:type="dxa"/>
            <w:tcBorders>
              <w:top w:val="nil"/>
              <w:left w:val="nil"/>
              <w:bottom w:val="single" w:sz="4" w:space="0" w:color="auto"/>
              <w:right w:val="single" w:sz="4" w:space="0" w:color="auto"/>
            </w:tcBorders>
            <w:shd w:val="clear" w:color="auto" w:fill="auto"/>
            <w:vAlign w:val="center"/>
            <w:hideMark/>
          </w:tcPr>
          <w:p w14:paraId="209BFF50" w14:textId="77777777" w:rsidR="00F57EA1" w:rsidRPr="00F57EA1" w:rsidRDefault="00F57EA1" w:rsidP="00F57EA1">
            <w:pPr>
              <w:spacing w:after="0"/>
              <w:jc w:val="center"/>
              <w:rPr>
                <w:rFonts w:ascii="Aptos" w:hAnsi="Aptos"/>
                <w:color w:val="000000"/>
              </w:rPr>
            </w:pPr>
            <w:r w:rsidRPr="00F57EA1">
              <w:rPr>
                <w:rFonts w:ascii="Aptos" w:hAnsi="Aptos"/>
                <w:color w:val="000000"/>
              </w:rPr>
              <w:t>-9.8</w:t>
            </w:r>
          </w:p>
        </w:tc>
        <w:tc>
          <w:tcPr>
            <w:tcW w:w="1300" w:type="dxa"/>
            <w:tcBorders>
              <w:top w:val="nil"/>
              <w:left w:val="nil"/>
              <w:bottom w:val="single" w:sz="4" w:space="0" w:color="auto"/>
              <w:right w:val="single" w:sz="4" w:space="0" w:color="auto"/>
            </w:tcBorders>
            <w:shd w:val="clear" w:color="auto" w:fill="auto"/>
            <w:noWrap/>
            <w:vAlign w:val="bottom"/>
            <w:hideMark/>
          </w:tcPr>
          <w:p w14:paraId="1B9E690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-50.4</w:t>
            </w:r>
          </w:p>
        </w:tc>
        <w:tc>
          <w:tcPr>
            <w:tcW w:w="1300" w:type="dxa"/>
            <w:tcBorders>
              <w:top w:val="nil"/>
              <w:left w:val="nil"/>
              <w:bottom w:val="single" w:sz="4" w:space="0" w:color="auto"/>
              <w:right w:val="single" w:sz="4" w:space="0" w:color="auto"/>
            </w:tcBorders>
            <w:shd w:val="clear" w:color="auto" w:fill="auto"/>
            <w:noWrap/>
            <w:vAlign w:val="bottom"/>
            <w:hideMark/>
          </w:tcPr>
          <w:p w14:paraId="2730A1B1"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0FB7BCD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16D4977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50.1</w:t>
            </w:r>
          </w:p>
        </w:tc>
      </w:tr>
      <w:tr w:rsidR="00F57EA1" w:rsidRPr="00F57EA1" w14:paraId="5E446150"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0B9A5EA" w14:textId="77777777" w:rsidR="00F57EA1" w:rsidRPr="00F57EA1" w:rsidRDefault="00F57EA1" w:rsidP="00F57EA1">
            <w:pPr>
              <w:spacing w:after="0"/>
              <w:jc w:val="center"/>
              <w:rPr>
                <w:rFonts w:ascii="Aptos" w:hAnsi="Aptos"/>
                <w:color w:val="000000"/>
              </w:rPr>
            </w:pPr>
            <w:r w:rsidRPr="00F57EA1">
              <w:rPr>
                <w:rFonts w:ascii="Aptos" w:hAnsi="Aptos"/>
                <w:color w:val="000000"/>
              </w:rPr>
              <w:t>11</w:t>
            </w:r>
          </w:p>
        </w:tc>
        <w:tc>
          <w:tcPr>
            <w:tcW w:w="1300" w:type="dxa"/>
            <w:tcBorders>
              <w:top w:val="nil"/>
              <w:left w:val="nil"/>
              <w:bottom w:val="single" w:sz="4" w:space="0" w:color="auto"/>
              <w:right w:val="single" w:sz="4" w:space="0" w:color="auto"/>
            </w:tcBorders>
            <w:shd w:val="clear" w:color="auto" w:fill="auto"/>
            <w:vAlign w:val="center"/>
            <w:hideMark/>
          </w:tcPr>
          <w:p w14:paraId="5D1EBD20" w14:textId="77777777" w:rsidR="00F57EA1" w:rsidRPr="00F57EA1" w:rsidRDefault="00F57EA1" w:rsidP="00F57EA1">
            <w:pPr>
              <w:spacing w:after="0"/>
              <w:jc w:val="center"/>
              <w:rPr>
                <w:rFonts w:ascii="Aptos" w:hAnsi="Aptos"/>
                <w:color w:val="000000"/>
              </w:rPr>
            </w:pPr>
            <w:r w:rsidRPr="00F57EA1">
              <w:rPr>
                <w:rFonts w:ascii="Aptos" w:hAnsi="Aptos"/>
                <w:color w:val="000000"/>
              </w:rPr>
              <w:t>792</w:t>
            </w:r>
          </w:p>
        </w:tc>
        <w:tc>
          <w:tcPr>
            <w:tcW w:w="1300" w:type="dxa"/>
            <w:tcBorders>
              <w:top w:val="nil"/>
              <w:left w:val="nil"/>
              <w:bottom w:val="single" w:sz="4" w:space="0" w:color="auto"/>
              <w:right w:val="single" w:sz="4" w:space="0" w:color="auto"/>
            </w:tcBorders>
            <w:shd w:val="clear" w:color="auto" w:fill="auto"/>
            <w:vAlign w:val="center"/>
            <w:hideMark/>
          </w:tcPr>
          <w:p w14:paraId="7F4A5A86" w14:textId="77777777" w:rsidR="00F57EA1" w:rsidRPr="00F57EA1" w:rsidRDefault="00F57EA1" w:rsidP="00F57EA1">
            <w:pPr>
              <w:spacing w:after="0"/>
              <w:jc w:val="center"/>
              <w:rPr>
                <w:rFonts w:ascii="Aptos" w:hAnsi="Aptos"/>
                <w:color w:val="000000"/>
              </w:rPr>
            </w:pPr>
            <w:r w:rsidRPr="00F57EA1">
              <w:rPr>
                <w:rFonts w:ascii="Aptos" w:hAnsi="Aptos"/>
                <w:color w:val="000000"/>
              </w:rPr>
              <w:t>-11.7</w:t>
            </w:r>
          </w:p>
        </w:tc>
        <w:tc>
          <w:tcPr>
            <w:tcW w:w="1300" w:type="dxa"/>
            <w:tcBorders>
              <w:top w:val="nil"/>
              <w:left w:val="nil"/>
              <w:bottom w:val="single" w:sz="4" w:space="0" w:color="auto"/>
              <w:right w:val="single" w:sz="4" w:space="0" w:color="auto"/>
            </w:tcBorders>
            <w:shd w:val="clear" w:color="auto" w:fill="auto"/>
            <w:noWrap/>
            <w:vAlign w:val="bottom"/>
            <w:hideMark/>
          </w:tcPr>
          <w:p w14:paraId="627FC81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5B2B9BC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79.0</w:t>
            </w:r>
          </w:p>
        </w:tc>
        <w:tc>
          <w:tcPr>
            <w:tcW w:w="1300" w:type="dxa"/>
            <w:tcBorders>
              <w:top w:val="nil"/>
              <w:left w:val="nil"/>
              <w:bottom w:val="single" w:sz="4" w:space="0" w:color="auto"/>
              <w:right w:val="single" w:sz="4" w:space="0" w:color="auto"/>
            </w:tcBorders>
            <w:shd w:val="clear" w:color="auto" w:fill="auto"/>
            <w:noWrap/>
            <w:vAlign w:val="bottom"/>
            <w:hideMark/>
          </w:tcPr>
          <w:p w14:paraId="33040C71"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91.7</w:t>
            </w:r>
          </w:p>
        </w:tc>
        <w:tc>
          <w:tcPr>
            <w:tcW w:w="1300" w:type="dxa"/>
            <w:tcBorders>
              <w:top w:val="nil"/>
              <w:left w:val="nil"/>
              <w:bottom w:val="single" w:sz="4" w:space="0" w:color="auto"/>
              <w:right w:val="single" w:sz="4" w:space="0" w:color="auto"/>
            </w:tcBorders>
            <w:shd w:val="clear" w:color="auto" w:fill="auto"/>
            <w:noWrap/>
            <w:vAlign w:val="bottom"/>
            <w:hideMark/>
          </w:tcPr>
          <w:p w14:paraId="3D5E1B2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51.7</w:t>
            </w:r>
          </w:p>
        </w:tc>
      </w:tr>
      <w:tr w:rsidR="00F57EA1" w:rsidRPr="00F57EA1" w14:paraId="139C92C8"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056121C" w14:textId="77777777" w:rsidR="00F57EA1" w:rsidRPr="00F57EA1" w:rsidRDefault="00F57EA1" w:rsidP="00F57EA1">
            <w:pPr>
              <w:spacing w:after="0"/>
              <w:jc w:val="center"/>
              <w:rPr>
                <w:rFonts w:ascii="Aptos" w:hAnsi="Aptos"/>
                <w:color w:val="000000"/>
              </w:rPr>
            </w:pPr>
            <w:r w:rsidRPr="00F57EA1">
              <w:rPr>
                <w:rFonts w:ascii="Aptos" w:hAnsi="Aptos"/>
                <w:color w:val="000000"/>
              </w:rPr>
              <w:t>12</w:t>
            </w:r>
          </w:p>
        </w:tc>
        <w:tc>
          <w:tcPr>
            <w:tcW w:w="1300" w:type="dxa"/>
            <w:tcBorders>
              <w:top w:val="nil"/>
              <w:left w:val="nil"/>
              <w:bottom w:val="single" w:sz="4" w:space="0" w:color="auto"/>
              <w:right w:val="single" w:sz="4" w:space="0" w:color="auto"/>
            </w:tcBorders>
            <w:shd w:val="clear" w:color="auto" w:fill="auto"/>
            <w:vAlign w:val="center"/>
            <w:hideMark/>
          </w:tcPr>
          <w:p w14:paraId="010159B3" w14:textId="77777777" w:rsidR="00F57EA1" w:rsidRPr="00F57EA1" w:rsidRDefault="00F57EA1" w:rsidP="00F57EA1">
            <w:pPr>
              <w:spacing w:after="0"/>
              <w:jc w:val="center"/>
              <w:rPr>
                <w:rFonts w:ascii="Aptos" w:hAnsi="Aptos"/>
                <w:color w:val="000000"/>
              </w:rPr>
            </w:pPr>
            <w:r w:rsidRPr="00F57EA1">
              <w:rPr>
                <w:rFonts w:ascii="Aptos" w:hAnsi="Aptos"/>
                <w:color w:val="000000"/>
              </w:rPr>
              <w:t>988</w:t>
            </w:r>
          </w:p>
        </w:tc>
        <w:tc>
          <w:tcPr>
            <w:tcW w:w="1300" w:type="dxa"/>
            <w:tcBorders>
              <w:top w:val="nil"/>
              <w:left w:val="nil"/>
              <w:bottom w:val="single" w:sz="4" w:space="0" w:color="auto"/>
              <w:right w:val="single" w:sz="4" w:space="0" w:color="auto"/>
            </w:tcBorders>
            <w:shd w:val="clear" w:color="auto" w:fill="auto"/>
            <w:vAlign w:val="center"/>
            <w:hideMark/>
          </w:tcPr>
          <w:p w14:paraId="2BDACADF" w14:textId="77777777" w:rsidR="00F57EA1" w:rsidRPr="00F57EA1" w:rsidRDefault="00F57EA1" w:rsidP="00F57EA1">
            <w:pPr>
              <w:spacing w:after="0"/>
              <w:jc w:val="center"/>
              <w:rPr>
                <w:rFonts w:ascii="Aptos" w:hAnsi="Aptos"/>
                <w:color w:val="000000"/>
              </w:rPr>
            </w:pPr>
            <w:r w:rsidRPr="00F57EA1">
              <w:rPr>
                <w:rFonts w:ascii="Aptos" w:hAnsi="Aptos"/>
                <w:color w:val="000000"/>
              </w:rPr>
              <w:t>-16.2</w:t>
            </w:r>
          </w:p>
        </w:tc>
        <w:tc>
          <w:tcPr>
            <w:tcW w:w="1300" w:type="dxa"/>
            <w:tcBorders>
              <w:top w:val="nil"/>
              <w:left w:val="nil"/>
              <w:bottom w:val="single" w:sz="4" w:space="0" w:color="auto"/>
              <w:right w:val="single" w:sz="4" w:space="0" w:color="auto"/>
            </w:tcBorders>
            <w:shd w:val="clear" w:color="auto" w:fill="auto"/>
            <w:noWrap/>
            <w:vAlign w:val="bottom"/>
            <w:hideMark/>
          </w:tcPr>
          <w:p w14:paraId="03A5A09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64.6</w:t>
            </w:r>
          </w:p>
        </w:tc>
        <w:tc>
          <w:tcPr>
            <w:tcW w:w="1300" w:type="dxa"/>
            <w:tcBorders>
              <w:top w:val="nil"/>
              <w:left w:val="nil"/>
              <w:bottom w:val="single" w:sz="4" w:space="0" w:color="auto"/>
              <w:right w:val="single" w:sz="4" w:space="0" w:color="auto"/>
            </w:tcBorders>
            <w:shd w:val="clear" w:color="auto" w:fill="auto"/>
            <w:noWrap/>
            <w:vAlign w:val="bottom"/>
            <w:hideMark/>
          </w:tcPr>
          <w:p w14:paraId="040FB72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26.3</w:t>
            </w:r>
          </w:p>
        </w:tc>
        <w:tc>
          <w:tcPr>
            <w:tcW w:w="1300" w:type="dxa"/>
            <w:tcBorders>
              <w:top w:val="nil"/>
              <w:left w:val="nil"/>
              <w:bottom w:val="single" w:sz="4" w:space="0" w:color="auto"/>
              <w:right w:val="single" w:sz="4" w:space="0" w:color="auto"/>
            </w:tcBorders>
            <w:shd w:val="clear" w:color="auto" w:fill="auto"/>
            <w:noWrap/>
            <w:vAlign w:val="bottom"/>
            <w:hideMark/>
          </w:tcPr>
          <w:p w14:paraId="69F1056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5E69959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121.0</w:t>
            </w:r>
          </w:p>
        </w:tc>
      </w:tr>
      <w:tr w:rsidR="00F57EA1" w:rsidRPr="00F57EA1" w14:paraId="429A0D6E"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78B7BCB9" w14:textId="77777777" w:rsidR="00F57EA1" w:rsidRPr="00F57EA1" w:rsidRDefault="00F57EA1" w:rsidP="00F57EA1">
            <w:pPr>
              <w:spacing w:after="0"/>
              <w:jc w:val="center"/>
              <w:rPr>
                <w:rFonts w:ascii="Aptos" w:hAnsi="Aptos"/>
                <w:color w:val="000000"/>
              </w:rPr>
            </w:pPr>
            <w:r w:rsidRPr="00F57EA1">
              <w:rPr>
                <w:rFonts w:ascii="Aptos" w:hAnsi="Aptos"/>
                <w:color w:val="000000"/>
              </w:rPr>
              <w:t>13</w:t>
            </w:r>
          </w:p>
        </w:tc>
        <w:tc>
          <w:tcPr>
            <w:tcW w:w="1300" w:type="dxa"/>
            <w:tcBorders>
              <w:top w:val="nil"/>
              <w:left w:val="nil"/>
              <w:bottom w:val="single" w:sz="4" w:space="0" w:color="auto"/>
              <w:right w:val="single" w:sz="4" w:space="0" w:color="auto"/>
            </w:tcBorders>
            <w:shd w:val="clear" w:color="auto" w:fill="auto"/>
            <w:vAlign w:val="center"/>
            <w:hideMark/>
          </w:tcPr>
          <w:p w14:paraId="3BCFFCA5" w14:textId="77777777" w:rsidR="00F57EA1" w:rsidRPr="00F57EA1" w:rsidRDefault="00F57EA1" w:rsidP="00F57EA1">
            <w:pPr>
              <w:spacing w:after="0"/>
              <w:jc w:val="center"/>
              <w:rPr>
                <w:rFonts w:ascii="Aptos" w:hAnsi="Aptos"/>
                <w:color w:val="000000"/>
              </w:rPr>
            </w:pPr>
            <w:r w:rsidRPr="00F57EA1">
              <w:rPr>
                <w:rFonts w:ascii="Aptos" w:hAnsi="Aptos"/>
                <w:color w:val="000000"/>
              </w:rPr>
              <w:t>1552</w:t>
            </w:r>
          </w:p>
        </w:tc>
        <w:tc>
          <w:tcPr>
            <w:tcW w:w="1300" w:type="dxa"/>
            <w:tcBorders>
              <w:top w:val="nil"/>
              <w:left w:val="nil"/>
              <w:bottom w:val="single" w:sz="4" w:space="0" w:color="auto"/>
              <w:right w:val="single" w:sz="4" w:space="0" w:color="auto"/>
            </w:tcBorders>
            <w:shd w:val="clear" w:color="auto" w:fill="auto"/>
            <w:vAlign w:val="center"/>
            <w:hideMark/>
          </w:tcPr>
          <w:p w14:paraId="351C0DF3" w14:textId="77777777" w:rsidR="00F57EA1" w:rsidRPr="00F57EA1" w:rsidRDefault="00F57EA1" w:rsidP="00F57EA1">
            <w:pPr>
              <w:spacing w:after="0"/>
              <w:jc w:val="center"/>
              <w:rPr>
                <w:rFonts w:ascii="Aptos" w:hAnsi="Aptos"/>
                <w:color w:val="000000"/>
              </w:rPr>
            </w:pPr>
            <w:r w:rsidRPr="00F57EA1">
              <w:rPr>
                <w:rFonts w:ascii="Aptos" w:hAnsi="Aptos"/>
                <w:color w:val="000000"/>
              </w:rPr>
              <w:t>-16.9</w:t>
            </w:r>
          </w:p>
        </w:tc>
        <w:tc>
          <w:tcPr>
            <w:tcW w:w="1300" w:type="dxa"/>
            <w:tcBorders>
              <w:top w:val="nil"/>
              <w:left w:val="nil"/>
              <w:bottom w:val="single" w:sz="4" w:space="0" w:color="auto"/>
              <w:right w:val="single" w:sz="4" w:space="0" w:color="auto"/>
            </w:tcBorders>
            <w:shd w:val="clear" w:color="auto" w:fill="auto"/>
            <w:noWrap/>
            <w:vAlign w:val="bottom"/>
            <w:hideMark/>
          </w:tcPr>
          <w:p w14:paraId="104FEC1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62.2</w:t>
            </w:r>
          </w:p>
        </w:tc>
        <w:tc>
          <w:tcPr>
            <w:tcW w:w="1300" w:type="dxa"/>
            <w:tcBorders>
              <w:top w:val="nil"/>
              <w:left w:val="nil"/>
              <w:bottom w:val="single" w:sz="4" w:space="0" w:color="auto"/>
              <w:right w:val="single" w:sz="4" w:space="0" w:color="auto"/>
            </w:tcBorders>
            <w:shd w:val="clear" w:color="auto" w:fill="auto"/>
            <w:noWrap/>
            <w:vAlign w:val="bottom"/>
            <w:hideMark/>
          </w:tcPr>
          <w:p w14:paraId="6521B6E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-22.6</w:t>
            </w:r>
          </w:p>
        </w:tc>
        <w:tc>
          <w:tcPr>
            <w:tcW w:w="1300" w:type="dxa"/>
            <w:tcBorders>
              <w:top w:val="nil"/>
              <w:left w:val="nil"/>
              <w:bottom w:val="single" w:sz="4" w:space="0" w:color="auto"/>
              <w:right w:val="single" w:sz="4" w:space="0" w:color="auto"/>
            </w:tcBorders>
            <w:shd w:val="clear" w:color="auto" w:fill="auto"/>
            <w:noWrap/>
            <w:vAlign w:val="bottom"/>
            <w:hideMark/>
          </w:tcPr>
          <w:p w14:paraId="59738A3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94.0</w:t>
            </w:r>
          </w:p>
        </w:tc>
        <w:tc>
          <w:tcPr>
            <w:tcW w:w="1300" w:type="dxa"/>
            <w:tcBorders>
              <w:top w:val="nil"/>
              <w:left w:val="nil"/>
              <w:bottom w:val="single" w:sz="4" w:space="0" w:color="auto"/>
              <w:right w:val="single" w:sz="4" w:space="0" w:color="auto"/>
            </w:tcBorders>
            <w:shd w:val="clear" w:color="auto" w:fill="auto"/>
            <w:noWrap/>
            <w:vAlign w:val="bottom"/>
            <w:hideMark/>
          </w:tcPr>
          <w:p w14:paraId="408B7F2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53.9</w:t>
            </w:r>
          </w:p>
        </w:tc>
      </w:tr>
      <w:tr w:rsidR="00F57EA1" w:rsidRPr="00F57EA1" w14:paraId="11755886"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B01FE05" w14:textId="77777777" w:rsidR="00F57EA1" w:rsidRPr="00F57EA1" w:rsidRDefault="00F57EA1" w:rsidP="00F57EA1">
            <w:pPr>
              <w:spacing w:after="0"/>
              <w:jc w:val="center"/>
              <w:rPr>
                <w:rFonts w:ascii="Aptos" w:hAnsi="Aptos"/>
                <w:color w:val="000000"/>
              </w:rPr>
            </w:pPr>
            <w:r w:rsidRPr="00F57EA1">
              <w:rPr>
                <w:rFonts w:ascii="Aptos" w:hAnsi="Aptos"/>
                <w:color w:val="000000"/>
              </w:rPr>
              <w:t>14</w:t>
            </w:r>
          </w:p>
        </w:tc>
        <w:tc>
          <w:tcPr>
            <w:tcW w:w="1300" w:type="dxa"/>
            <w:tcBorders>
              <w:top w:val="nil"/>
              <w:left w:val="nil"/>
              <w:bottom w:val="single" w:sz="4" w:space="0" w:color="auto"/>
              <w:right w:val="single" w:sz="4" w:space="0" w:color="auto"/>
            </w:tcBorders>
            <w:shd w:val="clear" w:color="auto" w:fill="auto"/>
            <w:vAlign w:val="center"/>
            <w:hideMark/>
          </w:tcPr>
          <w:p w14:paraId="067ABD1E" w14:textId="77777777" w:rsidR="00F57EA1" w:rsidRPr="00F57EA1" w:rsidRDefault="00F57EA1" w:rsidP="00F57EA1">
            <w:pPr>
              <w:spacing w:after="0"/>
              <w:jc w:val="center"/>
              <w:rPr>
                <w:rFonts w:ascii="Aptos" w:hAnsi="Aptos"/>
                <w:color w:val="000000"/>
              </w:rPr>
            </w:pPr>
            <w:r w:rsidRPr="00F57EA1">
              <w:rPr>
                <w:rFonts w:ascii="Aptos" w:hAnsi="Aptos"/>
                <w:color w:val="000000"/>
              </w:rPr>
              <w:t>1678</w:t>
            </w:r>
          </w:p>
        </w:tc>
        <w:tc>
          <w:tcPr>
            <w:tcW w:w="1300" w:type="dxa"/>
            <w:tcBorders>
              <w:top w:val="nil"/>
              <w:left w:val="nil"/>
              <w:bottom w:val="single" w:sz="4" w:space="0" w:color="auto"/>
              <w:right w:val="single" w:sz="4" w:space="0" w:color="auto"/>
            </w:tcBorders>
            <w:shd w:val="clear" w:color="auto" w:fill="auto"/>
            <w:vAlign w:val="center"/>
            <w:hideMark/>
          </w:tcPr>
          <w:p w14:paraId="2DB5DD53" w14:textId="77777777" w:rsidR="00F57EA1" w:rsidRPr="00F57EA1" w:rsidRDefault="00F57EA1" w:rsidP="00F57EA1">
            <w:pPr>
              <w:spacing w:after="0"/>
              <w:jc w:val="center"/>
              <w:rPr>
                <w:rFonts w:ascii="Aptos" w:hAnsi="Aptos"/>
                <w:color w:val="000000"/>
              </w:rPr>
            </w:pPr>
            <w:r w:rsidRPr="00F57EA1">
              <w:rPr>
                <w:rFonts w:ascii="Aptos" w:hAnsi="Aptos"/>
                <w:color w:val="000000"/>
              </w:rPr>
              <w:t>-16.9</w:t>
            </w:r>
          </w:p>
        </w:tc>
        <w:tc>
          <w:tcPr>
            <w:tcW w:w="1300" w:type="dxa"/>
            <w:tcBorders>
              <w:top w:val="nil"/>
              <w:left w:val="nil"/>
              <w:bottom w:val="single" w:sz="4" w:space="0" w:color="auto"/>
              <w:right w:val="single" w:sz="4" w:space="0" w:color="auto"/>
            </w:tcBorders>
            <w:shd w:val="clear" w:color="auto" w:fill="auto"/>
            <w:noWrap/>
            <w:vAlign w:val="bottom"/>
            <w:hideMark/>
          </w:tcPr>
          <w:p w14:paraId="34F8802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55.0</w:t>
            </w:r>
          </w:p>
        </w:tc>
        <w:tc>
          <w:tcPr>
            <w:tcW w:w="1300" w:type="dxa"/>
            <w:tcBorders>
              <w:top w:val="nil"/>
              <w:left w:val="nil"/>
              <w:bottom w:val="single" w:sz="4" w:space="0" w:color="auto"/>
              <w:right w:val="single" w:sz="4" w:space="0" w:color="auto"/>
            </w:tcBorders>
            <w:shd w:val="clear" w:color="auto" w:fill="auto"/>
            <w:noWrap/>
            <w:vAlign w:val="bottom"/>
            <w:hideMark/>
          </w:tcPr>
          <w:p w14:paraId="3C5A6C6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73FDA9B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91.8</w:t>
            </w:r>
          </w:p>
        </w:tc>
        <w:tc>
          <w:tcPr>
            <w:tcW w:w="1300" w:type="dxa"/>
            <w:tcBorders>
              <w:top w:val="nil"/>
              <w:left w:val="nil"/>
              <w:bottom w:val="single" w:sz="4" w:space="0" w:color="auto"/>
              <w:right w:val="single" w:sz="4" w:space="0" w:color="auto"/>
            </w:tcBorders>
            <w:shd w:val="clear" w:color="auto" w:fill="auto"/>
            <w:noWrap/>
            <w:vAlign w:val="bottom"/>
            <w:hideMark/>
          </w:tcPr>
          <w:p w14:paraId="6565E7A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61.6</w:t>
            </w:r>
          </w:p>
        </w:tc>
      </w:tr>
      <w:tr w:rsidR="00F57EA1" w:rsidRPr="00F57EA1" w14:paraId="7EEA8AC9"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5DD1D881" w14:textId="77777777" w:rsidR="00F57EA1" w:rsidRPr="00F57EA1" w:rsidRDefault="00F57EA1" w:rsidP="00F57EA1">
            <w:pPr>
              <w:spacing w:after="0"/>
              <w:jc w:val="center"/>
              <w:rPr>
                <w:rFonts w:ascii="Aptos" w:hAnsi="Aptos"/>
                <w:color w:val="000000"/>
              </w:rPr>
            </w:pPr>
            <w:r w:rsidRPr="00F57EA1">
              <w:rPr>
                <w:rFonts w:ascii="Aptos" w:hAnsi="Aptos"/>
                <w:color w:val="000000"/>
              </w:rPr>
              <w:t>15</w:t>
            </w:r>
          </w:p>
        </w:tc>
        <w:tc>
          <w:tcPr>
            <w:tcW w:w="1300" w:type="dxa"/>
            <w:tcBorders>
              <w:top w:val="nil"/>
              <w:left w:val="nil"/>
              <w:bottom w:val="single" w:sz="4" w:space="0" w:color="auto"/>
              <w:right w:val="single" w:sz="4" w:space="0" w:color="auto"/>
            </w:tcBorders>
            <w:shd w:val="clear" w:color="auto" w:fill="auto"/>
            <w:vAlign w:val="center"/>
            <w:hideMark/>
          </w:tcPr>
          <w:p w14:paraId="566BC62C" w14:textId="77777777" w:rsidR="00F57EA1" w:rsidRPr="00F57EA1" w:rsidRDefault="00F57EA1" w:rsidP="00F57EA1">
            <w:pPr>
              <w:spacing w:after="0"/>
              <w:jc w:val="center"/>
              <w:rPr>
                <w:rFonts w:ascii="Aptos" w:hAnsi="Aptos"/>
                <w:color w:val="000000"/>
              </w:rPr>
            </w:pPr>
            <w:r w:rsidRPr="00F57EA1">
              <w:rPr>
                <w:rFonts w:ascii="Aptos" w:hAnsi="Aptos"/>
                <w:color w:val="000000"/>
              </w:rPr>
              <w:t>2002</w:t>
            </w:r>
          </w:p>
        </w:tc>
        <w:tc>
          <w:tcPr>
            <w:tcW w:w="1300" w:type="dxa"/>
            <w:tcBorders>
              <w:top w:val="nil"/>
              <w:left w:val="nil"/>
              <w:bottom w:val="single" w:sz="4" w:space="0" w:color="auto"/>
              <w:right w:val="single" w:sz="4" w:space="0" w:color="auto"/>
            </w:tcBorders>
            <w:shd w:val="clear" w:color="auto" w:fill="auto"/>
            <w:vAlign w:val="center"/>
            <w:hideMark/>
          </w:tcPr>
          <w:p w14:paraId="7F9E62BE" w14:textId="77777777" w:rsidR="00F57EA1" w:rsidRPr="00F57EA1" w:rsidRDefault="00F57EA1" w:rsidP="00F57EA1">
            <w:pPr>
              <w:spacing w:after="0"/>
              <w:jc w:val="center"/>
              <w:rPr>
                <w:rFonts w:ascii="Aptos" w:hAnsi="Aptos"/>
                <w:color w:val="000000"/>
              </w:rPr>
            </w:pPr>
            <w:r w:rsidRPr="00F57EA1">
              <w:rPr>
                <w:rFonts w:ascii="Aptos" w:hAnsi="Aptos"/>
                <w:color w:val="000000"/>
              </w:rPr>
              <w:t>-18.8</w:t>
            </w:r>
          </w:p>
        </w:tc>
        <w:tc>
          <w:tcPr>
            <w:tcW w:w="1300" w:type="dxa"/>
            <w:tcBorders>
              <w:top w:val="nil"/>
              <w:left w:val="nil"/>
              <w:bottom w:val="single" w:sz="4" w:space="0" w:color="auto"/>
              <w:right w:val="single" w:sz="4" w:space="0" w:color="auto"/>
            </w:tcBorders>
            <w:shd w:val="clear" w:color="auto" w:fill="auto"/>
            <w:noWrap/>
            <w:vAlign w:val="bottom"/>
            <w:hideMark/>
          </w:tcPr>
          <w:p w14:paraId="7A3F0E4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-76.3</w:t>
            </w:r>
          </w:p>
        </w:tc>
        <w:tc>
          <w:tcPr>
            <w:tcW w:w="1300" w:type="dxa"/>
            <w:tcBorders>
              <w:top w:val="nil"/>
              <w:left w:val="nil"/>
              <w:bottom w:val="single" w:sz="4" w:space="0" w:color="auto"/>
              <w:right w:val="single" w:sz="4" w:space="0" w:color="auto"/>
            </w:tcBorders>
            <w:shd w:val="clear" w:color="auto" w:fill="auto"/>
            <w:noWrap/>
            <w:vAlign w:val="bottom"/>
            <w:hideMark/>
          </w:tcPr>
          <w:p w14:paraId="6013B25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-19.8</w:t>
            </w:r>
          </w:p>
        </w:tc>
        <w:tc>
          <w:tcPr>
            <w:tcW w:w="1300" w:type="dxa"/>
            <w:tcBorders>
              <w:top w:val="nil"/>
              <w:left w:val="nil"/>
              <w:bottom w:val="single" w:sz="4" w:space="0" w:color="auto"/>
              <w:right w:val="single" w:sz="4" w:space="0" w:color="auto"/>
            </w:tcBorders>
            <w:shd w:val="clear" w:color="auto" w:fill="auto"/>
            <w:noWrap/>
            <w:vAlign w:val="bottom"/>
            <w:hideMark/>
          </w:tcPr>
          <w:p w14:paraId="6EAE0A9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90.7</w:t>
            </w:r>
          </w:p>
        </w:tc>
        <w:tc>
          <w:tcPr>
            <w:tcW w:w="1300" w:type="dxa"/>
            <w:tcBorders>
              <w:top w:val="nil"/>
              <w:left w:val="nil"/>
              <w:bottom w:val="single" w:sz="4" w:space="0" w:color="auto"/>
              <w:right w:val="single" w:sz="4" w:space="0" w:color="auto"/>
            </w:tcBorders>
            <w:shd w:val="clear" w:color="auto" w:fill="auto"/>
            <w:noWrap/>
            <w:vAlign w:val="bottom"/>
            <w:hideMark/>
          </w:tcPr>
          <w:p w14:paraId="25D8881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37.5</w:t>
            </w:r>
          </w:p>
        </w:tc>
      </w:tr>
      <w:tr w:rsidR="00F57EA1" w:rsidRPr="00F57EA1" w14:paraId="31BC24DA"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6DB4173" w14:textId="77777777" w:rsidR="00F57EA1" w:rsidRPr="00F57EA1" w:rsidRDefault="00F57EA1" w:rsidP="00F57EA1">
            <w:pPr>
              <w:spacing w:after="0"/>
              <w:jc w:val="center"/>
              <w:rPr>
                <w:rFonts w:ascii="Aptos" w:hAnsi="Aptos"/>
                <w:color w:val="000000"/>
              </w:rPr>
            </w:pPr>
            <w:r w:rsidRPr="00F57EA1">
              <w:rPr>
                <w:rFonts w:ascii="Aptos" w:hAnsi="Aptos"/>
                <w:color w:val="000000"/>
              </w:rPr>
              <w:t>16</w:t>
            </w:r>
          </w:p>
        </w:tc>
        <w:tc>
          <w:tcPr>
            <w:tcW w:w="1300" w:type="dxa"/>
            <w:tcBorders>
              <w:top w:val="nil"/>
              <w:left w:val="nil"/>
              <w:bottom w:val="single" w:sz="4" w:space="0" w:color="auto"/>
              <w:right w:val="single" w:sz="4" w:space="0" w:color="auto"/>
            </w:tcBorders>
            <w:shd w:val="clear" w:color="auto" w:fill="auto"/>
            <w:vAlign w:val="center"/>
            <w:hideMark/>
          </w:tcPr>
          <w:p w14:paraId="246A98FE" w14:textId="77777777" w:rsidR="00F57EA1" w:rsidRPr="00F57EA1" w:rsidRDefault="00F57EA1" w:rsidP="00F57EA1">
            <w:pPr>
              <w:spacing w:after="0"/>
              <w:jc w:val="center"/>
              <w:rPr>
                <w:rFonts w:ascii="Aptos" w:hAnsi="Aptos"/>
                <w:color w:val="000000"/>
              </w:rPr>
            </w:pPr>
            <w:r w:rsidRPr="00F57EA1">
              <w:rPr>
                <w:rFonts w:ascii="Aptos" w:hAnsi="Aptos"/>
                <w:color w:val="000000"/>
              </w:rPr>
              <w:t>2044</w:t>
            </w:r>
          </w:p>
        </w:tc>
        <w:tc>
          <w:tcPr>
            <w:tcW w:w="1300" w:type="dxa"/>
            <w:tcBorders>
              <w:top w:val="nil"/>
              <w:left w:val="nil"/>
              <w:bottom w:val="single" w:sz="4" w:space="0" w:color="auto"/>
              <w:right w:val="single" w:sz="4" w:space="0" w:color="auto"/>
            </w:tcBorders>
            <w:shd w:val="clear" w:color="auto" w:fill="auto"/>
            <w:vAlign w:val="center"/>
            <w:hideMark/>
          </w:tcPr>
          <w:p w14:paraId="287C154D" w14:textId="77777777" w:rsidR="00F57EA1" w:rsidRPr="00F57EA1" w:rsidRDefault="00F57EA1" w:rsidP="00F57EA1">
            <w:pPr>
              <w:spacing w:after="0"/>
              <w:jc w:val="center"/>
              <w:rPr>
                <w:rFonts w:ascii="Aptos" w:hAnsi="Aptos"/>
                <w:color w:val="000000"/>
              </w:rPr>
            </w:pPr>
            <w:r w:rsidRPr="00F57EA1">
              <w:rPr>
                <w:rFonts w:ascii="Aptos" w:hAnsi="Aptos"/>
                <w:color w:val="000000"/>
              </w:rPr>
              <w:t>-20.1</w:t>
            </w:r>
          </w:p>
        </w:tc>
        <w:tc>
          <w:tcPr>
            <w:tcW w:w="1300" w:type="dxa"/>
            <w:tcBorders>
              <w:top w:val="nil"/>
              <w:left w:val="nil"/>
              <w:bottom w:val="single" w:sz="4" w:space="0" w:color="auto"/>
              <w:right w:val="single" w:sz="4" w:space="0" w:color="auto"/>
            </w:tcBorders>
            <w:shd w:val="clear" w:color="auto" w:fill="auto"/>
            <w:noWrap/>
            <w:vAlign w:val="bottom"/>
            <w:hideMark/>
          </w:tcPr>
          <w:p w14:paraId="3B49FA53"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57.4</w:t>
            </w:r>
          </w:p>
        </w:tc>
        <w:tc>
          <w:tcPr>
            <w:tcW w:w="1300" w:type="dxa"/>
            <w:tcBorders>
              <w:top w:val="nil"/>
              <w:left w:val="nil"/>
              <w:bottom w:val="single" w:sz="4" w:space="0" w:color="auto"/>
              <w:right w:val="single" w:sz="4" w:space="0" w:color="auto"/>
            </w:tcBorders>
            <w:shd w:val="clear" w:color="auto" w:fill="auto"/>
            <w:noWrap/>
            <w:vAlign w:val="bottom"/>
            <w:hideMark/>
          </w:tcPr>
          <w:p w14:paraId="2015035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4.5</w:t>
            </w:r>
          </w:p>
        </w:tc>
        <w:tc>
          <w:tcPr>
            <w:tcW w:w="1300" w:type="dxa"/>
            <w:tcBorders>
              <w:top w:val="nil"/>
              <w:left w:val="nil"/>
              <w:bottom w:val="single" w:sz="4" w:space="0" w:color="auto"/>
              <w:right w:val="single" w:sz="4" w:space="0" w:color="auto"/>
            </w:tcBorders>
            <w:shd w:val="clear" w:color="auto" w:fill="auto"/>
            <w:noWrap/>
            <w:vAlign w:val="bottom"/>
            <w:hideMark/>
          </w:tcPr>
          <w:p w14:paraId="612DFB7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108.2</w:t>
            </w:r>
          </w:p>
        </w:tc>
        <w:tc>
          <w:tcPr>
            <w:tcW w:w="1300" w:type="dxa"/>
            <w:tcBorders>
              <w:top w:val="nil"/>
              <w:left w:val="nil"/>
              <w:bottom w:val="single" w:sz="4" w:space="0" w:color="auto"/>
              <w:right w:val="single" w:sz="4" w:space="0" w:color="auto"/>
            </w:tcBorders>
            <w:shd w:val="clear" w:color="auto" w:fill="auto"/>
            <w:noWrap/>
            <w:vAlign w:val="bottom"/>
            <w:hideMark/>
          </w:tcPr>
          <w:p w14:paraId="3C15F74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53.1</w:t>
            </w:r>
          </w:p>
        </w:tc>
      </w:tr>
      <w:tr w:rsidR="00F57EA1" w:rsidRPr="00F57EA1" w14:paraId="33B817AE"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DE92AB" w14:textId="77777777" w:rsidR="00F57EA1" w:rsidRPr="00F57EA1" w:rsidRDefault="00F57EA1" w:rsidP="00F57EA1">
            <w:pPr>
              <w:spacing w:after="0"/>
              <w:jc w:val="center"/>
              <w:rPr>
                <w:rFonts w:ascii="Aptos" w:hAnsi="Aptos"/>
                <w:color w:val="000000"/>
              </w:rPr>
            </w:pPr>
            <w:r w:rsidRPr="00F57EA1">
              <w:rPr>
                <w:rFonts w:ascii="Aptos" w:hAnsi="Aptos"/>
                <w:color w:val="000000"/>
              </w:rPr>
              <w:t>17</w:t>
            </w:r>
          </w:p>
        </w:tc>
        <w:tc>
          <w:tcPr>
            <w:tcW w:w="1300" w:type="dxa"/>
            <w:tcBorders>
              <w:top w:val="nil"/>
              <w:left w:val="nil"/>
              <w:bottom w:val="single" w:sz="4" w:space="0" w:color="auto"/>
              <w:right w:val="single" w:sz="4" w:space="0" w:color="auto"/>
            </w:tcBorders>
            <w:shd w:val="clear" w:color="auto" w:fill="auto"/>
            <w:vAlign w:val="center"/>
            <w:hideMark/>
          </w:tcPr>
          <w:p w14:paraId="0AAD6AF0" w14:textId="77777777" w:rsidR="00F57EA1" w:rsidRPr="00F57EA1" w:rsidRDefault="00F57EA1" w:rsidP="00F57EA1">
            <w:pPr>
              <w:spacing w:after="0"/>
              <w:jc w:val="center"/>
              <w:rPr>
                <w:rFonts w:ascii="Aptos" w:hAnsi="Aptos"/>
                <w:color w:val="000000"/>
              </w:rPr>
            </w:pPr>
            <w:r w:rsidRPr="00F57EA1">
              <w:rPr>
                <w:rFonts w:ascii="Aptos" w:hAnsi="Aptos"/>
                <w:color w:val="000000"/>
              </w:rPr>
              <w:t>2300</w:t>
            </w:r>
          </w:p>
        </w:tc>
        <w:tc>
          <w:tcPr>
            <w:tcW w:w="1300" w:type="dxa"/>
            <w:tcBorders>
              <w:top w:val="nil"/>
              <w:left w:val="nil"/>
              <w:bottom w:val="single" w:sz="4" w:space="0" w:color="auto"/>
              <w:right w:val="single" w:sz="4" w:space="0" w:color="auto"/>
            </w:tcBorders>
            <w:shd w:val="clear" w:color="auto" w:fill="auto"/>
            <w:vAlign w:val="center"/>
            <w:hideMark/>
          </w:tcPr>
          <w:p w14:paraId="39EC313C" w14:textId="77777777" w:rsidR="00F57EA1" w:rsidRPr="00F57EA1" w:rsidRDefault="00F57EA1" w:rsidP="00F57EA1">
            <w:pPr>
              <w:spacing w:after="0"/>
              <w:jc w:val="center"/>
              <w:rPr>
                <w:rFonts w:ascii="Aptos" w:hAnsi="Aptos"/>
                <w:color w:val="000000"/>
              </w:rPr>
            </w:pPr>
            <w:r w:rsidRPr="00F57EA1">
              <w:rPr>
                <w:rFonts w:ascii="Aptos" w:hAnsi="Aptos"/>
                <w:color w:val="000000"/>
              </w:rPr>
              <w:t>-19.0</w:t>
            </w:r>
          </w:p>
        </w:tc>
        <w:tc>
          <w:tcPr>
            <w:tcW w:w="1300" w:type="dxa"/>
            <w:tcBorders>
              <w:top w:val="nil"/>
              <w:left w:val="nil"/>
              <w:bottom w:val="single" w:sz="4" w:space="0" w:color="auto"/>
              <w:right w:val="single" w:sz="4" w:space="0" w:color="auto"/>
            </w:tcBorders>
            <w:shd w:val="clear" w:color="auto" w:fill="auto"/>
            <w:noWrap/>
            <w:vAlign w:val="bottom"/>
            <w:hideMark/>
          </w:tcPr>
          <w:p w14:paraId="35299F8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58.1</w:t>
            </w:r>
          </w:p>
        </w:tc>
        <w:tc>
          <w:tcPr>
            <w:tcW w:w="1300" w:type="dxa"/>
            <w:tcBorders>
              <w:top w:val="nil"/>
              <w:left w:val="nil"/>
              <w:bottom w:val="single" w:sz="4" w:space="0" w:color="auto"/>
              <w:right w:val="single" w:sz="4" w:space="0" w:color="auto"/>
            </w:tcBorders>
            <w:shd w:val="clear" w:color="auto" w:fill="auto"/>
            <w:noWrap/>
            <w:vAlign w:val="bottom"/>
            <w:hideMark/>
          </w:tcPr>
          <w:p w14:paraId="18DA5BA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0.2</w:t>
            </w:r>
          </w:p>
        </w:tc>
        <w:tc>
          <w:tcPr>
            <w:tcW w:w="1300" w:type="dxa"/>
            <w:tcBorders>
              <w:top w:val="nil"/>
              <w:left w:val="nil"/>
              <w:bottom w:val="single" w:sz="4" w:space="0" w:color="auto"/>
              <w:right w:val="single" w:sz="4" w:space="0" w:color="auto"/>
            </w:tcBorders>
            <w:shd w:val="clear" w:color="auto" w:fill="auto"/>
            <w:noWrap/>
            <w:vAlign w:val="bottom"/>
            <w:hideMark/>
          </w:tcPr>
          <w:p w14:paraId="0BFC074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91.7</w:t>
            </w:r>
          </w:p>
        </w:tc>
        <w:tc>
          <w:tcPr>
            <w:tcW w:w="1300" w:type="dxa"/>
            <w:tcBorders>
              <w:top w:val="nil"/>
              <w:left w:val="nil"/>
              <w:bottom w:val="single" w:sz="4" w:space="0" w:color="auto"/>
              <w:right w:val="single" w:sz="4" w:space="0" w:color="auto"/>
            </w:tcBorders>
            <w:shd w:val="clear" w:color="auto" w:fill="auto"/>
            <w:noWrap/>
            <w:vAlign w:val="bottom"/>
            <w:hideMark/>
          </w:tcPr>
          <w:p w14:paraId="5EB07CF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35.8</w:t>
            </w:r>
          </w:p>
        </w:tc>
      </w:tr>
      <w:tr w:rsidR="00F57EA1" w:rsidRPr="00F57EA1" w14:paraId="63C5663D"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8714E45" w14:textId="77777777" w:rsidR="00F57EA1" w:rsidRPr="00F57EA1" w:rsidRDefault="00F57EA1" w:rsidP="00F57EA1">
            <w:pPr>
              <w:spacing w:after="0"/>
              <w:jc w:val="center"/>
              <w:rPr>
                <w:rFonts w:ascii="Aptos" w:hAnsi="Aptos"/>
                <w:color w:val="000000"/>
              </w:rPr>
            </w:pPr>
            <w:r w:rsidRPr="00F57EA1">
              <w:rPr>
                <w:rFonts w:ascii="Aptos" w:hAnsi="Aptos"/>
                <w:color w:val="000000"/>
              </w:rPr>
              <w:t>18</w:t>
            </w:r>
          </w:p>
        </w:tc>
        <w:tc>
          <w:tcPr>
            <w:tcW w:w="1300" w:type="dxa"/>
            <w:tcBorders>
              <w:top w:val="nil"/>
              <w:left w:val="nil"/>
              <w:bottom w:val="single" w:sz="4" w:space="0" w:color="auto"/>
              <w:right w:val="single" w:sz="4" w:space="0" w:color="auto"/>
            </w:tcBorders>
            <w:shd w:val="clear" w:color="auto" w:fill="auto"/>
            <w:vAlign w:val="center"/>
            <w:hideMark/>
          </w:tcPr>
          <w:p w14:paraId="6DD481A8" w14:textId="77777777" w:rsidR="00F57EA1" w:rsidRPr="00F57EA1" w:rsidRDefault="00F57EA1" w:rsidP="00F57EA1">
            <w:pPr>
              <w:spacing w:after="0"/>
              <w:jc w:val="center"/>
              <w:rPr>
                <w:rFonts w:ascii="Aptos" w:hAnsi="Aptos"/>
                <w:color w:val="000000"/>
              </w:rPr>
            </w:pPr>
            <w:r w:rsidRPr="00F57EA1">
              <w:rPr>
                <w:rFonts w:ascii="Aptos" w:hAnsi="Aptos"/>
                <w:color w:val="000000"/>
              </w:rPr>
              <w:t>2420</w:t>
            </w:r>
          </w:p>
        </w:tc>
        <w:tc>
          <w:tcPr>
            <w:tcW w:w="1300" w:type="dxa"/>
            <w:tcBorders>
              <w:top w:val="nil"/>
              <w:left w:val="nil"/>
              <w:bottom w:val="single" w:sz="4" w:space="0" w:color="auto"/>
              <w:right w:val="single" w:sz="4" w:space="0" w:color="auto"/>
            </w:tcBorders>
            <w:shd w:val="clear" w:color="auto" w:fill="auto"/>
            <w:vAlign w:val="center"/>
            <w:hideMark/>
          </w:tcPr>
          <w:p w14:paraId="0C7F0D02" w14:textId="77777777" w:rsidR="00F57EA1" w:rsidRPr="00F57EA1" w:rsidRDefault="00F57EA1" w:rsidP="00F57EA1">
            <w:pPr>
              <w:spacing w:after="0"/>
              <w:jc w:val="center"/>
              <w:rPr>
                <w:rFonts w:ascii="Aptos" w:hAnsi="Aptos"/>
                <w:color w:val="000000"/>
              </w:rPr>
            </w:pPr>
            <w:r w:rsidRPr="00F57EA1">
              <w:rPr>
                <w:rFonts w:ascii="Aptos" w:hAnsi="Aptos"/>
                <w:color w:val="000000"/>
              </w:rPr>
              <w:t>-18.7</w:t>
            </w:r>
          </w:p>
        </w:tc>
        <w:tc>
          <w:tcPr>
            <w:tcW w:w="1300" w:type="dxa"/>
            <w:tcBorders>
              <w:top w:val="nil"/>
              <w:left w:val="nil"/>
              <w:bottom w:val="single" w:sz="4" w:space="0" w:color="auto"/>
              <w:right w:val="single" w:sz="4" w:space="0" w:color="auto"/>
            </w:tcBorders>
            <w:shd w:val="clear" w:color="auto" w:fill="auto"/>
            <w:noWrap/>
            <w:vAlign w:val="bottom"/>
            <w:hideMark/>
          </w:tcPr>
          <w:p w14:paraId="0122CCB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67.3</w:t>
            </w:r>
          </w:p>
        </w:tc>
        <w:tc>
          <w:tcPr>
            <w:tcW w:w="1300" w:type="dxa"/>
            <w:tcBorders>
              <w:top w:val="nil"/>
              <w:left w:val="nil"/>
              <w:bottom w:val="single" w:sz="4" w:space="0" w:color="auto"/>
              <w:right w:val="single" w:sz="4" w:space="0" w:color="auto"/>
            </w:tcBorders>
            <w:shd w:val="clear" w:color="auto" w:fill="auto"/>
            <w:noWrap/>
            <w:vAlign w:val="bottom"/>
            <w:hideMark/>
          </w:tcPr>
          <w:p w14:paraId="2F132FF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-4.9</w:t>
            </w:r>
          </w:p>
        </w:tc>
        <w:tc>
          <w:tcPr>
            <w:tcW w:w="1300" w:type="dxa"/>
            <w:tcBorders>
              <w:top w:val="nil"/>
              <w:left w:val="nil"/>
              <w:bottom w:val="single" w:sz="4" w:space="0" w:color="auto"/>
              <w:right w:val="single" w:sz="4" w:space="0" w:color="auto"/>
            </w:tcBorders>
            <w:shd w:val="clear" w:color="auto" w:fill="auto"/>
            <w:noWrap/>
            <w:vAlign w:val="bottom"/>
            <w:hideMark/>
          </w:tcPr>
          <w:p w14:paraId="0E22E64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91.6</w:t>
            </w:r>
          </w:p>
        </w:tc>
        <w:tc>
          <w:tcPr>
            <w:tcW w:w="1300" w:type="dxa"/>
            <w:tcBorders>
              <w:top w:val="nil"/>
              <w:left w:val="nil"/>
              <w:bottom w:val="single" w:sz="4" w:space="0" w:color="auto"/>
              <w:right w:val="single" w:sz="4" w:space="0" w:color="auto"/>
            </w:tcBorders>
            <w:shd w:val="clear" w:color="auto" w:fill="auto"/>
            <w:noWrap/>
            <w:vAlign w:val="bottom"/>
            <w:hideMark/>
          </w:tcPr>
          <w:p w14:paraId="6BE8F9D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52.9</w:t>
            </w:r>
          </w:p>
        </w:tc>
      </w:tr>
      <w:tr w:rsidR="00F57EA1" w:rsidRPr="00F57EA1" w14:paraId="1F552968"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6F00C00" w14:textId="77777777" w:rsidR="00F57EA1" w:rsidRPr="00F57EA1" w:rsidRDefault="00F57EA1" w:rsidP="00F57EA1">
            <w:pPr>
              <w:spacing w:after="0"/>
              <w:jc w:val="center"/>
              <w:rPr>
                <w:rFonts w:ascii="Aptos" w:hAnsi="Aptos"/>
                <w:color w:val="000000"/>
              </w:rPr>
            </w:pPr>
            <w:r w:rsidRPr="00F57EA1">
              <w:rPr>
                <w:rFonts w:ascii="Aptos" w:hAnsi="Aptos"/>
                <w:color w:val="000000"/>
              </w:rPr>
              <w:t>19</w:t>
            </w:r>
          </w:p>
        </w:tc>
        <w:tc>
          <w:tcPr>
            <w:tcW w:w="1300" w:type="dxa"/>
            <w:tcBorders>
              <w:top w:val="nil"/>
              <w:left w:val="nil"/>
              <w:bottom w:val="single" w:sz="4" w:space="0" w:color="auto"/>
              <w:right w:val="single" w:sz="4" w:space="0" w:color="auto"/>
            </w:tcBorders>
            <w:shd w:val="clear" w:color="auto" w:fill="auto"/>
            <w:vAlign w:val="center"/>
            <w:hideMark/>
          </w:tcPr>
          <w:p w14:paraId="62092DAC" w14:textId="77777777" w:rsidR="00F57EA1" w:rsidRPr="00F57EA1" w:rsidRDefault="00F57EA1" w:rsidP="00F57EA1">
            <w:pPr>
              <w:spacing w:after="0"/>
              <w:jc w:val="center"/>
              <w:rPr>
                <w:rFonts w:ascii="Aptos" w:hAnsi="Aptos"/>
                <w:color w:val="000000"/>
              </w:rPr>
            </w:pPr>
            <w:r w:rsidRPr="00F57EA1">
              <w:rPr>
                <w:rFonts w:ascii="Aptos" w:hAnsi="Aptos"/>
                <w:color w:val="000000"/>
              </w:rPr>
              <w:t>2568</w:t>
            </w:r>
          </w:p>
        </w:tc>
        <w:tc>
          <w:tcPr>
            <w:tcW w:w="1300" w:type="dxa"/>
            <w:tcBorders>
              <w:top w:val="nil"/>
              <w:left w:val="nil"/>
              <w:bottom w:val="single" w:sz="4" w:space="0" w:color="auto"/>
              <w:right w:val="single" w:sz="4" w:space="0" w:color="auto"/>
            </w:tcBorders>
            <w:shd w:val="clear" w:color="auto" w:fill="auto"/>
            <w:vAlign w:val="center"/>
            <w:hideMark/>
          </w:tcPr>
          <w:p w14:paraId="1529F8E0" w14:textId="77777777" w:rsidR="00F57EA1" w:rsidRPr="00F57EA1" w:rsidRDefault="00F57EA1" w:rsidP="00F57EA1">
            <w:pPr>
              <w:spacing w:after="0"/>
              <w:jc w:val="center"/>
              <w:rPr>
                <w:rFonts w:ascii="Aptos" w:hAnsi="Aptos"/>
                <w:color w:val="000000"/>
              </w:rPr>
            </w:pPr>
            <w:r w:rsidRPr="00F57EA1">
              <w:rPr>
                <w:rFonts w:ascii="Aptos" w:hAnsi="Aptos"/>
                <w:color w:val="000000"/>
              </w:rPr>
              <w:t>-24.6</w:t>
            </w:r>
          </w:p>
        </w:tc>
        <w:tc>
          <w:tcPr>
            <w:tcW w:w="1300" w:type="dxa"/>
            <w:tcBorders>
              <w:top w:val="nil"/>
              <w:left w:val="nil"/>
              <w:bottom w:val="single" w:sz="4" w:space="0" w:color="auto"/>
              <w:right w:val="single" w:sz="4" w:space="0" w:color="auto"/>
            </w:tcBorders>
            <w:shd w:val="clear" w:color="auto" w:fill="auto"/>
            <w:noWrap/>
            <w:vAlign w:val="bottom"/>
            <w:hideMark/>
          </w:tcPr>
          <w:p w14:paraId="063D779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76.2</w:t>
            </w:r>
          </w:p>
        </w:tc>
        <w:tc>
          <w:tcPr>
            <w:tcW w:w="1300" w:type="dxa"/>
            <w:tcBorders>
              <w:top w:val="nil"/>
              <w:left w:val="nil"/>
              <w:bottom w:val="single" w:sz="4" w:space="0" w:color="auto"/>
              <w:right w:val="single" w:sz="4" w:space="0" w:color="auto"/>
            </w:tcBorders>
            <w:shd w:val="clear" w:color="auto" w:fill="auto"/>
            <w:noWrap/>
            <w:vAlign w:val="bottom"/>
            <w:hideMark/>
          </w:tcPr>
          <w:p w14:paraId="7F221AB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-28.3</w:t>
            </w:r>
          </w:p>
        </w:tc>
        <w:tc>
          <w:tcPr>
            <w:tcW w:w="1300" w:type="dxa"/>
            <w:tcBorders>
              <w:top w:val="nil"/>
              <w:left w:val="nil"/>
              <w:bottom w:val="single" w:sz="4" w:space="0" w:color="auto"/>
              <w:right w:val="single" w:sz="4" w:space="0" w:color="auto"/>
            </w:tcBorders>
            <w:shd w:val="clear" w:color="auto" w:fill="auto"/>
            <w:noWrap/>
            <w:vAlign w:val="bottom"/>
            <w:hideMark/>
          </w:tcPr>
          <w:p w14:paraId="5A671101"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106.4</w:t>
            </w:r>
          </w:p>
        </w:tc>
        <w:tc>
          <w:tcPr>
            <w:tcW w:w="1300" w:type="dxa"/>
            <w:tcBorders>
              <w:top w:val="nil"/>
              <w:left w:val="nil"/>
              <w:bottom w:val="single" w:sz="4" w:space="0" w:color="auto"/>
              <w:right w:val="single" w:sz="4" w:space="0" w:color="auto"/>
            </w:tcBorders>
            <w:shd w:val="clear" w:color="auto" w:fill="auto"/>
            <w:noWrap/>
            <w:vAlign w:val="bottom"/>
            <w:hideMark/>
          </w:tcPr>
          <w:p w14:paraId="3F04343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46.4</w:t>
            </w:r>
          </w:p>
        </w:tc>
      </w:tr>
      <w:tr w:rsidR="00F57EA1" w:rsidRPr="00F57EA1" w14:paraId="04F05BC2"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122506D" w14:textId="77777777" w:rsidR="00F57EA1" w:rsidRPr="00F57EA1" w:rsidRDefault="00F57EA1" w:rsidP="00F57EA1">
            <w:pPr>
              <w:spacing w:after="0"/>
              <w:jc w:val="center"/>
              <w:rPr>
                <w:rFonts w:ascii="Aptos" w:hAnsi="Aptos"/>
                <w:color w:val="000000"/>
              </w:rPr>
            </w:pPr>
            <w:r w:rsidRPr="00F57EA1">
              <w:rPr>
                <w:rFonts w:ascii="Aptos" w:hAnsi="Aptos"/>
                <w:color w:val="000000"/>
              </w:rPr>
              <w:t>20</w:t>
            </w:r>
          </w:p>
        </w:tc>
        <w:tc>
          <w:tcPr>
            <w:tcW w:w="1300" w:type="dxa"/>
            <w:tcBorders>
              <w:top w:val="nil"/>
              <w:left w:val="nil"/>
              <w:bottom w:val="single" w:sz="4" w:space="0" w:color="auto"/>
              <w:right w:val="single" w:sz="4" w:space="0" w:color="auto"/>
            </w:tcBorders>
            <w:shd w:val="clear" w:color="auto" w:fill="auto"/>
            <w:vAlign w:val="center"/>
            <w:hideMark/>
          </w:tcPr>
          <w:p w14:paraId="3C7430AD" w14:textId="77777777" w:rsidR="00F57EA1" w:rsidRPr="00F57EA1" w:rsidRDefault="00F57EA1" w:rsidP="00F57EA1">
            <w:pPr>
              <w:spacing w:after="0"/>
              <w:jc w:val="center"/>
              <w:rPr>
                <w:rFonts w:ascii="Aptos" w:hAnsi="Aptos"/>
                <w:color w:val="000000"/>
              </w:rPr>
            </w:pPr>
            <w:r w:rsidRPr="00F57EA1">
              <w:rPr>
                <w:rFonts w:ascii="Aptos" w:hAnsi="Aptos"/>
                <w:color w:val="000000"/>
              </w:rPr>
              <w:t>3154</w:t>
            </w:r>
          </w:p>
        </w:tc>
        <w:tc>
          <w:tcPr>
            <w:tcW w:w="1300" w:type="dxa"/>
            <w:tcBorders>
              <w:top w:val="nil"/>
              <w:left w:val="nil"/>
              <w:bottom w:val="single" w:sz="4" w:space="0" w:color="auto"/>
              <w:right w:val="single" w:sz="4" w:space="0" w:color="auto"/>
            </w:tcBorders>
            <w:shd w:val="clear" w:color="auto" w:fill="auto"/>
            <w:vAlign w:val="center"/>
            <w:hideMark/>
          </w:tcPr>
          <w:p w14:paraId="507C36D6" w14:textId="77777777" w:rsidR="00F57EA1" w:rsidRPr="00F57EA1" w:rsidRDefault="00F57EA1" w:rsidP="00F57EA1">
            <w:pPr>
              <w:spacing w:after="0"/>
              <w:jc w:val="center"/>
              <w:rPr>
                <w:rFonts w:ascii="Aptos" w:hAnsi="Aptos"/>
                <w:color w:val="000000"/>
              </w:rPr>
            </w:pPr>
            <w:r w:rsidRPr="00F57EA1">
              <w:rPr>
                <w:rFonts w:ascii="Aptos" w:hAnsi="Aptos"/>
                <w:color w:val="000000"/>
              </w:rPr>
              <w:t>-25.8</w:t>
            </w:r>
          </w:p>
        </w:tc>
        <w:tc>
          <w:tcPr>
            <w:tcW w:w="1300" w:type="dxa"/>
            <w:tcBorders>
              <w:top w:val="nil"/>
              <w:left w:val="nil"/>
              <w:bottom w:val="single" w:sz="4" w:space="0" w:color="auto"/>
              <w:right w:val="single" w:sz="4" w:space="0" w:color="auto"/>
            </w:tcBorders>
            <w:shd w:val="clear" w:color="auto" w:fill="auto"/>
            <w:noWrap/>
            <w:vAlign w:val="bottom"/>
            <w:hideMark/>
          </w:tcPr>
          <w:p w14:paraId="48508F5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-91.4</w:t>
            </w:r>
          </w:p>
        </w:tc>
        <w:tc>
          <w:tcPr>
            <w:tcW w:w="1300" w:type="dxa"/>
            <w:tcBorders>
              <w:top w:val="nil"/>
              <w:left w:val="nil"/>
              <w:bottom w:val="single" w:sz="4" w:space="0" w:color="auto"/>
              <w:right w:val="single" w:sz="4" w:space="0" w:color="auto"/>
            </w:tcBorders>
            <w:shd w:val="clear" w:color="auto" w:fill="auto"/>
            <w:noWrap/>
            <w:vAlign w:val="bottom"/>
            <w:hideMark/>
          </w:tcPr>
          <w:p w14:paraId="559840D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29.3</w:t>
            </w:r>
          </w:p>
        </w:tc>
        <w:tc>
          <w:tcPr>
            <w:tcW w:w="1300" w:type="dxa"/>
            <w:tcBorders>
              <w:top w:val="nil"/>
              <w:left w:val="nil"/>
              <w:bottom w:val="single" w:sz="4" w:space="0" w:color="auto"/>
              <w:right w:val="single" w:sz="4" w:space="0" w:color="auto"/>
            </w:tcBorders>
            <w:shd w:val="clear" w:color="auto" w:fill="auto"/>
            <w:noWrap/>
            <w:vAlign w:val="bottom"/>
            <w:hideMark/>
          </w:tcPr>
          <w:p w14:paraId="4CFC6D71"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109.5</w:t>
            </w:r>
          </w:p>
        </w:tc>
        <w:tc>
          <w:tcPr>
            <w:tcW w:w="1300" w:type="dxa"/>
            <w:tcBorders>
              <w:top w:val="nil"/>
              <w:left w:val="nil"/>
              <w:bottom w:val="single" w:sz="4" w:space="0" w:color="auto"/>
              <w:right w:val="single" w:sz="4" w:space="0" w:color="auto"/>
            </w:tcBorders>
            <w:shd w:val="clear" w:color="auto" w:fill="auto"/>
            <w:noWrap/>
            <w:vAlign w:val="bottom"/>
            <w:hideMark/>
          </w:tcPr>
          <w:p w14:paraId="0AFF732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44.7</w:t>
            </w:r>
          </w:p>
        </w:tc>
      </w:tr>
      <w:tr w:rsidR="00F57EA1" w:rsidRPr="00F57EA1" w14:paraId="672053B0" w14:textId="77777777" w:rsidTr="00F57EA1">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13FCDFBF"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Per-Cluster Parameters</w:t>
            </w:r>
          </w:p>
        </w:tc>
      </w:tr>
      <w:tr w:rsidR="00F57EA1" w:rsidRPr="00F57EA1" w14:paraId="1CD2B4A3" w14:textId="77777777" w:rsidTr="00F57EA1">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774B5" w14:textId="77777777" w:rsidR="00F57EA1" w:rsidRPr="00F57EA1" w:rsidRDefault="00F57EA1" w:rsidP="00F57EA1">
            <w:pPr>
              <w:spacing w:after="0"/>
              <w:jc w:val="center"/>
              <w:rPr>
                <w:rFonts w:ascii="Aptos" w:hAnsi="Aptos"/>
                <w:i/>
                <w:iCs/>
                <w:color w:val="000000"/>
              </w:rPr>
            </w:pPr>
            <w:r w:rsidRPr="00F57EA1">
              <w:rPr>
                <w:rFonts w:ascii="Aptos" w:hAnsi="Aptos"/>
                <w:i/>
                <w:iCs/>
                <w:color w:val="000000"/>
              </w:rPr>
              <w:t>Parameter</w:t>
            </w:r>
          </w:p>
        </w:tc>
        <w:tc>
          <w:tcPr>
            <w:tcW w:w="1300" w:type="dxa"/>
            <w:tcBorders>
              <w:top w:val="nil"/>
              <w:left w:val="nil"/>
              <w:bottom w:val="single" w:sz="4" w:space="0" w:color="auto"/>
              <w:right w:val="single" w:sz="4" w:space="0" w:color="auto"/>
            </w:tcBorders>
            <w:shd w:val="clear" w:color="auto" w:fill="auto"/>
            <w:vAlign w:val="center"/>
            <w:hideMark/>
          </w:tcPr>
          <w:p w14:paraId="10852191"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ASD</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5E657B09"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ASA</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762DED6B"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ZSD</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5AFA2A50"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ZSA</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A36366C" w14:textId="77777777" w:rsidR="00F57EA1" w:rsidRPr="00F57EA1" w:rsidRDefault="00F57EA1" w:rsidP="00F57EA1">
            <w:pPr>
              <w:spacing w:after="0"/>
              <w:jc w:val="center"/>
              <w:rPr>
                <w:rFonts w:ascii="Aptos" w:hAnsi="Aptos"/>
                <w:color w:val="000000"/>
              </w:rPr>
            </w:pPr>
            <w:r w:rsidRPr="00F57EA1">
              <w:rPr>
                <w:rFonts w:ascii="Aptos" w:hAnsi="Aptos"/>
                <w:color w:val="000000"/>
              </w:rPr>
              <w:t>XPR in [dB]</w:t>
            </w:r>
          </w:p>
        </w:tc>
      </w:tr>
      <w:tr w:rsidR="00F57EA1" w:rsidRPr="00F57EA1" w14:paraId="62A8523F" w14:textId="77777777" w:rsidTr="00F57EA1">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689E2A" w14:textId="77777777" w:rsidR="00F57EA1" w:rsidRPr="00F57EA1" w:rsidRDefault="00F57EA1" w:rsidP="00F57EA1">
            <w:pPr>
              <w:spacing w:after="0"/>
              <w:jc w:val="center"/>
              <w:rPr>
                <w:rFonts w:ascii="Aptos" w:hAnsi="Aptos"/>
                <w:i/>
                <w:iCs/>
                <w:color w:val="000000"/>
              </w:rPr>
            </w:pPr>
            <w:r w:rsidRPr="00F57EA1">
              <w:rPr>
                <w:rFonts w:ascii="Aptos" w:hAnsi="Aptos"/>
                <w:i/>
                <w:iCs/>
                <w:color w:val="000000"/>
              </w:rPr>
              <w:t>Value</w:t>
            </w:r>
          </w:p>
        </w:tc>
        <w:tc>
          <w:tcPr>
            <w:tcW w:w="1300" w:type="dxa"/>
            <w:tcBorders>
              <w:top w:val="nil"/>
              <w:left w:val="nil"/>
              <w:bottom w:val="single" w:sz="4" w:space="0" w:color="auto"/>
              <w:right w:val="single" w:sz="4" w:space="0" w:color="auto"/>
            </w:tcBorders>
            <w:shd w:val="clear" w:color="auto" w:fill="auto"/>
            <w:noWrap/>
            <w:vAlign w:val="bottom"/>
            <w:hideMark/>
          </w:tcPr>
          <w:p w14:paraId="7A88A00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666F0BA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15.6</w:t>
            </w:r>
          </w:p>
        </w:tc>
        <w:tc>
          <w:tcPr>
            <w:tcW w:w="1300" w:type="dxa"/>
            <w:tcBorders>
              <w:top w:val="nil"/>
              <w:left w:val="nil"/>
              <w:bottom w:val="single" w:sz="4" w:space="0" w:color="auto"/>
              <w:right w:val="single" w:sz="4" w:space="0" w:color="auto"/>
            </w:tcBorders>
            <w:shd w:val="clear" w:color="auto" w:fill="auto"/>
            <w:noWrap/>
            <w:vAlign w:val="bottom"/>
            <w:hideMark/>
          </w:tcPr>
          <w:p w14:paraId="4D1FA01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3.6</w:t>
            </w:r>
          </w:p>
        </w:tc>
        <w:tc>
          <w:tcPr>
            <w:tcW w:w="1300" w:type="dxa"/>
            <w:tcBorders>
              <w:top w:val="nil"/>
              <w:left w:val="nil"/>
              <w:bottom w:val="single" w:sz="4" w:space="0" w:color="auto"/>
              <w:right w:val="single" w:sz="4" w:space="0" w:color="auto"/>
            </w:tcBorders>
            <w:shd w:val="clear" w:color="auto" w:fill="auto"/>
            <w:noWrap/>
            <w:vAlign w:val="bottom"/>
            <w:hideMark/>
          </w:tcPr>
          <w:p w14:paraId="514CC38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12.2</w:t>
            </w:r>
          </w:p>
        </w:tc>
        <w:tc>
          <w:tcPr>
            <w:tcW w:w="1300" w:type="dxa"/>
            <w:tcBorders>
              <w:top w:val="nil"/>
              <w:left w:val="nil"/>
              <w:bottom w:val="single" w:sz="4" w:space="0" w:color="auto"/>
              <w:right w:val="single" w:sz="4" w:space="0" w:color="auto"/>
            </w:tcBorders>
            <w:shd w:val="clear" w:color="auto" w:fill="auto"/>
            <w:vAlign w:val="center"/>
            <w:hideMark/>
          </w:tcPr>
          <w:p w14:paraId="08F60EF4" w14:textId="77777777" w:rsidR="00F57EA1" w:rsidRPr="00F57EA1" w:rsidRDefault="00F57EA1" w:rsidP="00F57EA1">
            <w:pPr>
              <w:spacing w:after="0"/>
              <w:jc w:val="center"/>
              <w:rPr>
                <w:rFonts w:ascii="Aptos" w:hAnsi="Aptos"/>
                <w:color w:val="000000"/>
              </w:rPr>
            </w:pPr>
            <w:r w:rsidRPr="00F57EA1">
              <w:rPr>
                <w:rFonts w:ascii="Aptos" w:hAnsi="Aptos"/>
                <w:color w:val="000000"/>
              </w:rPr>
              <w:t>7</w:t>
            </w:r>
          </w:p>
        </w:tc>
      </w:tr>
    </w:tbl>
    <w:p w14:paraId="676C5D9C" w14:textId="77777777" w:rsidR="00F57EA1" w:rsidRDefault="00F57EA1" w:rsidP="00E40FCF"/>
    <w:p w14:paraId="70372417" w14:textId="77777777" w:rsidR="00F57EA1" w:rsidRDefault="00F57EA1" w:rsidP="00E40FCF"/>
    <w:p w14:paraId="1D8F66E1" w14:textId="7E84F12A" w:rsidR="00F57EA1" w:rsidRDefault="00F57EA1" w:rsidP="00F57EA1">
      <w:pPr>
        <w:pStyle w:val="Caption"/>
        <w:keepNext/>
        <w:jc w:val="center"/>
      </w:pPr>
      <w:r>
        <w:t xml:space="preserve">Table </w:t>
      </w:r>
      <w:fldSimple w:instr=" SEQ Table \* ARABIC ">
        <w:r>
          <w:rPr>
            <w:noProof/>
          </w:rPr>
          <w:t>2</w:t>
        </w:r>
      </w:fldSimple>
      <w:r>
        <w:t xml:space="preserve">: </w:t>
      </w:r>
      <w:proofErr w:type="spellStart"/>
      <w:r w:rsidRPr="0002685A">
        <w:t>UMa</w:t>
      </w:r>
      <w:proofErr w:type="spellEnd"/>
      <w:r w:rsidRPr="0002685A">
        <w:t>-CDL-C A</w:t>
      </w:r>
      <w:r>
        <w:t>4</w:t>
      </w:r>
      <w:r w:rsidRPr="0002685A">
        <w:t xml:space="preserve"> Channel model table</w:t>
      </w:r>
    </w:p>
    <w:tbl>
      <w:tblPr>
        <w:tblW w:w="9100" w:type="dxa"/>
        <w:tblLook w:val="04A0" w:firstRow="1" w:lastRow="0" w:firstColumn="1" w:lastColumn="0" w:noHBand="0" w:noVBand="1"/>
      </w:tblPr>
      <w:tblGrid>
        <w:gridCol w:w="1300"/>
        <w:gridCol w:w="1300"/>
        <w:gridCol w:w="1300"/>
        <w:gridCol w:w="1300"/>
        <w:gridCol w:w="1300"/>
        <w:gridCol w:w="1300"/>
        <w:gridCol w:w="1300"/>
      </w:tblGrid>
      <w:tr w:rsidR="00F57EA1" w:rsidRPr="00F57EA1" w14:paraId="6C4F64F3" w14:textId="77777777" w:rsidTr="00F57EA1">
        <w:trPr>
          <w:trHeight w:val="600"/>
        </w:trPr>
        <w:tc>
          <w:tcPr>
            <w:tcW w:w="13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644B70DD"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Cluster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3D35C02D"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Cluster delay (ns)</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21A5BC8"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Power in [dB]</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583FF4E7"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AOD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28A31551"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AOA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3757E46"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ZOD in [°]</w:t>
            </w:r>
          </w:p>
        </w:tc>
        <w:tc>
          <w:tcPr>
            <w:tcW w:w="1300" w:type="dxa"/>
            <w:tcBorders>
              <w:top w:val="single" w:sz="4" w:space="0" w:color="auto"/>
              <w:left w:val="nil"/>
              <w:bottom w:val="single" w:sz="4" w:space="0" w:color="auto"/>
              <w:right w:val="single" w:sz="4" w:space="0" w:color="auto"/>
            </w:tcBorders>
            <w:shd w:val="clear" w:color="000000" w:fill="D9D9D9"/>
            <w:vAlign w:val="center"/>
            <w:hideMark/>
          </w:tcPr>
          <w:p w14:paraId="1D79FF99"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ZOA in [°]</w:t>
            </w:r>
          </w:p>
        </w:tc>
      </w:tr>
      <w:tr w:rsidR="00F57EA1" w:rsidRPr="00F57EA1" w14:paraId="29EB0B43"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CE0AC59" w14:textId="77777777" w:rsidR="00F57EA1" w:rsidRPr="00F57EA1" w:rsidRDefault="00F57EA1" w:rsidP="00F57EA1">
            <w:pPr>
              <w:spacing w:after="0"/>
              <w:jc w:val="center"/>
              <w:rPr>
                <w:rFonts w:ascii="Aptos" w:hAnsi="Aptos"/>
                <w:color w:val="000000"/>
              </w:rPr>
            </w:pPr>
            <w:r w:rsidRPr="00F57EA1">
              <w:rPr>
                <w:rFonts w:ascii="Aptos" w:hAnsi="Aptos"/>
                <w:color w:val="000000"/>
              </w:rPr>
              <w:t>1</w:t>
            </w:r>
          </w:p>
        </w:tc>
        <w:tc>
          <w:tcPr>
            <w:tcW w:w="1300" w:type="dxa"/>
            <w:tcBorders>
              <w:top w:val="nil"/>
              <w:left w:val="nil"/>
              <w:bottom w:val="single" w:sz="4" w:space="0" w:color="auto"/>
              <w:right w:val="single" w:sz="4" w:space="0" w:color="auto"/>
            </w:tcBorders>
            <w:shd w:val="clear" w:color="auto" w:fill="auto"/>
            <w:noWrap/>
            <w:vAlign w:val="center"/>
            <w:hideMark/>
          </w:tcPr>
          <w:p w14:paraId="1240A5BB"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0</w:t>
            </w:r>
          </w:p>
        </w:tc>
        <w:tc>
          <w:tcPr>
            <w:tcW w:w="1300" w:type="dxa"/>
            <w:tcBorders>
              <w:top w:val="nil"/>
              <w:left w:val="nil"/>
              <w:bottom w:val="single" w:sz="4" w:space="0" w:color="auto"/>
              <w:right w:val="single" w:sz="4" w:space="0" w:color="auto"/>
            </w:tcBorders>
            <w:shd w:val="clear" w:color="auto" w:fill="auto"/>
            <w:vAlign w:val="center"/>
            <w:hideMark/>
          </w:tcPr>
          <w:p w14:paraId="5522B0C7" w14:textId="77777777" w:rsidR="00F57EA1" w:rsidRPr="00F57EA1" w:rsidRDefault="00F57EA1" w:rsidP="00F57EA1">
            <w:pPr>
              <w:spacing w:after="0"/>
              <w:jc w:val="center"/>
              <w:rPr>
                <w:rFonts w:ascii="Aptos" w:hAnsi="Aptos"/>
                <w:color w:val="000000"/>
              </w:rPr>
            </w:pPr>
            <w:r w:rsidRPr="00F57EA1">
              <w:rPr>
                <w:rFonts w:ascii="Aptos" w:hAnsi="Aptos"/>
                <w:color w:val="000000"/>
              </w:rPr>
              <w:t>-7.4</w:t>
            </w:r>
          </w:p>
        </w:tc>
        <w:tc>
          <w:tcPr>
            <w:tcW w:w="1300" w:type="dxa"/>
            <w:tcBorders>
              <w:top w:val="nil"/>
              <w:left w:val="nil"/>
              <w:bottom w:val="single" w:sz="4" w:space="0" w:color="auto"/>
              <w:right w:val="single" w:sz="4" w:space="0" w:color="auto"/>
            </w:tcBorders>
            <w:shd w:val="clear" w:color="auto" w:fill="auto"/>
            <w:noWrap/>
            <w:vAlign w:val="bottom"/>
            <w:hideMark/>
          </w:tcPr>
          <w:p w14:paraId="2EE4A4D3"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-38.2</w:t>
            </w:r>
          </w:p>
        </w:tc>
        <w:tc>
          <w:tcPr>
            <w:tcW w:w="1300" w:type="dxa"/>
            <w:tcBorders>
              <w:top w:val="nil"/>
              <w:left w:val="nil"/>
              <w:bottom w:val="single" w:sz="4" w:space="0" w:color="auto"/>
              <w:right w:val="single" w:sz="4" w:space="0" w:color="auto"/>
            </w:tcBorders>
            <w:shd w:val="clear" w:color="auto" w:fill="auto"/>
            <w:noWrap/>
            <w:vAlign w:val="bottom"/>
            <w:hideMark/>
          </w:tcPr>
          <w:p w14:paraId="1494070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-96.9</w:t>
            </w:r>
          </w:p>
        </w:tc>
        <w:tc>
          <w:tcPr>
            <w:tcW w:w="1300" w:type="dxa"/>
            <w:tcBorders>
              <w:top w:val="nil"/>
              <w:left w:val="nil"/>
              <w:bottom w:val="single" w:sz="4" w:space="0" w:color="auto"/>
              <w:right w:val="single" w:sz="4" w:space="0" w:color="auto"/>
            </w:tcBorders>
            <w:shd w:val="clear" w:color="auto" w:fill="auto"/>
            <w:noWrap/>
            <w:vAlign w:val="bottom"/>
            <w:hideMark/>
          </w:tcPr>
          <w:p w14:paraId="0DDE38E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96.8</w:t>
            </w:r>
          </w:p>
        </w:tc>
        <w:tc>
          <w:tcPr>
            <w:tcW w:w="1300" w:type="dxa"/>
            <w:tcBorders>
              <w:top w:val="nil"/>
              <w:left w:val="nil"/>
              <w:bottom w:val="single" w:sz="4" w:space="0" w:color="auto"/>
              <w:right w:val="single" w:sz="4" w:space="0" w:color="auto"/>
            </w:tcBorders>
            <w:shd w:val="clear" w:color="auto" w:fill="auto"/>
            <w:noWrap/>
            <w:vAlign w:val="bottom"/>
            <w:hideMark/>
          </w:tcPr>
          <w:p w14:paraId="21392FC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98.1</w:t>
            </w:r>
          </w:p>
        </w:tc>
      </w:tr>
      <w:tr w:rsidR="00F57EA1" w:rsidRPr="00F57EA1" w14:paraId="1D768B46"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391BC9A1" w14:textId="77777777" w:rsidR="00F57EA1" w:rsidRPr="00F57EA1" w:rsidRDefault="00F57EA1" w:rsidP="00F57EA1">
            <w:pPr>
              <w:spacing w:after="0"/>
              <w:jc w:val="center"/>
              <w:rPr>
                <w:rFonts w:ascii="Aptos" w:hAnsi="Aptos"/>
                <w:color w:val="000000"/>
              </w:rPr>
            </w:pPr>
            <w:r w:rsidRPr="00F57EA1">
              <w:rPr>
                <w:rFonts w:ascii="Aptos" w:hAnsi="Aptos"/>
                <w:color w:val="000000"/>
              </w:rPr>
              <w:t>2</w:t>
            </w:r>
          </w:p>
        </w:tc>
        <w:tc>
          <w:tcPr>
            <w:tcW w:w="1300" w:type="dxa"/>
            <w:tcBorders>
              <w:top w:val="nil"/>
              <w:left w:val="nil"/>
              <w:bottom w:val="single" w:sz="4" w:space="0" w:color="auto"/>
              <w:right w:val="single" w:sz="4" w:space="0" w:color="auto"/>
            </w:tcBorders>
            <w:shd w:val="clear" w:color="auto" w:fill="auto"/>
            <w:noWrap/>
            <w:vAlign w:val="center"/>
            <w:hideMark/>
          </w:tcPr>
          <w:p w14:paraId="7A12F97B"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132</w:t>
            </w:r>
          </w:p>
        </w:tc>
        <w:tc>
          <w:tcPr>
            <w:tcW w:w="1300" w:type="dxa"/>
            <w:tcBorders>
              <w:top w:val="nil"/>
              <w:left w:val="nil"/>
              <w:bottom w:val="single" w:sz="4" w:space="0" w:color="auto"/>
              <w:right w:val="single" w:sz="4" w:space="0" w:color="auto"/>
            </w:tcBorders>
            <w:shd w:val="clear" w:color="auto" w:fill="auto"/>
            <w:vAlign w:val="center"/>
            <w:hideMark/>
          </w:tcPr>
          <w:p w14:paraId="44F9D546" w14:textId="77777777" w:rsidR="00F57EA1" w:rsidRPr="00F57EA1" w:rsidRDefault="00F57EA1" w:rsidP="00F57EA1">
            <w:pPr>
              <w:spacing w:after="0"/>
              <w:jc w:val="center"/>
              <w:rPr>
                <w:rFonts w:ascii="Aptos" w:hAnsi="Aptos"/>
                <w:color w:val="000000"/>
              </w:rPr>
            </w:pPr>
            <w:r w:rsidRPr="00F57EA1">
              <w:rPr>
                <w:rFonts w:ascii="Aptos" w:hAnsi="Aptos"/>
                <w:color w:val="000000"/>
              </w:rPr>
              <w:t>-1.2</w:t>
            </w:r>
          </w:p>
        </w:tc>
        <w:tc>
          <w:tcPr>
            <w:tcW w:w="1300" w:type="dxa"/>
            <w:tcBorders>
              <w:top w:val="nil"/>
              <w:left w:val="nil"/>
              <w:bottom w:val="single" w:sz="4" w:space="0" w:color="auto"/>
              <w:right w:val="single" w:sz="4" w:space="0" w:color="auto"/>
            </w:tcBorders>
            <w:shd w:val="clear" w:color="auto" w:fill="auto"/>
            <w:noWrap/>
            <w:vAlign w:val="bottom"/>
            <w:hideMark/>
          </w:tcPr>
          <w:p w14:paraId="3F77C65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-21.8</w:t>
            </w:r>
          </w:p>
        </w:tc>
        <w:tc>
          <w:tcPr>
            <w:tcW w:w="1300" w:type="dxa"/>
            <w:tcBorders>
              <w:top w:val="nil"/>
              <w:left w:val="nil"/>
              <w:bottom w:val="single" w:sz="4" w:space="0" w:color="auto"/>
              <w:right w:val="single" w:sz="4" w:space="0" w:color="auto"/>
            </w:tcBorders>
            <w:shd w:val="clear" w:color="auto" w:fill="auto"/>
            <w:noWrap/>
            <w:vAlign w:val="bottom"/>
            <w:hideMark/>
          </w:tcPr>
          <w:p w14:paraId="7101686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118.9</w:t>
            </w:r>
          </w:p>
        </w:tc>
        <w:tc>
          <w:tcPr>
            <w:tcW w:w="1300" w:type="dxa"/>
            <w:tcBorders>
              <w:top w:val="nil"/>
              <w:left w:val="nil"/>
              <w:bottom w:val="single" w:sz="4" w:space="0" w:color="auto"/>
              <w:right w:val="single" w:sz="4" w:space="0" w:color="auto"/>
            </w:tcBorders>
            <w:shd w:val="clear" w:color="auto" w:fill="auto"/>
            <w:noWrap/>
            <w:vAlign w:val="bottom"/>
            <w:hideMark/>
          </w:tcPr>
          <w:p w14:paraId="5E0FEF7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98.5</w:t>
            </w:r>
          </w:p>
        </w:tc>
        <w:tc>
          <w:tcPr>
            <w:tcW w:w="1300" w:type="dxa"/>
            <w:tcBorders>
              <w:top w:val="nil"/>
              <w:left w:val="nil"/>
              <w:bottom w:val="single" w:sz="4" w:space="0" w:color="auto"/>
              <w:right w:val="single" w:sz="4" w:space="0" w:color="auto"/>
            </w:tcBorders>
            <w:shd w:val="clear" w:color="auto" w:fill="auto"/>
            <w:noWrap/>
            <w:vAlign w:val="bottom"/>
            <w:hideMark/>
          </w:tcPr>
          <w:p w14:paraId="2463A325"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71.1</w:t>
            </w:r>
          </w:p>
        </w:tc>
      </w:tr>
      <w:tr w:rsidR="00F57EA1" w:rsidRPr="00F57EA1" w14:paraId="6A6E737D"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7C9C52F" w14:textId="77777777" w:rsidR="00F57EA1" w:rsidRPr="00F57EA1" w:rsidRDefault="00F57EA1" w:rsidP="00F57EA1">
            <w:pPr>
              <w:spacing w:after="0"/>
              <w:jc w:val="center"/>
              <w:rPr>
                <w:rFonts w:ascii="Aptos" w:hAnsi="Aptos"/>
                <w:color w:val="000000"/>
              </w:rPr>
            </w:pPr>
            <w:r w:rsidRPr="00F57EA1">
              <w:rPr>
                <w:rFonts w:ascii="Aptos" w:hAnsi="Aptos"/>
                <w:color w:val="000000"/>
              </w:rPr>
              <w:t>3</w:t>
            </w:r>
          </w:p>
        </w:tc>
        <w:tc>
          <w:tcPr>
            <w:tcW w:w="1300" w:type="dxa"/>
            <w:tcBorders>
              <w:top w:val="nil"/>
              <w:left w:val="nil"/>
              <w:bottom w:val="single" w:sz="4" w:space="0" w:color="auto"/>
              <w:right w:val="single" w:sz="4" w:space="0" w:color="auto"/>
            </w:tcBorders>
            <w:shd w:val="clear" w:color="auto" w:fill="auto"/>
            <w:noWrap/>
            <w:vAlign w:val="center"/>
            <w:hideMark/>
          </w:tcPr>
          <w:p w14:paraId="429E843A"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138</w:t>
            </w:r>
          </w:p>
        </w:tc>
        <w:tc>
          <w:tcPr>
            <w:tcW w:w="1300" w:type="dxa"/>
            <w:tcBorders>
              <w:top w:val="nil"/>
              <w:left w:val="nil"/>
              <w:bottom w:val="single" w:sz="4" w:space="0" w:color="auto"/>
              <w:right w:val="single" w:sz="4" w:space="0" w:color="auto"/>
            </w:tcBorders>
            <w:shd w:val="clear" w:color="auto" w:fill="auto"/>
            <w:vAlign w:val="center"/>
            <w:hideMark/>
          </w:tcPr>
          <w:p w14:paraId="56436AFA" w14:textId="77777777" w:rsidR="00F57EA1" w:rsidRPr="00F57EA1" w:rsidRDefault="00F57EA1" w:rsidP="00F57EA1">
            <w:pPr>
              <w:spacing w:after="0"/>
              <w:jc w:val="center"/>
              <w:rPr>
                <w:rFonts w:ascii="Aptos" w:hAnsi="Aptos"/>
                <w:color w:val="000000"/>
              </w:rPr>
            </w:pPr>
            <w:r w:rsidRPr="00F57EA1">
              <w:rPr>
                <w:rFonts w:ascii="Aptos" w:hAnsi="Aptos"/>
                <w:color w:val="000000"/>
              </w:rPr>
              <w:t>-5.5</w:t>
            </w:r>
          </w:p>
        </w:tc>
        <w:tc>
          <w:tcPr>
            <w:tcW w:w="1300" w:type="dxa"/>
            <w:tcBorders>
              <w:top w:val="nil"/>
              <w:left w:val="nil"/>
              <w:bottom w:val="single" w:sz="4" w:space="0" w:color="auto"/>
              <w:right w:val="single" w:sz="4" w:space="0" w:color="auto"/>
            </w:tcBorders>
            <w:shd w:val="clear" w:color="auto" w:fill="auto"/>
            <w:noWrap/>
            <w:vAlign w:val="bottom"/>
            <w:hideMark/>
          </w:tcPr>
          <w:p w14:paraId="736BE4B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-34.2</w:t>
            </w:r>
          </w:p>
        </w:tc>
        <w:tc>
          <w:tcPr>
            <w:tcW w:w="1300" w:type="dxa"/>
            <w:tcBorders>
              <w:top w:val="nil"/>
              <w:left w:val="nil"/>
              <w:bottom w:val="single" w:sz="4" w:space="0" w:color="auto"/>
              <w:right w:val="single" w:sz="4" w:space="0" w:color="auto"/>
            </w:tcBorders>
            <w:shd w:val="clear" w:color="auto" w:fill="auto"/>
            <w:noWrap/>
            <w:vAlign w:val="bottom"/>
            <w:hideMark/>
          </w:tcPr>
          <w:p w14:paraId="0D322FE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-124.4</w:t>
            </w:r>
          </w:p>
        </w:tc>
        <w:tc>
          <w:tcPr>
            <w:tcW w:w="1300" w:type="dxa"/>
            <w:tcBorders>
              <w:top w:val="nil"/>
              <w:left w:val="nil"/>
              <w:bottom w:val="single" w:sz="4" w:space="0" w:color="auto"/>
              <w:right w:val="single" w:sz="4" w:space="0" w:color="auto"/>
            </w:tcBorders>
            <w:shd w:val="clear" w:color="auto" w:fill="auto"/>
            <w:noWrap/>
            <w:vAlign w:val="bottom"/>
            <w:hideMark/>
          </w:tcPr>
          <w:p w14:paraId="5964684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100.9</w:t>
            </w:r>
          </w:p>
        </w:tc>
        <w:tc>
          <w:tcPr>
            <w:tcW w:w="1300" w:type="dxa"/>
            <w:tcBorders>
              <w:top w:val="nil"/>
              <w:left w:val="nil"/>
              <w:bottom w:val="single" w:sz="4" w:space="0" w:color="auto"/>
              <w:right w:val="single" w:sz="4" w:space="0" w:color="auto"/>
            </w:tcBorders>
            <w:shd w:val="clear" w:color="auto" w:fill="auto"/>
            <w:noWrap/>
            <w:vAlign w:val="bottom"/>
            <w:hideMark/>
          </w:tcPr>
          <w:p w14:paraId="7C01C1A3"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67.6</w:t>
            </w:r>
          </w:p>
        </w:tc>
      </w:tr>
      <w:tr w:rsidR="00F57EA1" w:rsidRPr="00F57EA1" w14:paraId="62921881"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2A516431" w14:textId="77777777" w:rsidR="00F57EA1" w:rsidRPr="00F57EA1" w:rsidRDefault="00F57EA1" w:rsidP="00F57EA1">
            <w:pPr>
              <w:spacing w:after="0"/>
              <w:jc w:val="center"/>
              <w:rPr>
                <w:rFonts w:ascii="Aptos" w:hAnsi="Aptos"/>
                <w:color w:val="000000"/>
              </w:rPr>
            </w:pPr>
            <w:r w:rsidRPr="00F57EA1">
              <w:rPr>
                <w:rFonts w:ascii="Aptos" w:hAnsi="Aptos"/>
                <w:color w:val="000000"/>
              </w:rPr>
              <w:t>4</w:t>
            </w:r>
          </w:p>
        </w:tc>
        <w:tc>
          <w:tcPr>
            <w:tcW w:w="1300" w:type="dxa"/>
            <w:tcBorders>
              <w:top w:val="nil"/>
              <w:left w:val="nil"/>
              <w:bottom w:val="single" w:sz="4" w:space="0" w:color="auto"/>
              <w:right w:val="single" w:sz="4" w:space="0" w:color="auto"/>
            </w:tcBorders>
            <w:shd w:val="clear" w:color="auto" w:fill="auto"/>
            <w:noWrap/>
            <w:vAlign w:val="center"/>
            <w:hideMark/>
          </w:tcPr>
          <w:p w14:paraId="0F7D8737"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402</w:t>
            </w:r>
          </w:p>
        </w:tc>
        <w:tc>
          <w:tcPr>
            <w:tcW w:w="1300" w:type="dxa"/>
            <w:tcBorders>
              <w:top w:val="nil"/>
              <w:left w:val="nil"/>
              <w:bottom w:val="single" w:sz="4" w:space="0" w:color="auto"/>
              <w:right w:val="single" w:sz="4" w:space="0" w:color="auto"/>
            </w:tcBorders>
            <w:shd w:val="clear" w:color="auto" w:fill="auto"/>
            <w:vAlign w:val="center"/>
            <w:hideMark/>
          </w:tcPr>
          <w:p w14:paraId="5DB91388" w14:textId="77777777" w:rsidR="00F57EA1" w:rsidRPr="00F57EA1" w:rsidRDefault="00F57EA1" w:rsidP="00F57EA1">
            <w:pPr>
              <w:spacing w:after="0"/>
              <w:jc w:val="center"/>
              <w:rPr>
                <w:rFonts w:ascii="Aptos" w:hAnsi="Aptos"/>
                <w:color w:val="000000"/>
              </w:rPr>
            </w:pPr>
            <w:r w:rsidRPr="00F57EA1">
              <w:rPr>
                <w:rFonts w:ascii="Aptos" w:hAnsi="Aptos"/>
                <w:color w:val="000000"/>
              </w:rPr>
              <w:t>0.0</w:t>
            </w:r>
          </w:p>
        </w:tc>
        <w:tc>
          <w:tcPr>
            <w:tcW w:w="1300" w:type="dxa"/>
            <w:tcBorders>
              <w:top w:val="nil"/>
              <w:left w:val="nil"/>
              <w:bottom w:val="single" w:sz="4" w:space="0" w:color="auto"/>
              <w:right w:val="single" w:sz="4" w:space="0" w:color="auto"/>
            </w:tcBorders>
            <w:shd w:val="clear" w:color="auto" w:fill="auto"/>
            <w:noWrap/>
            <w:vAlign w:val="bottom"/>
            <w:hideMark/>
          </w:tcPr>
          <w:p w14:paraId="202F3E5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-5.9</w:t>
            </w:r>
          </w:p>
        </w:tc>
        <w:tc>
          <w:tcPr>
            <w:tcW w:w="1300" w:type="dxa"/>
            <w:tcBorders>
              <w:top w:val="nil"/>
              <w:left w:val="nil"/>
              <w:bottom w:val="single" w:sz="4" w:space="0" w:color="auto"/>
              <w:right w:val="single" w:sz="4" w:space="0" w:color="auto"/>
            </w:tcBorders>
            <w:shd w:val="clear" w:color="auto" w:fill="auto"/>
            <w:noWrap/>
            <w:vAlign w:val="bottom"/>
            <w:hideMark/>
          </w:tcPr>
          <w:p w14:paraId="4F778C10"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171.2</w:t>
            </w:r>
          </w:p>
        </w:tc>
        <w:tc>
          <w:tcPr>
            <w:tcW w:w="1300" w:type="dxa"/>
            <w:tcBorders>
              <w:top w:val="nil"/>
              <w:left w:val="nil"/>
              <w:bottom w:val="single" w:sz="4" w:space="0" w:color="auto"/>
              <w:right w:val="single" w:sz="4" w:space="0" w:color="auto"/>
            </w:tcBorders>
            <w:shd w:val="clear" w:color="auto" w:fill="auto"/>
            <w:noWrap/>
            <w:vAlign w:val="bottom"/>
            <w:hideMark/>
          </w:tcPr>
          <w:p w14:paraId="38451057"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99.2</w:t>
            </w:r>
          </w:p>
        </w:tc>
        <w:tc>
          <w:tcPr>
            <w:tcW w:w="1300" w:type="dxa"/>
            <w:tcBorders>
              <w:top w:val="nil"/>
              <w:left w:val="nil"/>
              <w:bottom w:val="single" w:sz="4" w:space="0" w:color="auto"/>
              <w:right w:val="single" w:sz="4" w:space="0" w:color="auto"/>
            </w:tcBorders>
            <w:shd w:val="clear" w:color="auto" w:fill="auto"/>
            <w:noWrap/>
            <w:vAlign w:val="bottom"/>
            <w:hideMark/>
          </w:tcPr>
          <w:p w14:paraId="4C909AD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76.6</w:t>
            </w:r>
          </w:p>
        </w:tc>
      </w:tr>
      <w:tr w:rsidR="00F57EA1" w:rsidRPr="00F57EA1" w14:paraId="3719A768"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9C2EF3F" w14:textId="77777777" w:rsidR="00F57EA1" w:rsidRPr="00F57EA1" w:rsidRDefault="00F57EA1" w:rsidP="00F57EA1">
            <w:pPr>
              <w:spacing w:after="0"/>
              <w:jc w:val="center"/>
              <w:rPr>
                <w:rFonts w:ascii="Aptos" w:hAnsi="Aptos"/>
                <w:color w:val="000000"/>
              </w:rPr>
            </w:pPr>
            <w:r w:rsidRPr="00F57EA1">
              <w:rPr>
                <w:rFonts w:ascii="Aptos" w:hAnsi="Aptos"/>
                <w:color w:val="000000"/>
              </w:rPr>
              <w:t>5</w:t>
            </w:r>
          </w:p>
        </w:tc>
        <w:tc>
          <w:tcPr>
            <w:tcW w:w="1300" w:type="dxa"/>
            <w:tcBorders>
              <w:top w:val="nil"/>
              <w:left w:val="nil"/>
              <w:bottom w:val="single" w:sz="4" w:space="0" w:color="auto"/>
              <w:right w:val="single" w:sz="4" w:space="0" w:color="auto"/>
            </w:tcBorders>
            <w:shd w:val="clear" w:color="auto" w:fill="auto"/>
            <w:noWrap/>
            <w:vAlign w:val="center"/>
            <w:hideMark/>
          </w:tcPr>
          <w:p w14:paraId="66610A51"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416</w:t>
            </w:r>
          </w:p>
        </w:tc>
        <w:tc>
          <w:tcPr>
            <w:tcW w:w="1300" w:type="dxa"/>
            <w:tcBorders>
              <w:top w:val="nil"/>
              <w:left w:val="nil"/>
              <w:bottom w:val="single" w:sz="4" w:space="0" w:color="auto"/>
              <w:right w:val="single" w:sz="4" w:space="0" w:color="auto"/>
            </w:tcBorders>
            <w:shd w:val="clear" w:color="auto" w:fill="auto"/>
            <w:vAlign w:val="center"/>
            <w:hideMark/>
          </w:tcPr>
          <w:p w14:paraId="33D5BBBD" w14:textId="77777777" w:rsidR="00F57EA1" w:rsidRPr="00F57EA1" w:rsidRDefault="00F57EA1" w:rsidP="00F57EA1">
            <w:pPr>
              <w:spacing w:after="0"/>
              <w:jc w:val="center"/>
              <w:rPr>
                <w:rFonts w:ascii="Aptos" w:hAnsi="Aptos"/>
                <w:color w:val="000000"/>
              </w:rPr>
            </w:pPr>
            <w:r w:rsidRPr="00F57EA1">
              <w:rPr>
                <w:rFonts w:ascii="Aptos" w:hAnsi="Aptos"/>
                <w:color w:val="000000"/>
              </w:rPr>
              <w:t>-10.4</w:t>
            </w:r>
          </w:p>
        </w:tc>
        <w:tc>
          <w:tcPr>
            <w:tcW w:w="1300" w:type="dxa"/>
            <w:tcBorders>
              <w:top w:val="nil"/>
              <w:left w:val="nil"/>
              <w:bottom w:val="single" w:sz="4" w:space="0" w:color="auto"/>
              <w:right w:val="single" w:sz="4" w:space="0" w:color="auto"/>
            </w:tcBorders>
            <w:shd w:val="clear" w:color="auto" w:fill="auto"/>
            <w:noWrap/>
            <w:vAlign w:val="bottom"/>
            <w:hideMark/>
          </w:tcPr>
          <w:p w14:paraId="2990143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1764FBB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51.9</w:t>
            </w:r>
          </w:p>
        </w:tc>
        <w:tc>
          <w:tcPr>
            <w:tcW w:w="1300" w:type="dxa"/>
            <w:tcBorders>
              <w:top w:val="nil"/>
              <w:left w:val="nil"/>
              <w:bottom w:val="single" w:sz="4" w:space="0" w:color="auto"/>
              <w:right w:val="single" w:sz="4" w:space="0" w:color="auto"/>
            </w:tcBorders>
            <w:shd w:val="clear" w:color="auto" w:fill="auto"/>
            <w:noWrap/>
            <w:vAlign w:val="bottom"/>
            <w:hideMark/>
          </w:tcPr>
          <w:p w14:paraId="181984F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106.4</w:t>
            </w:r>
          </w:p>
        </w:tc>
        <w:tc>
          <w:tcPr>
            <w:tcW w:w="1300" w:type="dxa"/>
            <w:tcBorders>
              <w:top w:val="nil"/>
              <w:left w:val="nil"/>
              <w:bottom w:val="single" w:sz="4" w:space="0" w:color="auto"/>
              <w:right w:val="single" w:sz="4" w:space="0" w:color="auto"/>
            </w:tcBorders>
            <w:shd w:val="clear" w:color="auto" w:fill="auto"/>
            <w:noWrap/>
            <w:vAlign w:val="bottom"/>
            <w:hideMark/>
          </w:tcPr>
          <w:p w14:paraId="260F616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62.8</w:t>
            </w:r>
          </w:p>
        </w:tc>
      </w:tr>
      <w:tr w:rsidR="00F57EA1" w:rsidRPr="00F57EA1" w14:paraId="37ADC11F"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E381094" w14:textId="77777777" w:rsidR="00F57EA1" w:rsidRPr="00F57EA1" w:rsidRDefault="00F57EA1" w:rsidP="00F57EA1">
            <w:pPr>
              <w:spacing w:after="0"/>
              <w:jc w:val="center"/>
              <w:rPr>
                <w:rFonts w:ascii="Aptos" w:hAnsi="Aptos"/>
                <w:color w:val="000000"/>
              </w:rPr>
            </w:pPr>
            <w:r w:rsidRPr="00F57EA1">
              <w:rPr>
                <w:rFonts w:ascii="Aptos" w:hAnsi="Aptos"/>
                <w:color w:val="000000"/>
              </w:rPr>
              <w:t>6</w:t>
            </w:r>
          </w:p>
        </w:tc>
        <w:tc>
          <w:tcPr>
            <w:tcW w:w="1300" w:type="dxa"/>
            <w:tcBorders>
              <w:top w:val="nil"/>
              <w:left w:val="nil"/>
              <w:bottom w:val="single" w:sz="4" w:space="0" w:color="auto"/>
              <w:right w:val="single" w:sz="4" w:space="0" w:color="auto"/>
            </w:tcBorders>
            <w:shd w:val="clear" w:color="auto" w:fill="auto"/>
            <w:noWrap/>
            <w:vAlign w:val="center"/>
            <w:hideMark/>
          </w:tcPr>
          <w:p w14:paraId="77E0E8C3"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502</w:t>
            </w:r>
          </w:p>
        </w:tc>
        <w:tc>
          <w:tcPr>
            <w:tcW w:w="1300" w:type="dxa"/>
            <w:tcBorders>
              <w:top w:val="nil"/>
              <w:left w:val="nil"/>
              <w:bottom w:val="single" w:sz="4" w:space="0" w:color="auto"/>
              <w:right w:val="single" w:sz="4" w:space="0" w:color="auto"/>
            </w:tcBorders>
            <w:shd w:val="clear" w:color="auto" w:fill="auto"/>
            <w:vAlign w:val="center"/>
            <w:hideMark/>
          </w:tcPr>
          <w:p w14:paraId="0A4E695E" w14:textId="77777777" w:rsidR="00F57EA1" w:rsidRPr="00F57EA1" w:rsidRDefault="00F57EA1" w:rsidP="00F57EA1">
            <w:pPr>
              <w:spacing w:after="0"/>
              <w:jc w:val="center"/>
              <w:rPr>
                <w:rFonts w:ascii="Aptos" w:hAnsi="Aptos"/>
                <w:color w:val="000000"/>
              </w:rPr>
            </w:pPr>
            <w:r w:rsidRPr="00F57EA1">
              <w:rPr>
                <w:rFonts w:ascii="Aptos" w:hAnsi="Aptos"/>
                <w:color w:val="000000"/>
              </w:rPr>
              <w:t>-10.1</w:t>
            </w:r>
          </w:p>
        </w:tc>
        <w:tc>
          <w:tcPr>
            <w:tcW w:w="1300" w:type="dxa"/>
            <w:tcBorders>
              <w:top w:val="nil"/>
              <w:left w:val="nil"/>
              <w:bottom w:val="single" w:sz="4" w:space="0" w:color="auto"/>
              <w:right w:val="single" w:sz="4" w:space="0" w:color="auto"/>
            </w:tcBorders>
            <w:shd w:val="clear" w:color="auto" w:fill="auto"/>
            <w:noWrap/>
            <w:vAlign w:val="bottom"/>
            <w:hideMark/>
          </w:tcPr>
          <w:p w14:paraId="7D2CFD9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-50.6</w:t>
            </w:r>
          </w:p>
        </w:tc>
        <w:tc>
          <w:tcPr>
            <w:tcW w:w="1300" w:type="dxa"/>
            <w:tcBorders>
              <w:top w:val="nil"/>
              <w:left w:val="nil"/>
              <w:bottom w:val="single" w:sz="4" w:space="0" w:color="auto"/>
              <w:right w:val="single" w:sz="4" w:space="0" w:color="auto"/>
            </w:tcBorders>
            <w:shd w:val="clear" w:color="auto" w:fill="auto"/>
            <w:noWrap/>
            <w:vAlign w:val="bottom"/>
            <w:hideMark/>
          </w:tcPr>
          <w:p w14:paraId="420A27E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1AAAC2A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94.5</w:t>
            </w:r>
          </w:p>
        </w:tc>
        <w:tc>
          <w:tcPr>
            <w:tcW w:w="1300" w:type="dxa"/>
            <w:tcBorders>
              <w:top w:val="nil"/>
              <w:left w:val="nil"/>
              <w:bottom w:val="single" w:sz="4" w:space="0" w:color="auto"/>
              <w:right w:val="single" w:sz="4" w:space="0" w:color="auto"/>
            </w:tcBorders>
            <w:shd w:val="clear" w:color="auto" w:fill="auto"/>
            <w:noWrap/>
            <w:vAlign w:val="bottom"/>
            <w:hideMark/>
          </w:tcPr>
          <w:p w14:paraId="23F98D4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56.6</w:t>
            </w:r>
          </w:p>
        </w:tc>
      </w:tr>
      <w:tr w:rsidR="00F57EA1" w:rsidRPr="00F57EA1" w14:paraId="7382FC00"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FD6A46C" w14:textId="77777777" w:rsidR="00F57EA1" w:rsidRPr="00F57EA1" w:rsidRDefault="00F57EA1" w:rsidP="00F57EA1">
            <w:pPr>
              <w:spacing w:after="0"/>
              <w:jc w:val="center"/>
              <w:rPr>
                <w:rFonts w:ascii="Aptos" w:hAnsi="Aptos"/>
                <w:color w:val="000000"/>
              </w:rPr>
            </w:pPr>
            <w:r w:rsidRPr="00F57EA1">
              <w:rPr>
                <w:rFonts w:ascii="Aptos" w:hAnsi="Aptos"/>
                <w:color w:val="000000"/>
              </w:rPr>
              <w:t>7</w:t>
            </w:r>
          </w:p>
        </w:tc>
        <w:tc>
          <w:tcPr>
            <w:tcW w:w="1300" w:type="dxa"/>
            <w:tcBorders>
              <w:top w:val="nil"/>
              <w:left w:val="nil"/>
              <w:bottom w:val="single" w:sz="4" w:space="0" w:color="auto"/>
              <w:right w:val="single" w:sz="4" w:space="0" w:color="auto"/>
            </w:tcBorders>
            <w:shd w:val="clear" w:color="auto" w:fill="auto"/>
            <w:noWrap/>
            <w:vAlign w:val="center"/>
            <w:hideMark/>
          </w:tcPr>
          <w:p w14:paraId="086E74C4"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518</w:t>
            </w:r>
          </w:p>
        </w:tc>
        <w:tc>
          <w:tcPr>
            <w:tcW w:w="1300" w:type="dxa"/>
            <w:tcBorders>
              <w:top w:val="nil"/>
              <w:left w:val="nil"/>
              <w:bottom w:val="single" w:sz="4" w:space="0" w:color="auto"/>
              <w:right w:val="single" w:sz="4" w:space="0" w:color="auto"/>
            </w:tcBorders>
            <w:shd w:val="clear" w:color="auto" w:fill="auto"/>
            <w:vAlign w:val="center"/>
            <w:hideMark/>
          </w:tcPr>
          <w:p w14:paraId="10823928" w14:textId="77777777" w:rsidR="00F57EA1" w:rsidRPr="00F57EA1" w:rsidRDefault="00F57EA1" w:rsidP="00F57EA1">
            <w:pPr>
              <w:spacing w:after="0"/>
              <w:jc w:val="center"/>
              <w:rPr>
                <w:rFonts w:ascii="Aptos" w:hAnsi="Aptos"/>
                <w:color w:val="000000"/>
              </w:rPr>
            </w:pPr>
            <w:r w:rsidRPr="00F57EA1">
              <w:rPr>
                <w:rFonts w:ascii="Aptos" w:hAnsi="Aptos"/>
                <w:color w:val="000000"/>
              </w:rPr>
              <w:t>-13.7</w:t>
            </w:r>
          </w:p>
        </w:tc>
        <w:tc>
          <w:tcPr>
            <w:tcW w:w="1300" w:type="dxa"/>
            <w:tcBorders>
              <w:top w:val="nil"/>
              <w:left w:val="nil"/>
              <w:bottom w:val="single" w:sz="4" w:space="0" w:color="auto"/>
              <w:right w:val="single" w:sz="4" w:space="0" w:color="auto"/>
            </w:tcBorders>
            <w:shd w:val="clear" w:color="auto" w:fill="auto"/>
            <w:noWrap/>
            <w:vAlign w:val="bottom"/>
            <w:hideMark/>
          </w:tcPr>
          <w:p w14:paraId="6ED75E9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49.1</w:t>
            </w:r>
          </w:p>
        </w:tc>
        <w:tc>
          <w:tcPr>
            <w:tcW w:w="1300" w:type="dxa"/>
            <w:tcBorders>
              <w:top w:val="nil"/>
              <w:left w:val="nil"/>
              <w:bottom w:val="single" w:sz="4" w:space="0" w:color="auto"/>
              <w:right w:val="single" w:sz="4" w:space="0" w:color="auto"/>
            </w:tcBorders>
            <w:shd w:val="clear" w:color="auto" w:fill="auto"/>
            <w:noWrap/>
            <w:vAlign w:val="bottom"/>
            <w:hideMark/>
          </w:tcPr>
          <w:p w14:paraId="575597E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-42.1</w:t>
            </w:r>
          </w:p>
        </w:tc>
        <w:tc>
          <w:tcPr>
            <w:tcW w:w="1300" w:type="dxa"/>
            <w:tcBorders>
              <w:top w:val="nil"/>
              <w:left w:val="nil"/>
              <w:bottom w:val="single" w:sz="4" w:space="0" w:color="auto"/>
              <w:right w:val="single" w:sz="4" w:space="0" w:color="auto"/>
            </w:tcBorders>
            <w:shd w:val="clear" w:color="auto" w:fill="auto"/>
            <w:noWrap/>
            <w:vAlign w:val="bottom"/>
            <w:hideMark/>
          </w:tcPr>
          <w:p w14:paraId="09B093B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107.5</w:t>
            </w:r>
          </w:p>
        </w:tc>
        <w:tc>
          <w:tcPr>
            <w:tcW w:w="1300" w:type="dxa"/>
            <w:tcBorders>
              <w:top w:val="nil"/>
              <w:left w:val="nil"/>
              <w:bottom w:val="single" w:sz="4" w:space="0" w:color="auto"/>
              <w:right w:val="single" w:sz="4" w:space="0" w:color="auto"/>
            </w:tcBorders>
            <w:shd w:val="clear" w:color="auto" w:fill="auto"/>
            <w:noWrap/>
            <w:vAlign w:val="bottom"/>
            <w:hideMark/>
          </w:tcPr>
          <w:p w14:paraId="561EB7E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69.8</w:t>
            </w:r>
          </w:p>
        </w:tc>
      </w:tr>
      <w:tr w:rsidR="00F57EA1" w:rsidRPr="00F57EA1" w14:paraId="72861319"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30A8457" w14:textId="77777777" w:rsidR="00F57EA1" w:rsidRPr="00F57EA1" w:rsidRDefault="00F57EA1" w:rsidP="00F57EA1">
            <w:pPr>
              <w:spacing w:after="0"/>
              <w:jc w:val="center"/>
              <w:rPr>
                <w:rFonts w:ascii="Aptos" w:hAnsi="Aptos"/>
                <w:color w:val="000000"/>
              </w:rPr>
            </w:pPr>
            <w:r w:rsidRPr="00F57EA1">
              <w:rPr>
                <w:rFonts w:ascii="Aptos" w:hAnsi="Aptos"/>
                <w:color w:val="000000"/>
              </w:rPr>
              <w:lastRenderedPageBreak/>
              <w:t>8</w:t>
            </w:r>
          </w:p>
        </w:tc>
        <w:tc>
          <w:tcPr>
            <w:tcW w:w="1300" w:type="dxa"/>
            <w:tcBorders>
              <w:top w:val="nil"/>
              <w:left w:val="nil"/>
              <w:bottom w:val="single" w:sz="4" w:space="0" w:color="auto"/>
              <w:right w:val="single" w:sz="4" w:space="0" w:color="auto"/>
            </w:tcBorders>
            <w:shd w:val="clear" w:color="auto" w:fill="auto"/>
            <w:noWrap/>
            <w:vAlign w:val="center"/>
            <w:hideMark/>
          </w:tcPr>
          <w:p w14:paraId="4583A624"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776</w:t>
            </w:r>
          </w:p>
        </w:tc>
        <w:tc>
          <w:tcPr>
            <w:tcW w:w="1300" w:type="dxa"/>
            <w:tcBorders>
              <w:top w:val="nil"/>
              <w:left w:val="nil"/>
              <w:bottom w:val="single" w:sz="4" w:space="0" w:color="auto"/>
              <w:right w:val="single" w:sz="4" w:space="0" w:color="auto"/>
            </w:tcBorders>
            <w:shd w:val="clear" w:color="auto" w:fill="auto"/>
            <w:vAlign w:val="center"/>
            <w:hideMark/>
          </w:tcPr>
          <w:p w14:paraId="6689972F" w14:textId="77777777" w:rsidR="00F57EA1" w:rsidRPr="00F57EA1" w:rsidRDefault="00F57EA1" w:rsidP="00F57EA1">
            <w:pPr>
              <w:spacing w:after="0"/>
              <w:jc w:val="center"/>
              <w:rPr>
                <w:rFonts w:ascii="Aptos" w:hAnsi="Aptos"/>
                <w:color w:val="000000"/>
              </w:rPr>
            </w:pPr>
            <w:r w:rsidRPr="00F57EA1">
              <w:rPr>
                <w:rFonts w:ascii="Aptos" w:hAnsi="Aptos"/>
                <w:color w:val="000000"/>
              </w:rPr>
              <w:t>-8.1</w:t>
            </w:r>
          </w:p>
        </w:tc>
        <w:tc>
          <w:tcPr>
            <w:tcW w:w="1300" w:type="dxa"/>
            <w:tcBorders>
              <w:top w:val="nil"/>
              <w:left w:val="nil"/>
              <w:bottom w:val="single" w:sz="4" w:space="0" w:color="auto"/>
              <w:right w:val="single" w:sz="4" w:space="0" w:color="auto"/>
            </w:tcBorders>
            <w:shd w:val="clear" w:color="auto" w:fill="auto"/>
            <w:noWrap/>
            <w:vAlign w:val="bottom"/>
            <w:hideMark/>
          </w:tcPr>
          <w:p w14:paraId="4779CA5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-44.2</w:t>
            </w:r>
          </w:p>
        </w:tc>
        <w:tc>
          <w:tcPr>
            <w:tcW w:w="1300" w:type="dxa"/>
            <w:tcBorders>
              <w:top w:val="nil"/>
              <w:left w:val="nil"/>
              <w:bottom w:val="single" w:sz="4" w:space="0" w:color="auto"/>
              <w:right w:val="single" w:sz="4" w:space="0" w:color="auto"/>
            </w:tcBorders>
            <w:shd w:val="clear" w:color="auto" w:fill="auto"/>
            <w:noWrap/>
            <w:vAlign w:val="bottom"/>
            <w:hideMark/>
          </w:tcPr>
          <w:p w14:paraId="2653D3B5"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65.1</w:t>
            </w:r>
          </w:p>
        </w:tc>
        <w:tc>
          <w:tcPr>
            <w:tcW w:w="1300" w:type="dxa"/>
            <w:tcBorders>
              <w:top w:val="nil"/>
              <w:left w:val="nil"/>
              <w:bottom w:val="single" w:sz="4" w:space="0" w:color="auto"/>
              <w:right w:val="single" w:sz="4" w:space="0" w:color="auto"/>
            </w:tcBorders>
            <w:shd w:val="clear" w:color="auto" w:fill="auto"/>
            <w:noWrap/>
            <w:vAlign w:val="bottom"/>
            <w:hideMark/>
          </w:tcPr>
          <w:p w14:paraId="78ED7C6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104.6</w:t>
            </w:r>
          </w:p>
        </w:tc>
        <w:tc>
          <w:tcPr>
            <w:tcW w:w="1300" w:type="dxa"/>
            <w:tcBorders>
              <w:top w:val="nil"/>
              <w:left w:val="nil"/>
              <w:bottom w:val="single" w:sz="4" w:space="0" w:color="auto"/>
              <w:right w:val="single" w:sz="4" w:space="0" w:color="auto"/>
            </w:tcBorders>
            <w:shd w:val="clear" w:color="auto" w:fill="auto"/>
            <w:noWrap/>
            <w:vAlign w:val="bottom"/>
            <w:hideMark/>
          </w:tcPr>
          <w:p w14:paraId="49CA575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103.4</w:t>
            </w:r>
          </w:p>
        </w:tc>
      </w:tr>
      <w:tr w:rsidR="00F57EA1" w:rsidRPr="00F57EA1" w14:paraId="0D110128"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1C97AC82" w14:textId="77777777" w:rsidR="00F57EA1" w:rsidRPr="00F57EA1" w:rsidRDefault="00F57EA1" w:rsidP="00F57EA1">
            <w:pPr>
              <w:spacing w:after="0"/>
              <w:jc w:val="center"/>
              <w:rPr>
                <w:rFonts w:ascii="Aptos" w:hAnsi="Aptos"/>
                <w:color w:val="000000"/>
              </w:rPr>
            </w:pPr>
            <w:r w:rsidRPr="00F57EA1">
              <w:rPr>
                <w:rFonts w:ascii="Aptos" w:hAnsi="Aptos"/>
                <w:color w:val="000000"/>
              </w:rPr>
              <w:t>9</w:t>
            </w:r>
          </w:p>
        </w:tc>
        <w:tc>
          <w:tcPr>
            <w:tcW w:w="1300" w:type="dxa"/>
            <w:tcBorders>
              <w:top w:val="nil"/>
              <w:left w:val="nil"/>
              <w:bottom w:val="single" w:sz="4" w:space="0" w:color="auto"/>
              <w:right w:val="single" w:sz="4" w:space="0" w:color="auto"/>
            </w:tcBorders>
            <w:shd w:val="clear" w:color="auto" w:fill="auto"/>
            <w:noWrap/>
            <w:vAlign w:val="center"/>
            <w:hideMark/>
          </w:tcPr>
          <w:p w14:paraId="01C1A576"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826</w:t>
            </w:r>
          </w:p>
        </w:tc>
        <w:tc>
          <w:tcPr>
            <w:tcW w:w="1300" w:type="dxa"/>
            <w:tcBorders>
              <w:top w:val="nil"/>
              <w:left w:val="nil"/>
              <w:bottom w:val="single" w:sz="4" w:space="0" w:color="auto"/>
              <w:right w:val="single" w:sz="4" w:space="0" w:color="auto"/>
            </w:tcBorders>
            <w:shd w:val="clear" w:color="auto" w:fill="auto"/>
            <w:vAlign w:val="center"/>
            <w:hideMark/>
          </w:tcPr>
          <w:p w14:paraId="7CF5561D" w14:textId="77777777" w:rsidR="00F57EA1" w:rsidRPr="00F57EA1" w:rsidRDefault="00F57EA1" w:rsidP="00F57EA1">
            <w:pPr>
              <w:spacing w:after="0"/>
              <w:jc w:val="center"/>
              <w:rPr>
                <w:rFonts w:ascii="Aptos" w:hAnsi="Aptos"/>
                <w:color w:val="000000"/>
              </w:rPr>
            </w:pPr>
            <w:r w:rsidRPr="00F57EA1">
              <w:rPr>
                <w:rFonts w:ascii="Aptos" w:hAnsi="Aptos"/>
                <w:color w:val="000000"/>
              </w:rPr>
              <w:t>-9.8</w:t>
            </w:r>
          </w:p>
        </w:tc>
        <w:tc>
          <w:tcPr>
            <w:tcW w:w="1300" w:type="dxa"/>
            <w:tcBorders>
              <w:top w:val="nil"/>
              <w:left w:val="nil"/>
              <w:bottom w:val="single" w:sz="4" w:space="0" w:color="auto"/>
              <w:right w:val="single" w:sz="4" w:space="0" w:color="auto"/>
            </w:tcBorders>
            <w:shd w:val="clear" w:color="auto" w:fill="auto"/>
            <w:noWrap/>
            <w:vAlign w:val="bottom"/>
            <w:hideMark/>
          </w:tcPr>
          <w:p w14:paraId="6AF583DB"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-50.4</w:t>
            </w:r>
          </w:p>
        </w:tc>
        <w:tc>
          <w:tcPr>
            <w:tcW w:w="1300" w:type="dxa"/>
            <w:tcBorders>
              <w:top w:val="nil"/>
              <w:left w:val="nil"/>
              <w:bottom w:val="single" w:sz="4" w:space="0" w:color="auto"/>
              <w:right w:val="single" w:sz="4" w:space="0" w:color="auto"/>
            </w:tcBorders>
            <w:shd w:val="clear" w:color="auto" w:fill="auto"/>
            <w:noWrap/>
            <w:vAlign w:val="bottom"/>
            <w:hideMark/>
          </w:tcPr>
          <w:p w14:paraId="67D059EC"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-63.4</w:t>
            </w:r>
          </w:p>
        </w:tc>
        <w:tc>
          <w:tcPr>
            <w:tcW w:w="1300" w:type="dxa"/>
            <w:tcBorders>
              <w:top w:val="nil"/>
              <w:left w:val="nil"/>
              <w:bottom w:val="single" w:sz="4" w:space="0" w:color="auto"/>
              <w:right w:val="single" w:sz="4" w:space="0" w:color="auto"/>
            </w:tcBorders>
            <w:shd w:val="clear" w:color="auto" w:fill="auto"/>
            <w:noWrap/>
            <w:vAlign w:val="bottom"/>
            <w:hideMark/>
          </w:tcPr>
          <w:p w14:paraId="3F16AC3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63D8BE7F"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50.1</w:t>
            </w:r>
          </w:p>
        </w:tc>
      </w:tr>
      <w:tr w:rsidR="00F57EA1" w:rsidRPr="00F57EA1" w14:paraId="4F3F34B8"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60660809" w14:textId="77777777" w:rsidR="00F57EA1" w:rsidRPr="00F57EA1" w:rsidRDefault="00F57EA1" w:rsidP="00F57EA1">
            <w:pPr>
              <w:spacing w:after="0"/>
              <w:jc w:val="center"/>
              <w:rPr>
                <w:rFonts w:ascii="Aptos" w:hAnsi="Aptos"/>
                <w:color w:val="000000"/>
              </w:rPr>
            </w:pPr>
            <w:r w:rsidRPr="00F57EA1">
              <w:rPr>
                <w:rFonts w:ascii="Aptos" w:hAnsi="Aptos"/>
                <w:color w:val="000000"/>
              </w:rPr>
              <w:t>10</w:t>
            </w:r>
          </w:p>
        </w:tc>
        <w:tc>
          <w:tcPr>
            <w:tcW w:w="1300" w:type="dxa"/>
            <w:tcBorders>
              <w:top w:val="nil"/>
              <w:left w:val="nil"/>
              <w:bottom w:val="single" w:sz="4" w:space="0" w:color="auto"/>
              <w:right w:val="single" w:sz="4" w:space="0" w:color="auto"/>
            </w:tcBorders>
            <w:shd w:val="clear" w:color="auto" w:fill="auto"/>
            <w:noWrap/>
            <w:vAlign w:val="center"/>
            <w:hideMark/>
          </w:tcPr>
          <w:p w14:paraId="454F3D6D"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1372</w:t>
            </w:r>
          </w:p>
        </w:tc>
        <w:tc>
          <w:tcPr>
            <w:tcW w:w="1300" w:type="dxa"/>
            <w:tcBorders>
              <w:top w:val="nil"/>
              <w:left w:val="nil"/>
              <w:bottom w:val="single" w:sz="4" w:space="0" w:color="auto"/>
              <w:right w:val="single" w:sz="4" w:space="0" w:color="auto"/>
            </w:tcBorders>
            <w:shd w:val="clear" w:color="auto" w:fill="auto"/>
            <w:vAlign w:val="center"/>
            <w:hideMark/>
          </w:tcPr>
          <w:p w14:paraId="0BF4579E" w14:textId="77777777" w:rsidR="00F57EA1" w:rsidRPr="00F57EA1" w:rsidRDefault="00F57EA1" w:rsidP="00F57EA1">
            <w:pPr>
              <w:spacing w:after="0"/>
              <w:jc w:val="center"/>
              <w:rPr>
                <w:rFonts w:ascii="Aptos" w:hAnsi="Aptos"/>
                <w:color w:val="000000"/>
              </w:rPr>
            </w:pPr>
            <w:r w:rsidRPr="00F57EA1">
              <w:rPr>
                <w:rFonts w:ascii="Aptos" w:hAnsi="Aptos"/>
                <w:color w:val="000000"/>
              </w:rPr>
              <w:t>-11.7</w:t>
            </w:r>
          </w:p>
        </w:tc>
        <w:tc>
          <w:tcPr>
            <w:tcW w:w="1300" w:type="dxa"/>
            <w:tcBorders>
              <w:top w:val="nil"/>
              <w:left w:val="nil"/>
              <w:bottom w:val="single" w:sz="4" w:space="0" w:color="auto"/>
              <w:right w:val="single" w:sz="4" w:space="0" w:color="auto"/>
            </w:tcBorders>
            <w:shd w:val="clear" w:color="auto" w:fill="auto"/>
            <w:noWrap/>
            <w:vAlign w:val="bottom"/>
            <w:hideMark/>
          </w:tcPr>
          <w:p w14:paraId="37D1F3C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-60.2</w:t>
            </w:r>
          </w:p>
        </w:tc>
        <w:tc>
          <w:tcPr>
            <w:tcW w:w="1300" w:type="dxa"/>
            <w:tcBorders>
              <w:top w:val="nil"/>
              <w:left w:val="nil"/>
              <w:bottom w:val="single" w:sz="4" w:space="0" w:color="auto"/>
              <w:right w:val="single" w:sz="4" w:space="0" w:color="auto"/>
            </w:tcBorders>
            <w:shd w:val="clear" w:color="auto" w:fill="auto"/>
            <w:noWrap/>
            <w:vAlign w:val="bottom"/>
            <w:hideMark/>
          </w:tcPr>
          <w:p w14:paraId="0C82200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79.0</w:t>
            </w:r>
          </w:p>
        </w:tc>
        <w:tc>
          <w:tcPr>
            <w:tcW w:w="1300" w:type="dxa"/>
            <w:tcBorders>
              <w:top w:val="nil"/>
              <w:left w:val="nil"/>
              <w:bottom w:val="single" w:sz="4" w:space="0" w:color="auto"/>
              <w:right w:val="single" w:sz="4" w:space="0" w:color="auto"/>
            </w:tcBorders>
            <w:shd w:val="clear" w:color="auto" w:fill="auto"/>
            <w:noWrap/>
            <w:vAlign w:val="bottom"/>
            <w:hideMark/>
          </w:tcPr>
          <w:p w14:paraId="7713038E"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91.7</w:t>
            </w:r>
          </w:p>
        </w:tc>
        <w:tc>
          <w:tcPr>
            <w:tcW w:w="1300" w:type="dxa"/>
            <w:tcBorders>
              <w:top w:val="nil"/>
              <w:left w:val="nil"/>
              <w:bottom w:val="single" w:sz="4" w:space="0" w:color="auto"/>
              <w:right w:val="single" w:sz="4" w:space="0" w:color="auto"/>
            </w:tcBorders>
            <w:shd w:val="clear" w:color="auto" w:fill="auto"/>
            <w:noWrap/>
            <w:vAlign w:val="bottom"/>
            <w:hideMark/>
          </w:tcPr>
          <w:p w14:paraId="2F7C5114"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51.7</w:t>
            </w:r>
          </w:p>
        </w:tc>
      </w:tr>
      <w:tr w:rsidR="00F57EA1" w:rsidRPr="00F57EA1" w14:paraId="382F624F"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46D6697C" w14:textId="77777777" w:rsidR="00F57EA1" w:rsidRPr="00F57EA1" w:rsidRDefault="00F57EA1" w:rsidP="00F57EA1">
            <w:pPr>
              <w:spacing w:after="0"/>
              <w:jc w:val="center"/>
              <w:rPr>
                <w:rFonts w:ascii="Aptos" w:hAnsi="Aptos"/>
                <w:color w:val="000000"/>
              </w:rPr>
            </w:pPr>
            <w:r w:rsidRPr="00F57EA1">
              <w:rPr>
                <w:rFonts w:ascii="Aptos" w:hAnsi="Aptos"/>
                <w:color w:val="000000"/>
              </w:rPr>
              <w:t>11</w:t>
            </w:r>
          </w:p>
        </w:tc>
        <w:tc>
          <w:tcPr>
            <w:tcW w:w="1300" w:type="dxa"/>
            <w:tcBorders>
              <w:top w:val="nil"/>
              <w:left w:val="nil"/>
              <w:bottom w:val="single" w:sz="4" w:space="0" w:color="auto"/>
              <w:right w:val="single" w:sz="4" w:space="0" w:color="auto"/>
            </w:tcBorders>
            <w:shd w:val="clear" w:color="auto" w:fill="auto"/>
            <w:noWrap/>
            <w:vAlign w:val="center"/>
            <w:hideMark/>
          </w:tcPr>
          <w:p w14:paraId="2A999071" w14:textId="77777777" w:rsidR="00F57EA1" w:rsidRPr="00F57EA1" w:rsidRDefault="00F57EA1" w:rsidP="00F57EA1">
            <w:pPr>
              <w:spacing w:after="0"/>
              <w:jc w:val="center"/>
              <w:rPr>
                <w:rFonts w:ascii="Aptos Narrow" w:hAnsi="Aptos Narrow"/>
                <w:color w:val="000000"/>
                <w:sz w:val="22"/>
                <w:szCs w:val="22"/>
              </w:rPr>
            </w:pPr>
            <w:r w:rsidRPr="00F57EA1">
              <w:rPr>
                <w:rFonts w:ascii="Aptos Narrow" w:hAnsi="Aptos Narrow"/>
                <w:color w:val="000000"/>
                <w:sz w:val="22"/>
                <w:szCs w:val="22"/>
              </w:rPr>
              <w:t>1712</w:t>
            </w:r>
          </w:p>
        </w:tc>
        <w:tc>
          <w:tcPr>
            <w:tcW w:w="1300" w:type="dxa"/>
            <w:tcBorders>
              <w:top w:val="nil"/>
              <w:left w:val="nil"/>
              <w:bottom w:val="single" w:sz="4" w:space="0" w:color="auto"/>
              <w:right w:val="single" w:sz="4" w:space="0" w:color="auto"/>
            </w:tcBorders>
            <w:shd w:val="clear" w:color="auto" w:fill="auto"/>
            <w:vAlign w:val="center"/>
            <w:hideMark/>
          </w:tcPr>
          <w:p w14:paraId="60470316" w14:textId="77777777" w:rsidR="00F57EA1" w:rsidRPr="00F57EA1" w:rsidRDefault="00F57EA1" w:rsidP="00F57EA1">
            <w:pPr>
              <w:spacing w:after="0"/>
              <w:jc w:val="center"/>
              <w:rPr>
                <w:rFonts w:ascii="Aptos" w:hAnsi="Aptos"/>
                <w:color w:val="000000"/>
              </w:rPr>
            </w:pPr>
            <w:r w:rsidRPr="00F57EA1">
              <w:rPr>
                <w:rFonts w:ascii="Aptos" w:hAnsi="Aptos"/>
                <w:color w:val="000000"/>
              </w:rPr>
              <w:t>-16.2</w:t>
            </w:r>
          </w:p>
        </w:tc>
        <w:tc>
          <w:tcPr>
            <w:tcW w:w="1300" w:type="dxa"/>
            <w:tcBorders>
              <w:top w:val="nil"/>
              <w:left w:val="nil"/>
              <w:bottom w:val="single" w:sz="4" w:space="0" w:color="auto"/>
              <w:right w:val="single" w:sz="4" w:space="0" w:color="auto"/>
            </w:tcBorders>
            <w:shd w:val="clear" w:color="auto" w:fill="auto"/>
            <w:noWrap/>
            <w:vAlign w:val="bottom"/>
            <w:hideMark/>
          </w:tcPr>
          <w:p w14:paraId="1F4E3A23"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64.6</w:t>
            </w:r>
          </w:p>
        </w:tc>
        <w:tc>
          <w:tcPr>
            <w:tcW w:w="1300" w:type="dxa"/>
            <w:tcBorders>
              <w:top w:val="nil"/>
              <w:left w:val="nil"/>
              <w:bottom w:val="single" w:sz="4" w:space="0" w:color="auto"/>
              <w:right w:val="single" w:sz="4" w:space="0" w:color="auto"/>
            </w:tcBorders>
            <w:shd w:val="clear" w:color="auto" w:fill="auto"/>
            <w:noWrap/>
            <w:vAlign w:val="bottom"/>
            <w:hideMark/>
          </w:tcPr>
          <w:p w14:paraId="17190DB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26.3</w:t>
            </w:r>
          </w:p>
        </w:tc>
        <w:tc>
          <w:tcPr>
            <w:tcW w:w="1300" w:type="dxa"/>
            <w:tcBorders>
              <w:top w:val="nil"/>
              <w:left w:val="nil"/>
              <w:bottom w:val="single" w:sz="4" w:space="0" w:color="auto"/>
              <w:right w:val="single" w:sz="4" w:space="0" w:color="auto"/>
            </w:tcBorders>
            <w:shd w:val="clear" w:color="auto" w:fill="auto"/>
            <w:noWrap/>
            <w:vAlign w:val="bottom"/>
            <w:hideMark/>
          </w:tcPr>
          <w:p w14:paraId="372FAD0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105.2</w:t>
            </w:r>
          </w:p>
        </w:tc>
        <w:tc>
          <w:tcPr>
            <w:tcW w:w="1300" w:type="dxa"/>
            <w:tcBorders>
              <w:top w:val="nil"/>
              <w:left w:val="nil"/>
              <w:bottom w:val="single" w:sz="4" w:space="0" w:color="auto"/>
              <w:right w:val="single" w:sz="4" w:space="0" w:color="auto"/>
            </w:tcBorders>
            <w:shd w:val="clear" w:color="auto" w:fill="auto"/>
            <w:noWrap/>
            <w:vAlign w:val="bottom"/>
            <w:hideMark/>
          </w:tcPr>
          <w:p w14:paraId="3B0E8C76"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121.0</w:t>
            </w:r>
          </w:p>
        </w:tc>
      </w:tr>
      <w:tr w:rsidR="00F57EA1" w:rsidRPr="00F57EA1" w14:paraId="232218BA" w14:textId="77777777" w:rsidTr="00F57EA1">
        <w:trPr>
          <w:trHeight w:val="320"/>
        </w:trPr>
        <w:tc>
          <w:tcPr>
            <w:tcW w:w="1300" w:type="dxa"/>
            <w:tcBorders>
              <w:top w:val="nil"/>
              <w:left w:val="single" w:sz="4" w:space="0" w:color="auto"/>
              <w:bottom w:val="single" w:sz="4" w:space="0" w:color="auto"/>
              <w:right w:val="single" w:sz="4" w:space="0" w:color="auto"/>
            </w:tcBorders>
            <w:shd w:val="clear" w:color="auto" w:fill="auto"/>
            <w:vAlign w:val="center"/>
            <w:hideMark/>
          </w:tcPr>
          <w:p w14:paraId="0CDB4991" w14:textId="77777777" w:rsidR="00F57EA1" w:rsidRPr="00F57EA1" w:rsidRDefault="00F57EA1" w:rsidP="00F57EA1">
            <w:pPr>
              <w:spacing w:after="0"/>
              <w:jc w:val="center"/>
              <w:rPr>
                <w:rFonts w:ascii="Aptos" w:hAnsi="Aptos"/>
                <w:color w:val="000000"/>
              </w:rPr>
            </w:pPr>
            <w:r w:rsidRPr="00F57EA1">
              <w:rPr>
                <w:rFonts w:ascii="Aptos" w:hAnsi="Aptos"/>
                <w:color w:val="000000"/>
              </w:rPr>
              <w:t>12</w:t>
            </w:r>
          </w:p>
        </w:tc>
        <w:tc>
          <w:tcPr>
            <w:tcW w:w="1300" w:type="dxa"/>
            <w:tcBorders>
              <w:top w:val="nil"/>
              <w:left w:val="nil"/>
              <w:bottom w:val="single" w:sz="4" w:space="0" w:color="auto"/>
              <w:right w:val="single" w:sz="4" w:space="0" w:color="auto"/>
            </w:tcBorders>
            <w:shd w:val="clear" w:color="auto" w:fill="auto"/>
            <w:vAlign w:val="center"/>
            <w:hideMark/>
          </w:tcPr>
          <w:p w14:paraId="53A2037C" w14:textId="77777777" w:rsidR="00F57EA1" w:rsidRPr="00F57EA1" w:rsidRDefault="00F57EA1" w:rsidP="00F57EA1">
            <w:pPr>
              <w:spacing w:after="0"/>
              <w:jc w:val="center"/>
              <w:rPr>
                <w:rFonts w:ascii="Aptos" w:hAnsi="Aptos"/>
                <w:color w:val="000000"/>
              </w:rPr>
            </w:pPr>
            <w:r w:rsidRPr="00F57EA1">
              <w:rPr>
                <w:rFonts w:ascii="Aptos" w:hAnsi="Aptos"/>
                <w:color w:val="000000"/>
              </w:rPr>
              <w:t>2906</w:t>
            </w:r>
          </w:p>
        </w:tc>
        <w:tc>
          <w:tcPr>
            <w:tcW w:w="1300" w:type="dxa"/>
            <w:tcBorders>
              <w:top w:val="nil"/>
              <w:left w:val="nil"/>
              <w:bottom w:val="single" w:sz="4" w:space="0" w:color="auto"/>
              <w:right w:val="single" w:sz="4" w:space="0" w:color="auto"/>
            </w:tcBorders>
            <w:shd w:val="clear" w:color="auto" w:fill="auto"/>
            <w:vAlign w:val="center"/>
            <w:hideMark/>
          </w:tcPr>
          <w:p w14:paraId="096C94A7" w14:textId="77777777" w:rsidR="00F57EA1" w:rsidRPr="00F57EA1" w:rsidRDefault="00F57EA1" w:rsidP="00F57EA1">
            <w:pPr>
              <w:spacing w:after="0"/>
              <w:jc w:val="center"/>
              <w:rPr>
                <w:rFonts w:ascii="Aptos" w:hAnsi="Aptos"/>
                <w:color w:val="000000"/>
              </w:rPr>
            </w:pPr>
            <w:r w:rsidRPr="00F57EA1">
              <w:rPr>
                <w:rFonts w:ascii="Aptos" w:hAnsi="Aptos"/>
                <w:color w:val="000000"/>
              </w:rPr>
              <w:t>-16.9</w:t>
            </w:r>
          </w:p>
        </w:tc>
        <w:tc>
          <w:tcPr>
            <w:tcW w:w="1300" w:type="dxa"/>
            <w:tcBorders>
              <w:top w:val="nil"/>
              <w:left w:val="nil"/>
              <w:bottom w:val="single" w:sz="4" w:space="0" w:color="auto"/>
              <w:right w:val="single" w:sz="4" w:space="0" w:color="auto"/>
            </w:tcBorders>
            <w:shd w:val="clear" w:color="auto" w:fill="auto"/>
            <w:noWrap/>
            <w:vAlign w:val="bottom"/>
            <w:hideMark/>
          </w:tcPr>
          <w:p w14:paraId="258F6DA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55.0</w:t>
            </w:r>
          </w:p>
        </w:tc>
        <w:tc>
          <w:tcPr>
            <w:tcW w:w="1300" w:type="dxa"/>
            <w:tcBorders>
              <w:top w:val="nil"/>
              <w:left w:val="nil"/>
              <w:bottom w:val="single" w:sz="4" w:space="0" w:color="auto"/>
              <w:right w:val="single" w:sz="4" w:space="0" w:color="auto"/>
            </w:tcBorders>
            <w:shd w:val="clear" w:color="auto" w:fill="auto"/>
            <w:noWrap/>
            <w:vAlign w:val="bottom"/>
            <w:hideMark/>
          </w:tcPr>
          <w:p w14:paraId="0A6EBF92"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-1.6</w:t>
            </w:r>
          </w:p>
        </w:tc>
        <w:tc>
          <w:tcPr>
            <w:tcW w:w="1300" w:type="dxa"/>
            <w:tcBorders>
              <w:top w:val="nil"/>
              <w:left w:val="nil"/>
              <w:bottom w:val="single" w:sz="4" w:space="0" w:color="auto"/>
              <w:right w:val="single" w:sz="4" w:space="0" w:color="auto"/>
            </w:tcBorders>
            <w:shd w:val="clear" w:color="auto" w:fill="auto"/>
            <w:noWrap/>
            <w:vAlign w:val="bottom"/>
            <w:hideMark/>
          </w:tcPr>
          <w:p w14:paraId="55B7E8FA"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91.8</w:t>
            </w:r>
          </w:p>
        </w:tc>
        <w:tc>
          <w:tcPr>
            <w:tcW w:w="1300" w:type="dxa"/>
            <w:tcBorders>
              <w:top w:val="nil"/>
              <w:left w:val="nil"/>
              <w:bottom w:val="single" w:sz="4" w:space="0" w:color="auto"/>
              <w:right w:val="single" w:sz="4" w:space="0" w:color="auto"/>
            </w:tcBorders>
            <w:shd w:val="clear" w:color="auto" w:fill="auto"/>
            <w:noWrap/>
            <w:vAlign w:val="bottom"/>
            <w:hideMark/>
          </w:tcPr>
          <w:p w14:paraId="0B71ADB8"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61.6</w:t>
            </w:r>
          </w:p>
        </w:tc>
      </w:tr>
      <w:tr w:rsidR="00F57EA1" w:rsidRPr="00F57EA1" w14:paraId="2CB847E1" w14:textId="77777777" w:rsidTr="00F57EA1">
        <w:trPr>
          <w:trHeight w:val="320"/>
        </w:trPr>
        <w:tc>
          <w:tcPr>
            <w:tcW w:w="9100" w:type="dxa"/>
            <w:gridSpan w:val="7"/>
            <w:tcBorders>
              <w:top w:val="single" w:sz="4" w:space="0" w:color="auto"/>
              <w:left w:val="single" w:sz="4" w:space="0" w:color="auto"/>
              <w:bottom w:val="single" w:sz="4" w:space="0" w:color="auto"/>
              <w:right w:val="single" w:sz="4" w:space="0" w:color="auto"/>
            </w:tcBorders>
            <w:shd w:val="clear" w:color="000000" w:fill="D9D9D9"/>
            <w:vAlign w:val="center"/>
            <w:hideMark/>
          </w:tcPr>
          <w:p w14:paraId="6E1B69D7" w14:textId="77777777" w:rsidR="00F57EA1" w:rsidRPr="00F57EA1" w:rsidRDefault="00F57EA1" w:rsidP="00F57EA1">
            <w:pPr>
              <w:spacing w:after="0"/>
              <w:jc w:val="center"/>
              <w:rPr>
                <w:rFonts w:ascii="Aptos" w:hAnsi="Aptos"/>
                <w:b/>
                <w:bCs/>
                <w:color w:val="000000"/>
              </w:rPr>
            </w:pPr>
            <w:r w:rsidRPr="00F57EA1">
              <w:rPr>
                <w:rFonts w:ascii="Aptos" w:hAnsi="Aptos"/>
                <w:b/>
                <w:bCs/>
                <w:color w:val="000000"/>
              </w:rPr>
              <w:t>Per-Cluster Parameters</w:t>
            </w:r>
          </w:p>
        </w:tc>
      </w:tr>
      <w:tr w:rsidR="00F57EA1" w:rsidRPr="00F57EA1" w14:paraId="57ECC608" w14:textId="77777777" w:rsidTr="00F57EA1">
        <w:trPr>
          <w:trHeight w:val="34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AA566F" w14:textId="77777777" w:rsidR="00F57EA1" w:rsidRPr="00F57EA1" w:rsidRDefault="00F57EA1" w:rsidP="00F57EA1">
            <w:pPr>
              <w:spacing w:after="0"/>
              <w:jc w:val="center"/>
              <w:rPr>
                <w:rFonts w:ascii="Aptos" w:hAnsi="Aptos"/>
                <w:i/>
                <w:iCs/>
                <w:color w:val="000000"/>
              </w:rPr>
            </w:pPr>
            <w:r w:rsidRPr="00F57EA1">
              <w:rPr>
                <w:rFonts w:ascii="Aptos" w:hAnsi="Aptos"/>
                <w:i/>
                <w:iCs/>
                <w:color w:val="000000"/>
              </w:rPr>
              <w:t>Parameter</w:t>
            </w:r>
          </w:p>
        </w:tc>
        <w:tc>
          <w:tcPr>
            <w:tcW w:w="1300" w:type="dxa"/>
            <w:tcBorders>
              <w:top w:val="nil"/>
              <w:left w:val="nil"/>
              <w:bottom w:val="single" w:sz="4" w:space="0" w:color="auto"/>
              <w:right w:val="single" w:sz="4" w:space="0" w:color="auto"/>
            </w:tcBorders>
            <w:shd w:val="clear" w:color="auto" w:fill="auto"/>
            <w:vAlign w:val="center"/>
            <w:hideMark/>
          </w:tcPr>
          <w:p w14:paraId="05C2B60C"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ASD</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19CE960C"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ASA</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255EF9DE"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ZSD</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47A47345" w14:textId="77777777" w:rsidR="00F57EA1" w:rsidRPr="00F57EA1" w:rsidRDefault="00F57EA1" w:rsidP="00F57EA1">
            <w:pPr>
              <w:spacing w:after="0"/>
              <w:jc w:val="center"/>
              <w:rPr>
                <w:rFonts w:ascii="Aptos" w:hAnsi="Aptos"/>
                <w:i/>
                <w:iCs/>
                <w:color w:val="000000"/>
              </w:rPr>
            </w:pPr>
            <w:proofErr w:type="spellStart"/>
            <w:r w:rsidRPr="00F57EA1">
              <w:rPr>
                <w:rFonts w:ascii="Aptos" w:hAnsi="Aptos"/>
                <w:i/>
                <w:iCs/>
                <w:color w:val="000000"/>
              </w:rPr>
              <w:t>c</w:t>
            </w:r>
            <w:r w:rsidRPr="00F57EA1">
              <w:rPr>
                <w:rFonts w:ascii="Aptos" w:hAnsi="Aptos"/>
                <w:color w:val="000000"/>
                <w:vertAlign w:val="subscript"/>
              </w:rPr>
              <w:t>ZSA</w:t>
            </w:r>
            <w:proofErr w:type="spellEnd"/>
            <w:r w:rsidRPr="00F57EA1">
              <w:rPr>
                <w:rFonts w:ascii="Aptos" w:hAnsi="Aptos"/>
                <w:color w:val="000000"/>
              </w:rPr>
              <w:t xml:space="preserve"> in [°]</w:t>
            </w:r>
          </w:p>
        </w:tc>
        <w:tc>
          <w:tcPr>
            <w:tcW w:w="1300" w:type="dxa"/>
            <w:tcBorders>
              <w:top w:val="nil"/>
              <w:left w:val="nil"/>
              <w:bottom w:val="single" w:sz="4" w:space="0" w:color="auto"/>
              <w:right w:val="single" w:sz="4" w:space="0" w:color="auto"/>
            </w:tcBorders>
            <w:shd w:val="clear" w:color="auto" w:fill="auto"/>
            <w:vAlign w:val="center"/>
            <w:hideMark/>
          </w:tcPr>
          <w:p w14:paraId="0AE6EBB2" w14:textId="77777777" w:rsidR="00F57EA1" w:rsidRPr="00F57EA1" w:rsidRDefault="00F57EA1" w:rsidP="00F57EA1">
            <w:pPr>
              <w:spacing w:after="0"/>
              <w:jc w:val="center"/>
              <w:rPr>
                <w:rFonts w:ascii="Aptos" w:hAnsi="Aptos"/>
                <w:color w:val="000000"/>
              </w:rPr>
            </w:pPr>
            <w:r w:rsidRPr="00F57EA1">
              <w:rPr>
                <w:rFonts w:ascii="Aptos" w:hAnsi="Aptos"/>
                <w:color w:val="000000"/>
              </w:rPr>
              <w:t>XPR in [dB]</w:t>
            </w:r>
          </w:p>
        </w:tc>
      </w:tr>
      <w:tr w:rsidR="00F57EA1" w:rsidRPr="00F57EA1" w14:paraId="5D40862C" w14:textId="77777777" w:rsidTr="00F57EA1">
        <w:trPr>
          <w:trHeight w:val="320"/>
        </w:trPr>
        <w:tc>
          <w:tcPr>
            <w:tcW w:w="26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60DDA" w14:textId="77777777" w:rsidR="00F57EA1" w:rsidRPr="00F57EA1" w:rsidRDefault="00F57EA1" w:rsidP="00F57EA1">
            <w:pPr>
              <w:spacing w:after="0"/>
              <w:jc w:val="center"/>
              <w:rPr>
                <w:rFonts w:ascii="Aptos" w:hAnsi="Aptos"/>
                <w:i/>
                <w:iCs/>
                <w:color w:val="000000"/>
              </w:rPr>
            </w:pPr>
            <w:r w:rsidRPr="00F57EA1">
              <w:rPr>
                <w:rFonts w:ascii="Aptos" w:hAnsi="Aptos"/>
                <w:i/>
                <w:iCs/>
                <w:color w:val="000000"/>
              </w:rPr>
              <w:t>Value</w:t>
            </w:r>
          </w:p>
        </w:tc>
        <w:tc>
          <w:tcPr>
            <w:tcW w:w="1300" w:type="dxa"/>
            <w:tcBorders>
              <w:top w:val="nil"/>
              <w:left w:val="nil"/>
              <w:bottom w:val="single" w:sz="4" w:space="0" w:color="auto"/>
              <w:right w:val="single" w:sz="4" w:space="0" w:color="auto"/>
            </w:tcBorders>
            <w:shd w:val="clear" w:color="auto" w:fill="auto"/>
            <w:noWrap/>
            <w:vAlign w:val="bottom"/>
            <w:hideMark/>
          </w:tcPr>
          <w:p w14:paraId="18FE4215"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1.4</w:t>
            </w:r>
          </w:p>
        </w:tc>
        <w:tc>
          <w:tcPr>
            <w:tcW w:w="1300" w:type="dxa"/>
            <w:tcBorders>
              <w:top w:val="nil"/>
              <w:left w:val="nil"/>
              <w:bottom w:val="single" w:sz="4" w:space="0" w:color="auto"/>
              <w:right w:val="single" w:sz="4" w:space="0" w:color="auto"/>
            </w:tcBorders>
            <w:shd w:val="clear" w:color="auto" w:fill="auto"/>
            <w:noWrap/>
            <w:vAlign w:val="bottom"/>
            <w:hideMark/>
          </w:tcPr>
          <w:p w14:paraId="6D39E9F5"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15.6</w:t>
            </w:r>
          </w:p>
        </w:tc>
        <w:tc>
          <w:tcPr>
            <w:tcW w:w="1300" w:type="dxa"/>
            <w:tcBorders>
              <w:top w:val="nil"/>
              <w:left w:val="nil"/>
              <w:bottom w:val="single" w:sz="4" w:space="0" w:color="auto"/>
              <w:right w:val="single" w:sz="4" w:space="0" w:color="auto"/>
            </w:tcBorders>
            <w:shd w:val="clear" w:color="auto" w:fill="auto"/>
            <w:noWrap/>
            <w:vAlign w:val="bottom"/>
            <w:hideMark/>
          </w:tcPr>
          <w:p w14:paraId="61D13D09"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3.6</w:t>
            </w:r>
          </w:p>
        </w:tc>
        <w:tc>
          <w:tcPr>
            <w:tcW w:w="1300" w:type="dxa"/>
            <w:tcBorders>
              <w:top w:val="nil"/>
              <w:left w:val="nil"/>
              <w:bottom w:val="single" w:sz="4" w:space="0" w:color="auto"/>
              <w:right w:val="single" w:sz="4" w:space="0" w:color="auto"/>
            </w:tcBorders>
            <w:shd w:val="clear" w:color="auto" w:fill="auto"/>
            <w:noWrap/>
            <w:vAlign w:val="bottom"/>
            <w:hideMark/>
          </w:tcPr>
          <w:p w14:paraId="331F64CD" w14:textId="77777777" w:rsidR="00F57EA1" w:rsidRPr="00F57EA1" w:rsidRDefault="00F57EA1" w:rsidP="00F57EA1">
            <w:pPr>
              <w:spacing w:after="0"/>
              <w:jc w:val="center"/>
              <w:rPr>
                <w:rFonts w:ascii="Aptos Narrow" w:hAnsi="Aptos Narrow"/>
                <w:color w:val="000000"/>
              </w:rPr>
            </w:pPr>
            <w:r w:rsidRPr="00F57EA1">
              <w:rPr>
                <w:rFonts w:ascii="Aptos Narrow" w:hAnsi="Aptos Narrow"/>
                <w:color w:val="000000"/>
              </w:rPr>
              <w:t>12.2</w:t>
            </w:r>
          </w:p>
        </w:tc>
        <w:tc>
          <w:tcPr>
            <w:tcW w:w="1300" w:type="dxa"/>
            <w:tcBorders>
              <w:top w:val="nil"/>
              <w:left w:val="nil"/>
              <w:bottom w:val="single" w:sz="4" w:space="0" w:color="auto"/>
              <w:right w:val="single" w:sz="4" w:space="0" w:color="auto"/>
            </w:tcBorders>
            <w:shd w:val="clear" w:color="auto" w:fill="auto"/>
            <w:vAlign w:val="center"/>
            <w:hideMark/>
          </w:tcPr>
          <w:p w14:paraId="566AE0D7" w14:textId="77777777" w:rsidR="00F57EA1" w:rsidRPr="00F57EA1" w:rsidRDefault="00F57EA1" w:rsidP="00F57EA1">
            <w:pPr>
              <w:spacing w:after="0"/>
              <w:jc w:val="center"/>
              <w:rPr>
                <w:rFonts w:ascii="Aptos" w:hAnsi="Aptos"/>
                <w:color w:val="000000"/>
              </w:rPr>
            </w:pPr>
            <w:r w:rsidRPr="00F57EA1">
              <w:rPr>
                <w:rFonts w:ascii="Aptos" w:hAnsi="Aptos"/>
                <w:color w:val="000000"/>
              </w:rPr>
              <w:t>7</w:t>
            </w:r>
          </w:p>
        </w:tc>
      </w:tr>
    </w:tbl>
    <w:p w14:paraId="463C5D2C" w14:textId="77777777" w:rsidR="00F57EA1" w:rsidRDefault="00F57EA1" w:rsidP="00E40FCF"/>
    <w:p w14:paraId="7F89DD41" w14:textId="66FA07DD" w:rsidR="00E81E29" w:rsidRDefault="00E81E29" w:rsidP="00E40FCF">
      <w:r>
        <w:t>On AAV configuration, we have AAV3</w:t>
      </w:r>
      <w:proofErr w:type="gramStart"/>
      <w:r>
        <w:t>/(</w:t>
      </w:r>
      <w:proofErr w:type="gramEnd"/>
      <w:r>
        <w:t>1,1) – pass through which is agreed for alignment. For comparison in addition we also have AAV1Y</w:t>
      </w:r>
      <w:proofErr w:type="gramStart"/>
      <w:r>
        <w:t>/(</w:t>
      </w:r>
      <w:proofErr w:type="gramEnd"/>
      <w:r>
        <w:t xml:space="preserve">8,1) – sub-array configuration. </w:t>
      </w:r>
    </w:p>
    <w:p w14:paraId="1A32A03B" w14:textId="77777777" w:rsidR="00E81E29" w:rsidRPr="00E81E29" w:rsidRDefault="00E81E29" w:rsidP="00E81E29">
      <w:pPr>
        <w:ind w:left="720"/>
        <w:rPr>
          <w:rFonts w:eastAsia="SimSun"/>
          <w:b/>
          <w:bCs/>
          <w:u w:val="single"/>
          <w:lang w:val="en-GB" w:eastAsia="ko-KR"/>
        </w:rPr>
      </w:pPr>
      <w:r w:rsidRPr="00E81E29">
        <w:rPr>
          <w:rFonts w:eastAsia="SimSun"/>
          <w:b/>
          <w:bCs/>
          <w:u w:val="single"/>
          <w:lang w:val="en-GB" w:eastAsia="ko-KR"/>
        </w:rPr>
        <w:t>AAV Configuration for alignment</w:t>
      </w:r>
    </w:p>
    <w:p w14:paraId="2339AC69" w14:textId="77777777" w:rsidR="00E81E29" w:rsidRPr="00E81E29" w:rsidRDefault="00E81E29" w:rsidP="00E81E29">
      <w:pPr>
        <w:spacing w:after="180"/>
        <w:ind w:left="720"/>
        <w:rPr>
          <w:rFonts w:eastAsia="SimSun"/>
          <w:b/>
          <w:bCs/>
          <w:szCs w:val="24"/>
          <w:lang w:val="en-GB" w:eastAsia="zh-CN"/>
        </w:rPr>
      </w:pPr>
      <w:r w:rsidRPr="00E81E29">
        <w:rPr>
          <w:rFonts w:eastAsia="SimSun"/>
          <w:b/>
          <w:bCs/>
          <w:szCs w:val="24"/>
          <w:lang w:val="en-GB" w:eastAsia="zh-CN"/>
        </w:rPr>
        <w:t>Agreement</w:t>
      </w:r>
    </w:p>
    <w:p w14:paraId="7697FBBA"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w:t>
      </w:r>
      <w:r w:rsidRPr="00E81E29">
        <w:rPr>
          <w:rFonts w:eastAsia="MS Mincho"/>
          <w:bCs/>
          <w:vertAlign w:val="subscript"/>
          <w:lang w:val="en-GB" w:eastAsia="ko-KR"/>
        </w:rPr>
        <w:t>s</w:t>
      </w:r>
      <w:proofErr w:type="gramEnd"/>
      <w:r w:rsidRPr="00E81E29">
        <w:rPr>
          <w:rFonts w:eastAsia="MS Mincho"/>
          <w:bCs/>
          <w:lang w:val="en-GB" w:eastAsia="ko-KR"/>
        </w:rPr>
        <w:t>,N</w:t>
      </w:r>
      <w:r w:rsidRPr="00E81E29">
        <w:rPr>
          <w:rFonts w:eastAsia="MS Mincho"/>
          <w:bCs/>
          <w:vertAlign w:val="subscript"/>
          <w:lang w:val="en-GB" w:eastAsia="ko-KR"/>
        </w:rPr>
        <w:t>s</w:t>
      </w:r>
      <w:proofErr w:type="spellEnd"/>
      <w:r w:rsidRPr="00E81E29">
        <w:rPr>
          <w:rFonts w:eastAsia="MS Mincho"/>
          <w:bCs/>
          <w:lang w:val="en-GB" w:eastAsia="ko-KR"/>
        </w:rPr>
        <w:t>) = (1,4,2,1,1) for 8Tx CSI-RS Ports</w:t>
      </w:r>
    </w:p>
    <w:p w14:paraId="3FA108A1"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w:t>
      </w:r>
      <w:r w:rsidRPr="00E81E29">
        <w:rPr>
          <w:rFonts w:eastAsia="MS Mincho"/>
          <w:bCs/>
          <w:vertAlign w:val="subscript"/>
          <w:lang w:val="en-GB" w:eastAsia="ko-KR"/>
        </w:rPr>
        <w:t>s</w:t>
      </w:r>
      <w:proofErr w:type="gramEnd"/>
      <w:r w:rsidRPr="00E81E29">
        <w:rPr>
          <w:rFonts w:eastAsia="MS Mincho"/>
          <w:bCs/>
          <w:lang w:val="en-GB" w:eastAsia="ko-KR"/>
        </w:rPr>
        <w:t>,N</w:t>
      </w:r>
      <w:r w:rsidRPr="00E81E29">
        <w:rPr>
          <w:rFonts w:eastAsia="MS Mincho"/>
          <w:bCs/>
          <w:vertAlign w:val="subscript"/>
          <w:lang w:val="en-GB" w:eastAsia="ko-KR"/>
        </w:rPr>
        <w:t>s</w:t>
      </w:r>
      <w:proofErr w:type="spellEnd"/>
      <w:r w:rsidRPr="00E81E29">
        <w:rPr>
          <w:rFonts w:eastAsia="MS Mincho"/>
          <w:bCs/>
          <w:lang w:val="en-GB" w:eastAsia="ko-KR"/>
        </w:rPr>
        <w:t>) = (1,2,2,1,1) for 4Tx CSI-RS Ports</w:t>
      </w:r>
    </w:p>
    <w:p w14:paraId="1FD4DE49" w14:textId="77777777" w:rsidR="00E81E29" w:rsidRPr="00E81E29" w:rsidRDefault="00E81E29" w:rsidP="00E81E29">
      <w:pPr>
        <w:spacing w:after="180"/>
        <w:rPr>
          <w:rFonts w:eastAsia="SimSun"/>
          <w:lang w:val="en-GB" w:eastAsia="ja-JP"/>
        </w:rPr>
      </w:pPr>
    </w:p>
    <w:p w14:paraId="4460492C" w14:textId="77777777" w:rsidR="00E81E29" w:rsidRPr="00E81E29" w:rsidRDefault="00E81E29" w:rsidP="00E81E29">
      <w:pPr>
        <w:spacing w:after="180"/>
        <w:rPr>
          <w:rFonts w:eastAsia="SimSun"/>
          <w:lang w:val="en-GB" w:eastAsia="ja-JP"/>
        </w:rPr>
      </w:pPr>
    </w:p>
    <w:p w14:paraId="3CE3EEBB" w14:textId="77777777" w:rsidR="00E81E29" w:rsidRPr="00E81E29" w:rsidRDefault="00E81E29" w:rsidP="00E81E29">
      <w:pPr>
        <w:ind w:left="720"/>
        <w:rPr>
          <w:rFonts w:eastAsia="SimSun"/>
          <w:b/>
          <w:bCs/>
          <w:u w:val="single"/>
          <w:lang w:val="en-GB" w:eastAsia="ko-KR"/>
        </w:rPr>
      </w:pPr>
      <w:r w:rsidRPr="00E81E29">
        <w:rPr>
          <w:rFonts w:eastAsia="SimSun"/>
          <w:b/>
          <w:bCs/>
          <w:u w:val="single"/>
          <w:lang w:val="en-GB" w:eastAsia="ko-KR"/>
        </w:rPr>
        <w:t>AAV Configuration for comparison</w:t>
      </w:r>
    </w:p>
    <w:p w14:paraId="0F4A5C4B" w14:textId="77777777" w:rsidR="00E81E29" w:rsidRPr="00E81E29" w:rsidRDefault="00E81E29" w:rsidP="00E81E29">
      <w:pPr>
        <w:spacing w:after="180"/>
        <w:ind w:left="720"/>
        <w:rPr>
          <w:rFonts w:eastAsia="SimSun"/>
          <w:b/>
          <w:bCs/>
          <w:szCs w:val="24"/>
          <w:lang w:val="en-GB" w:eastAsia="zh-CN"/>
        </w:rPr>
      </w:pPr>
      <w:r w:rsidRPr="00E81E29">
        <w:rPr>
          <w:rFonts w:eastAsia="SimSun"/>
          <w:b/>
          <w:bCs/>
          <w:szCs w:val="24"/>
          <w:lang w:val="en-GB" w:eastAsia="zh-CN"/>
        </w:rPr>
        <w:t>Way Forward</w:t>
      </w:r>
    </w:p>
    <w:p w14:paraId="32C3735A" w14:textId="77777777" w:rsidR="00E81E29" w:rsidRPr="00E81E29" w:rsidRDefault="00E81E29" w:rsidP="00E81E29">
      <w:pPr>
        <w:ind w:left="720"/>
        <w:rPr>
          <w:rFonts w:eastAsia="SimSun"/>
          <w:szCs w:val="24"/>
          <w:u w:val="single"/>
          <w:lang w:val="en-GB" w:eastAsia="zh-CN"/>
        </w:rPr>
      </w:pPr>
      <w:r w:rsidRPr="00E81E29">
        <w:rPr>
          <w:rFonts w:eastAsia="SimSun"/>
          <w:szCs w:val="24"/>
          <w:u w:val="single"/>
          <w:lang w:val="en-GB" w:eastAsia="zh-CN"/>
        </w:rPr>
        <w:t>Options:</w:t>
      </w:r>
    </w:p>
    <w:p w14:paraId="0F2D0FD3" w14:textId="77777777" w:rsidR="00E81E29" w:rsidRPr="00E81E29" w:rsidRDefault="00E81E29" w:rsidP="00E81E29">
      <w:pPr>
        <w:numPr>
          <w:ilvl w:val="0"/>
          <w:numId w:val="5"/>
        </w:numPr>
        <w:overflowPunct w:val="0"/>
        <w:autoSpaceDE w:val="0"/>
        <w:autoSpaceDN w:val="0"/>
        <w:adjustRightInd w:val="0"/>
        <w:spacing w:after="180"/>
        <w:ind w:left="1656"/>
        <w:textAlignment w:val="baseline"/>
        <w:rPr>
          <w:rFonts w:eastAsia="MS Mincho"/>
          <w:bCs/>
          <w:lang w:val="en-GB" w:eastAsia="ko-KR"/>
        </w:rPr>
      </w:pPr>
      <w:r w:rsidRPr="00E81E29">
        <w:rPr>
          <w:rFonts w:eastAsia="MS Mincho"/>
          <w:bCs/>
          <w:lang w:val="en-GB" w:eastAsia="ko-KR"/>
        </w:rPr>
        <w:t xml:space="preserve">Option 1 (previously 1Y): with Antenna Array Virtualisation (AAV) using subarray configuration </w:t>
      </w:r>
    </w:p>
    <w:p w14:paraId="4EC4DA1C"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w:t>
      </w:r>
      <w:r w:rsidRPr="00E81E29">
        <w:rPr>
          <w:rFonts w:eastAsia="MS Mincho"/>
          <w:bCs/>
          <w:vertAlign w:val="subscript"/>
          <w:lang w:val="en-GB" w:eastAsia="ko-KR"/>
        </w:rPr>
        <w:t>s</w:t>
      </w:r>
      <w:proofErr w:type="gramEnd"/>
      <w:r w:rsidRPr="00E81E29">
        <w:rPr>
          <w:rFonts w:eastAsia="MS Mincho"/>
          <w:bCs/>
          <w:lang w:val="en-GB" w:eastAsia="ko-KR"/>
        </w:rPr>
        <w:t>,</w:t>
      </w:r>
      <w:proofErr w:type="gramStart"/>
      <w:r w:rsidRPr="00E81E29">
        <w:rPr>
          <w:rFonts w:eastAsia="MS Mincho"/>
          <w:bCs/>
          <w:lang w:val="en-GB" w:eastAsia="ko-KR"/>
        </w:rPr>
        <w:t>N</w:t>
      </w:r>
      <w:r w:rsidRPr="00E81E29">
        <w:rPr>
          <w:rFonts w:eastAsia="MS Mincho"/>
          <w:bCs/>
          <w:vertAlign w:val="subscript"/>
          <w:lang w:val="en-GB" w:eastAsia="ko-KR"/>
        </w:rPr>
        <w:t>s</w:t>
      </w:r>
      <w:proofErr w:type="spellEnd"/>
      <w:r w:rsidRPr="00E81E29">
        <w:rPr>
          <w:rFonts w:eastAsia="MS Mincho"/>
          <w:bCs/>
          <w:lang w:val="en-GB" w:eastAsia="ko-KR"/>
        </w:rPr>
        <w:t>)  =</w:t>
      </w:r>
      <w:proofErr w:type="gramEnd"/>
      <w:r w:rsidRPr="00E81E29">
        <w:rPr>
          <w:rFonts w:eastAsia="MS Mincho"/>
          <w:bCs/>
          <w:lang w:val="en-GB" w:eastAsia="ko-KR"/>
        </w:rPr>
        <w:t xml:space="preserve"> (8,2,2,8,1) for 4Tx CSI-RS Ports </w:t>
      </w:r>
    </w:p>
    <w:p w14:paraId="70F03072"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w:t>
      </w:r>
      <w:r w:rsidRPr="00E81E29">
        <w:rPr>
          <w:rFonts w:eastAsia="MS Mincho"/>
          <w:bCs/>
          <w:vertAlign w:val="subscript"/>
          <w:lang w:val="en-GB" w:eastAsia="ko-KR"/>
        </w:rPr>
        <w:t>s</w:t>
      </w:r>
      <w:proofErr w:type="gramEnd"/>
      <w:r w:rsidRPr="00E81E29">
        <w:rPr>
          <w:rFonts w:eastAsia="MS Mincho"/>
          <w:bCs/>
          <w:lang w:val="en-GB" w:eastAsia="ko-KR"/>
        </w:rPr>
        <w:t>,</w:t>
      </w:r>
      <w:proofErr w:type="gramStart"/>
      <w:r w:rsidRPr="00E81E29">
        <w:rPr>
          <w:rFonts w:eastAsia="MS Mincho"/>
          <w:bCs/>
          <w:lang w:val="en-GB" w:eastAsia="ko-KR"/>
        </w:rPr>
        <w:t>N</w:t>
      </w:r>
      <w:r w:rsidRPr="00E81E29">
        <w:rPr>
          <w:rFonts w:eastAsia="MS Mincho"/>
          <w:bCs/>
          <w:vertAlign w:val="subscript"/>
          <w:lang w:val="en-GB" w:eastAsia="ko-KR"/>
        </w:rPr>
        <w:t>s</w:t>
      </w:r>
      <w:proofErr w:type="spellEnd"/>
      <w:r w:rsidRPr="00E81E29">
        <w:rPr>
          <w:rFonts w:eastAsia="MS Mincho"/>
          <w:bCs/>
          <w:lang w:val="en-GB" w:eastAsia="ko-KR"/>
        </w:rPr>
        <w:t>)  =</w:t>
      </w:r>
      <w:proofErr w:type="gramEnd"/>
      <w:r w:rsidRPr="00E81E29">
        <w:rPr>
          <w:rFonts w:eastAsia="MS Mincho"/>
          <w:bCs/>
          <w:lang w:val="en-GB" w:eastAsia="ko-KR"/>
        </w:rPr>
        <w:t xml:space="preserve"> (8,4,2,8,1) for 8Tx CSI-RS Ports </w:t>
      </w:r>
    </w:p>
    <w:p w14:paraId="497F822B"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For interested companies: (</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P,Ms</w:t>
      </w:r>
      <w:proofErr w:type="gramEnd"/>
      <w:r w:rsidRPr="00E81E29">
        <w:rPr>
          <w:rFonts w:eastAsia="MS Mincho"/>
          <w:bCs/>
          <w:lang w:val="en-GB" w:eastAsia="ko-KR"/>
        </w:rPr>
        <w:t>,</w:t>
      </w:r>
      <w:proofErr w:type="gramStart"/>
      <w:r w:rsidRPr="00E81E29">
        <w:rPr>
          <w:rFonts w:eastAsia="MS Mincho"/>
          <w:bCs/>
          <w:lang w:val="en-GB" w:eastAsia="ko-KR"/>
        </w:rPr>
        <w:t>Ns</w:t>
      </w:r>
      <w:proofErr w:type="spellEnd"/>
      <w:r w:rsidRPr="00E81E29">
        <w:rPr>
          <w:rFonts w:eastAsia="MS Mincho"/>
          <w:bCs/>
          <w:lang w:val="en-GB" w:eastAsia="ko-KR"/>
        </w:rPr>
        <w:t>)=</w:t>
      </w:r>
      <w:proofErr w:type="gramEnd"/>
      <w:r w:rsidRPr="00E81E29">
        <w:rPr>
          <w:rFonts w:eastAsia="MS Mincho"/>
          <w:bCs/>
          <w:lang w:val="en-GB" w:eastAsia="ko-KR"/>
        </w:rPr>
        <w:t xml:space="preserve"> (16,8,2,8,1) for SU-MIMO </w:t>
      </w:r>
      <w:proofErr w:type="spellStart"/>
      <w:r w:rsidRPr="00E81E29">
        <w:rPr>
          <w:rFonts w:eastAsia="MS Mincho"/>
          <w:bCs/>
          <w:lang w:val="en-GB" w:eastAsia="ko-KR"/>
        </w:rPr>
        <w:t>eTypeII</w:t>
      </w:r>
      <w:proofErr w:type="spellEnd"/>
      <w:r w:rsidRPr="00E81E29">
        <w:rPr>
          <w:rFonts w:eastAsia="MS Mincho"/>
          <w:bCs/>
          <w:lang w:val="en-GB" w:eastAsia="ko-KR"/>
        </w:rPr>
        <w:t>, for 32 TX, for comparison only</w:t>
      </w:r>
    </w:p>
    <w:p w14:paraId="3BB19618" w14:textId="77777777" w:rsidR="00E81E29" w:rsidRPr="00E81E29" w:rsidRDefault="00E81E29" w:rsidP="00E81E29">
      <w:pPr>
        <w:numPr>
          <w:ilvl w:val="0"/>
          <w:numId w:val="5"/>
        </w:numPr>
        <w:overflowPunct w:val="0"/>
        <w:autoSpaceDE w:val="0"/>
        <w:autoSpaceDN w:val="0"/>
        <w:adjustRightInd w:val="0"/>
        <w:spacing w:after="180"/>
        <w:ind w:left="1656"/>
        <w:textAlignment w:val="baseline"/>
        <w:rPr>
          <w:rFonts w:eastAsia="MS Mincho"/>
          <w:bCs/>
          <w:lang w:val="en-GB" w:eastAsia="ko-KR"/>
        </w:rPr>
      </w:pPr>
      <w:r w:rsidRPr="00E81E29">
        <w:rPr>
          <w:rFonts w:eastAsia="MS Mincho"/>
          <w:bCs/>
          <w:lang w:val="en-GB" w:eastAsia="ko-KR"/>
        </w:rPr>
        <w:t xml:space="preserve">Option 3: with AAV with the following configuration </w:t>
      </w:r>
    </w:p>
    <w:p w14:paraId="26D7F4D5"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w:t>
      </w:r>
      <w:r w:rsidRPr="00E81E29">
        <w:rPr>
          <w:rFonts w:eastAsia="MS Mincho"/>
          <w:bCs/>
          <w:vertAlign w:val="subscript"/>
          <w:lang w:val="en-GB" w:eastAsia="ko-KR"/>
        </w:rPr>
        <w:t>s</w:t>
      </w:r>
      <w:proofErr w:type="gramEnd"/>
      <w:r w:rsidRPr="00E81E29">
        <w:rPr>
          <w:rFonts w:eastAsia="MS Mincho"/>
          <w:bCs/>
          <w:lang w:val="en-GB" w:eastAsia="ko-KR"/>
        </w:rPr>
        <w:t>,N</w:t>
      </w:r>
      <w:r w:rsidRPr="00E81E29">
        <w:rPr>
          <w:rFonts w:eastAsia="MS Mincho"/>
          <w:bCs/>
          <w:vertAlign w:val="subscript"/>
          <w:lang w:val="en-GB" w:eastAsia="ko-KR"/>
        </w:rPr>
        <w:t>s</w:t>
      </w:r>
      <w:proofErr w:type="spellEnd"/>
      <w:r w:rsidRPr="00E81E29">
        <w:rPr>
          <w:rFonts w:eastAsia="MS Mincho"/>
          <w:bCs/>
          <w:lang w:val="en-GB" w:eastAsia="ko-KR"/>
        </w:rPr>
        <w:t>) = (1,4,2,1,1) for 8Tx CSI-RS Ports</w:t>
      </w:r>
    </w:p>
    <w:p w14:paraId="45D84840" w14:textId="77777777" w:rsidR="00E81E29" w:rsidRPr="00E81E29" w:rsidRDefault="00E81E29" w:rsidP="00E81E29">
      <w:pPr>
        <w:numPr>
          <w:ilvl w:val="1"/>
          <w:numId w:val="5"/>
        </w:numPr>
        <w:overflowPunct w:val="0"/>
        <w:autoSpaceDE w:val="0"/>
        <w:autoSpaceDN w:val="0"/>
        <w:adjustRightInd w:val="0"/>
        <w:spacing w:after="180"/>
        <w:ind w:left="2376"/>
        <w:textAlignment w:val="baseline"/>
        <w:rPr>
          <w:rFonts w:eastAsia="MS Mincho"/>
          <w:bCs/>
          <w:lang w:val="en-GB" w:eastAsia="ko-KR"/>
        </w:rPr>
      </w:pPr>
      <w:r w:rsidRPr="00E81E29">
        <w:rPr>
          <w:rFonts w:eastAsia="MS Mincho"/>
          <w:bCs/>
          <w:lang w:val="en-GB" w:eastAsia="ko-KR"/>
        </w:rPr>
        <w:t>(</w:t>
      </w:r>
      <w:proofErr w:type="spellStart"/>
      <w:proofErr w:type="gramStart"/>
      <w:r w:rsidRPr="00E81E29">
        <w:rPr>
          <w:rFonts w:eastAsia="MS Mincho"/>
          <w:bCs/>
          <w:lang w:val="en-GB" w:eastAsia="ko-KR"/>
        </w:rPr>
        <w:t>M,N</w:t>
      </w:r>
      <w:proofErr w:type="gramEnd"/>
      <w:r w:rsidRPr="00E81E29">
        <w:rPr>
          <w:rFonts w:eastAsia="MS Mincho"/>
          <w:bCs/>
          <w:lang w:val="en-GB" w:eastAsia="ko-KR"/>
        </w:rPr>
        <w:t>,</w:t>
      </w:r>
      <w:proofErr w:type="gramStart"/>
      <w:r w:rsidRPr="00E81E29">
        <w:rPr>
          <w:rFonts w:eastAsia="MS Mincho"/>
          <w:bCs/>
          <w:lang w:val="en-GB" w:eastAsia="ko-KR"/>
        </w:rPr>
        <w:t>P,M</w:t>
      </w:r>
      <w:r w:rsidRPr="00E81E29">
        <w:rPr>
          <w:rFonts w:eastAsia="MS Mincho"/>
          <w:bCs/>
          <w:vertAlign w:val="subscript"/>
          <w:lang w:val="en-GB" w:eastAsia="ko-KR"/>
        </w:rPr>
        <w:t>s</w:t>
      </w:r>
      <w:proofErr w:type="gramEnd"/>
      <w:r w:rsidRPr="00E81E29">
        <w:rPr>
          <w:rFonts w:eastAsia="MS Mincho"/>
          <w:bCs/>
          <w:lang w:val="en-GB" w:eastAsia="ko-KR"/>
        </w:rPr>
        <w:t>,N</w:t>
      </w:r>
      <w:r w:rsidRPr="00E81E29">
        <w:rPr>
          <w:rFonts w:eastAsia="MS Mincho"/>
          <w:bCs/>
          <w:vertAlign w:val="subscript"/>
          <w:lang w:val="en-GB" w:eastAsia="ko-KR"/>
        </w:rPr>
        <w:t>s</w:t>
      </w:r>
      <w:proofErr w:type="spellEnd"/>
      <w:r w:rsidRPr="00E81E29">
        <w:rPr>
          <w:rFonts w:eastAsia="MS Mincho"/>
          <w:bCs/>
          <w:lang w:val="en-GB" w:eastAsia="ko-KR"/>
        </w:rPr>
        <w:t>) = (1,2,2,1,1) for 4Tx CSI-RS Ports</w:t>
      </w:r>
    </w:p>
    <w:p w14:paraId="523F3981" w14:textId="77777777" w:rsidR="00E81E29" w:rsidRDefault="00E81E29" w:rsidP="00E40FCF"/>
    <w:p w14:paraId="1D8861DB" w14:textId="77777777" w:rsidR="00E81E29" w:rsidRDefault="00E81E29" w:rsidP="00E81E29">
      <w:r>
        <w:t xml:space="preserve">We understand that AAV with sub-array is used in deployment, but we don’t see the need to study this and have it in our CDL channel model configuration. From UE perspective nothing different is tested, as this is transparent to the UE. Using the sub-array config needs extra normalization step for SNR which increased overhead. At least from our simulation results for SU-MIMO, we do observe some gain with sub-array AAV, but don’t see the necessity of introducing this complexity. </w:t>
      </w:r>
    </w:p>
    <w:p w14:paraId="141EDBF6" w14:textId="77777777" w:rsidR="00E81E29" w:rsidRDefault="00E81E29" w:rsidP="00E81E29">
      <w:pPr>
        <w:pStyle w:val="ListParagraph"/>
        <w:numPr>
          <w:ilvl w:val="0"/>
          <w:numId w:val="9"/>
        </w:numPr>
        <w:rPr>
          <w:b w:val="0"/>
          <w:bCs w:val="0"/>
          <w:i/>
          <w:iCs/>
        </w:rPr>
      </w:pPr>
      <w:r>
        <w:rPr>
          <w:b w:val="0"/>
          <w:bCs w:val="0"/>
          <w:i/>
          <w:iCs/>
        </w:rPr>
        <w:t>From UE perspective nothing different is tested with sub-array AAV.</w:t>
      </w:r>
    </w:p>
    <w:p w14:paraId="7EE93831" w14:textId="77777777" w:rsidR="00E81E29" w:rsidRDefault="00E81E29" w:rsidP="00E81E29">
      <w:pPr>
        <w:pStyle w:val="ListParagraph"/>
        <w:numPr>
          <w:ilvl w:val="0"/>
          <w:numId w:val="9"/>
        </w:numPr>
        <w:rPr>
          <w:b w:val="0"/>
          <w:bCs w:val="0"/>
          <w:i/>
          <w:iCs/>
        </w:rPr>
      </w:pPr>
      <w:r>
        <w:rPr>
          <w:b w:val="0"/>
          <w:bCs w:val="0"/>
          <w:i/>
          <w:iCs/>
        </w:rPr>
        <w:t>Using sub-array AAV required extra SNR normalization step that adds overhead.</w:t>
      </w:r>
    </w:p>
    <w:p w14:paraId="541DA91C" w14:textId="77777777" w:rsidR="00E81E29" w:rsidRDefault="00E81E29" w:rsidP="00E81E29"/>
    <w:p w14:paraId="10ED7403" w14:textId="77777777" w:rsidR="00E81E29" w:rsidRDefault="00E81E29" w:rsidP="00E81E29">
      <w:r>
        <w:t xml:space="preserve">Also, in [2] with SU-PMI we observe gains with </w:t>
      </w:r>
      <w:proofErr w:type="spellStart"/>
      <w:r>
        <w:t>eType</w:t>
      </w:r>
      <w:proofErr w:type="spellEnd"/>
      <w:r>
        <w:t xml:space="preserve"> II over Type I without using sub-array AAV by increasing the number of TX ports. </w:t>
      </w:r>
    </w:p>
    <w:p w14:paraId="00884C98" w14:textId="77777777" w:rsidR="00E81E29" w:rsidRDefault="00E81E29" w:rsidP="00E81E29">
      <w:pPr>
        <w:pStyle w:val="ListParagraph"/>
        <w:numPr>
          <w:ilvl w:val="0"/>
          <w:numId w:val="9"/>
        </w:numPr>
        <w:rPr>
          <w:b w:val="0"/>
          <w:bCs w:val="0"/>
          <w:i/>
          <w:iCs/>
        </w:rPr>
      </w:pPr>
      <w:r>
        <w:rPr>
          <w:b w:val="0"/>
          <w:bCs w:val="0"/>
          <w:i/>
          <w:iCs/>
        </w:rPr>
        <w:t xml:space="preserve">For SU-PMI we observe gains with </w:t>
      </w:r>
      <w:proofErr w:type="spellStart"/>
      <w:r>
        <w:rPr>
          <w:b w:val="0"/>
          <w:bCs w:val="0"/>
          <w:i/>
          <w:iCs/>
        </w:rPr>
        <w:t>eType</w:t>
      </w:r>
      <w:proofErr w:type="spellEnd"/>
      <w:r>
        <w:rPr>
          <w:b w:val="0"/>
          <w:bCs w:val="0"/>
          <w:i/>
          <w:iCs/>
        </w:rPr>
        <w:t xml:space="preserve"> II over Type I with larger number of TX ports without sub-array AAV.</w:t>
      </w:r>
    </w:p>
    <w:p w14:paraId="07EF0ADC" w14:textId="77777777" w:rsidR="00E81E29" w:rsidRDefault="00E81E29" w:rsidP="00E81E29"/>
    <w:p w14:paraId="788050C4" w14:textId="77777777" w:rsidR="00E81E29" w:rsidRDefault="00E81E29" w:rsidP="00E81E29">
      <w:r w:rsidRPr="00356651">
        <w:t xml:space="preserve">Based on the above </w:t>
      </w:r>
      <w:r>
        <w:t>observations we propose on only retain AAV3 going forward in this study.</w:t>
      </w:r>
    </w:p>
    <w:p w14:paraId="6DA77968" w14:textId="77777777" w:rsidR="00E81E29" w:rsidRDefault="00E81E29" w:rsidP="00E81E29"/>
    <w:p w14:paraId="4CE97926" w14:textId="311F066A" w:rsidR="00E81E29" w:rsidRPr="00EF5DC3" w:rsidRDefault="00E81E29" w:rsidP="00E81E29">
      <w:pPr>
        <w:pStyle w:val="ListParagraph"/>
      </w:pPr>
      <w:r>
        <w:t>For CDL based methodologies, only AAV3/</w:t>
      </w:r>
      <w:proofErr w:type="gramStart"/>
      <w:r w:rsidR="00EA0939">
        <w:t>AAV(</w:t>
      </w:r>
      <w:proofErr w:type="gramEnd"/>
      <w:r w:rsidR="00EA0939">
        <w:t>1,1)/</w:t>
      </w:r>
      <w:r>
        <w:t>pass-through is retained for the study</w:t>
      </w:r>
      <w:r w:rsidRPr="00EF5DC3">
        <w:t xml:space="preserve">. </w:t>
      </w:r>
    </w:p>
    <w:p w14:paraId="07D1FA9F" w14:textId="77777777" w:rsidR="00E81E29" w:rsidRDefault="00E81E29" w:rsidP="00E40FCF"/>
    <w:p w14:paraId="7F62A8FF" w14:textId="77777777" w:rsidR="00B02364" w:rsidRPr="00E81E29" w:rsidRDefault="00B02364" w:rsidP="00E81E29">
      <w:pPr>
        <w:rPr>
          <w:rFonts w:eastAsia="SimSun"/>
          <w:b/>
          <w:bCs/>
          <w:u w:val="single"/>
          <w:lang w:val="en-GB" w:eastAsia="ko-KR"/>
        </w:rPr>
      </w:pPr>
      <w:r w:rsidRPr="00E81E29">
        <w:rPr>
          <w:rFonts w:eastAsia="SimSun"/>
          <w:b/>
          <w:bCs/>
          <w:u w:val="single"/>
          <w:lang w:val="en-GB" w:eastAsia="ko-KR"/>
        </w:rPr>
        <w:t>Frequency Bands</w:t>
      </w:r>
    </w:p>
    <w:p w14:paraId="40113674" w14:textId="77777777" w:rsidR="00B02364" w:rsidRPr="00EF5DC3" w:rsidRDefault="00B02364" w:rsidP="00B02364">
      <w:pPr>
        <w:rPr>
          <w:rFonts w:eastAsia="SimSun"/>
          <w:lang w:eastAsia="en-GB"/>
        </w:rPr>
      </w:pPr>
      <w:r w:rsidRPr="00EF5DC3">
        <w:rPr>
          <w:rFonts w:eastAsia="SimSun"/>
          <w:lang w:eastAsia="en-GB"/>
        </w:rPr>
        <w:t xml:space="preserve">The current models in the TR 38.827 are defined for specific scenarios, carrier frequency, with some assumptions on RMS delay spread, UE velocity, etc. RAN4 defines band agnostic demodulation and CSI reporting requirements. </w:t>
      </w:r>
    </w:p>
    <w:p w14:paraId="6F62D2C9" w14:textId="77777777" w:rsidR="00B02364" w:rsidRPr="00EF5DC3" w:rsidRDefault="00B02364" w:rsidP="00B02364">
      <w:pPr>
        <w:pStyle w:val="ListParagraph"/>
        <w:numPr>
          <w:ilvl w:val="0"/>
          <w:numId w:val="9"/>
        </w:numPr>
      </w:pPr>
      <w:r w:rsidRPr="007C4864">
        <w:rPr>
          <w:b w:val="0"/>
          <w:bCs w:val="0"/>
          <w:i/>
          <w:iCs/>
        </w:rPr>
        <w:t>The CDL channel models in the TR 38.827 are defined for specific scenarios, carrier frequency, with some assumptions of RMS delay spread and UE velocity</w:t>
      </w:r>
      <w:r w:rsidRPr="00EF5DC3">
        <w:t>.</w:t>
      </w:r>
    </w:p>
    <w:p w14:paraId="3D3D5045" w14:textId="77777777" w:rsidR="00B02364" w:rsidRPr="00EF5DC3" w:rsidRDefault="00B02364" w:rsidP="00B02364">
      <w:pPr>
        <w:rPr>
          <w:i/>
          <w:iCs/>
        </w:rPr>
      </w:pPr>
      <w:r w:rsidRPr="00EF5DC3">
        <w:rPr>
          <w:rFonts w:eastAsia="SimSun"/>
          <w:lang w:eastAsia="en-GB"/>
        </w:rPr>
        <w:t xml:space="preserve">It would be very important to study if the spatial channel model can be defined for all applicable carrier frequencies/ bands for each FR. </w:t>
      </w:r>
    </w:p>
    <w:p w14:paraId="743D4C71" w14:textId="044FBD7D" w:rsidR="00B02364" w:rsidRPr="00EF5DC3" w:rsidRDefault="00B02364" w:rsidP="00B02364">
      <w:pPr>
        <w:pStyle w:val="ListParagraph"/>
      </w:pPr>
      <w:r w:rsidRPr="00EF5DC3">
        <w:t xml:space="preserve">RAN4 to </w:t>
      </w:r>
      <w:r w:rsidR="00E81E29">
        <w:t>evaluate</w:t>
      </w:r>
      <w:r w:rsidRPr="00EF5DC3">
        <w:t xml:space="preserve"> if the same channel model can be defined for all carrier frequencies/ bands in given frequency range – example FR1/ FR2. </w:t>
      </w:r>
    </w:p>
    <w:p w14:paraId="7108F317" w14:textId="77777777" w:rsidR="00B02364" w:rsidRDefault="00B02364" w:rsidP="00E40FCF"/>
    <w:p w14:paraId="61643371" w14:textId="77777777" w:rsidR="00D54B6A" w:rsidRPr="00D54B6A" w:rsidRDefault="00D54B6A" w:rsidP="00D54B6A">
      <w:pPr>
        <w:rPr>
          <w:rFonts w:eastAsia="SimSun"/>
          <w:b/>
          <w:bCs/>
          <w:u w:val="single"/>
          <w:lang w:val="en-GB" w:eastAsia="ko-KR"/>
        </w:rPr>
      </w:pPr>
      <w:r w:rsidRPr="00D54B6A">
        <w:rPr>
          <w:rFonts w:eastAsia="SimSun"/>
          <w:b/>
          <w:bCs/>
          <w:u w:val="single"/>
          <w:lang w:val="en-GB" w:eastAsia="ko-KR"/>
        </w:rPr>
        <w:t xml:space="preserve">On results collection for alignment and comparison </w:t>
      </w:r>
    </w:p>
    <w:p w14:paraId="00334195" w14:textId="6E33064F" w:rsidR="00D54B6A" w:rsidRDefault="00D54B6A" w:rsidP="00D54B6A">
      <w:pPr>
        <w:rPr>
          <w:lang w:val="en-GB"/>
        </w:rPr>
      </w:pPr>
      <w:r>
        <w:rPr>
          <w:lang w:val="en-GB"/>
        </w:rPr>
        <w:t>Currently we have several spreadsheets with multiple sheets within to collect results for the different options. The task of data entry itself is cumbersome and time consuming. We suggest that we simplify the alignment and comparison by collecting the following metrics instead of full TP curves, as was done in [3]:</w:t>
      </w:r>
    </w:p>
    <w:p w14:paraId="4967940C" w14:textId="77777777" w:rsidR="00D54B6A" w:rsidRDefault="00D54B6A" w:rsidP="00D54B6A">
      <w:pPr>
        <w:rPr>
          <w:lang w:val="en-GB"/>
        </w:rPr>
      </w:pPr>
      <w:r>
        <w:rPr>
          <w:lang w:val="en-GB"/>
        </w:rPr>
        <w:t>SU-MIMO PDSCH</w:t>
      </w:r>
    </w:p>
    <w:p w14:paraId="25A75C91" w14:textId="77777777" w:rsidR="00D54B6A" w:rsidRDefault="00D54B6A" w:rsidP="00D54B6A">
      <w:pPr>
        <w:rPr>
          <w:lang w:val="en-GB"/>
        </w:rPr>
      </w:pPr>
      <w:r>
        <w:rPr>
          <w:lang w:val="en-GB"/>
        </w:rPr>
        <w:tab/>
        <w:t>SNR at 70%, 30% Max TP</w:t>
      </w:r>
    </w:p>
    <w:p w14:paraId="2096DE20" w14:textId="77777777" w:rsidR="00D54B6A" w:rsidRDefault="00D54B6A" w:rsidP="00D54B6A">
      <w:pPr>
        <w:rPr>
          <w:lang w:val="en-GB"/>
        </w:rPr>
      </w:pPr>
      <w:r>
        <w:rPr>
          <w:lang w:val="en-GB"/>
        </w:rPr>
        <w:t>SU-PMI</w:t>
      </w:r>
    </w:p>
    <w:p w14:paraId="56D434FC" w14:textId="77777777" w:rsidR="00D54B6A" w:rsidRDefault="00D54B6A" w:rsidP="00D54B6A">
      <w:pPr>
        <w:rPr>
          <w:lang w:val="en-GB"/>
        </w:rPr>
      </w:pPr>
      <w:r>
        <w:rPr>
          <w:lang w:val="en-GB"/>
        </w:rPr>
        <w:tab/>
        <w:t>SNR at 90 % Max TP for follow Type I PMI</w:t>
      </w:r>
    </w:p>
    <w:p w14:paraId="26018CB4" w14:textId="77777777" w:rsidR="00D54B6A" w:rsidRDefault="00D54B6A" w:rsidP="00D54B6A">
      <w:pPr>
        <w:rPr>
          <w:lang w:val="en-GB"/>
        </w:rPr>
      </w:pPr>
      <w:r>
        <w:rPr>
          <w:lang w:val="en-GB"/>
        </w:rPr>
        <w:tab/>
        <w:t>Gamma at 90% Max TP with follow Type I PMI</w:t>
      </w:r>
    </w:p>
    <w:p w14:paraId="247F911C" w14:textId="77777777" w:rsidR="00D54B6A" w:rsidRDefault="00D54B6A" w:rsidP="00D54B6A">
      <w:pPr>
        <w:ind w:firstLine="720"/>
        <w:rPr>
          <w:lang w:val="en-GB"/>
        </w:rPr>
      </w:pPr>
      <w:r>
        <w:rPr>
          <w:lang w:val="en-GB"/>
        </w:rPr>
        <w:t xml:space="preserve">SNR at 90 % Max TP for follow </w:t>
      </w:r>
      <w:proofErr w:type="spellStart"/>
      <w:r>
        <w:rPr>
          <w:lang w:val="en-GB"/>
        </w:rPr>
        <w:t>eType</w:t>
      </w:r>
      <w:proofErr w:type="spellEnd"/>
      <w:r>
        <w:rPr>
          <w:lang w:val="en-GB"/>
        </w:rPr>
        <w:t xml:space="preserve"> II PMI</w:t>
      </w:r>
    </w:p>
    <w:p w14:paraId="4CEEB018" w14:textId="77777777" w:rsidR="00D54B6A" w:rsidRDefault="00D54B6A" w:rsidP="00D54B6A">
      <w:pPr>
        <w:rPr>
          <w:lang w:val="en-GB"/>
        </w:rPr>
      </w:pPr>
      <w:r>
        <w:rPr>
          <w:lang w:val="en-GB"/>
        </w:rPr>
        <w:tab/>
        <w:t xml:space="preserve">Gamma at 90% Max TP with follow </w:t>
      </w:r>
      <w:proofErr w:type="spellStart"/>
      <w:r>
        <w:rPr>
          <w:lang w:val="en-GB"/>
        </w:rPr>
        <w:t>eType</w:t>
      </w:r>
      <w:proofErr w:type="spellEnd"/>
      <w:r>
        <w:rPr>
          <w:lang w:val="en-GB"/>
        </w:rPr>
        <w:t xml:space="preserve"> TI PMI</w:t>
      </w:r>
    </w:p>
    <w:p w14:paraId="7BE66926" w14:textId="77777777" w:rsidR="00D54B6A" w:rsidRDefault="00D54B6A" w:rsidP="00D54B6A">
      <w:pPr>
        <w:rPr>
          <w:lang w:val="en-GB"/>
        </w:rPr>
      </w:pPr>
    </w:p>
    <w:p w14:paraId="515CCE3D" w14:textId="77777777" w:rsidR="00D54B6A" w:rsidRDefault="00D54B6A" w:rsidP="00D54B6A">
      <w:pPr>
        <w:pStyle w:val="ListParagraph"/>
        <w:numPr>
          <w:ilvl w:val="0"/>
          <w:numId w:val="9"/>
        </w:numPr>
        <w:rPr>
          <w:b w:val="0"/>
          <w:bCs w:val="0"/>
          <w:i/>
          <w:iCs/>
        </w:rPr>
      </w:pPr>
      <w:r>
        <w:rPr>
          <w:b w:val="0"/>
          <w:bCs w:val="0"/>
          <w:i/>
          <w:iCs/>
        </w:rPr>
        <w:t xml:space="preserve">The task of data entry and collection for results alignment and comparison is very cumbersome with raw data (SNR and </w:t>
      </w:r>
      <w:proofErr w:type="spellStart"/>
      <w:r>
        <w:rPr>
          <w:b w:val="0"/>
          <w:bCs w:val="0"/>
          <w:i/>
          <w:iCs/>
        </w:rPr>
        <w:t>rel</w:t>
      </w:r>
      <w:proofErr w:type="spellEnd"/>
      <w:r>
        <w:rPr>
          <w:b w:val="0"/>
          <w:bCs w:val="0"/>
          <w:i/>
          <w:iCs/>
        </w:rPr>
        <w:t xml:space="preserve"> TP values)</w:t>
      </w:r>
    </w:p>
    <w:p w14:paraId="7060E887" w14:textId="77777777" w:rsidR="00D54B6A" w:rsidRDefault="00D54B6A" w:rsidP="00D54B6A">
      <w:pPr>
        <w:rPr>
          <w:lang w:val="en-GB"/>
        </w:rPr>
      </w:pPr>
    </w:p>
    <w:p w14:paraId="50C5723C" w14:textId="0DB76DE1" w:rsidR="00D54B6A" w:rsidRPr="00EF5DC3" w:rsidRDefault="00D54B6A" w:rsidP="00D54B6A">
      <w:pPr>
        <w:pStyle w:val="ListParagraph"/>
      </w:pPr>
      <w:r>
        <w:t>Simplify the process of collecting results by collecting the following metrics:</w:t>
      </w:r>
      <w:r>
        <w:br/>
        <w:t>SU-MIMO PDSCH</w:t>
      </w:r>
      <w:r>
        <w:br/>
        <w:t xml:space="preserve">     </w:t>
      </w:r>
      <w:r w:rsidRPr="00244210">
        <w:rPr>
          <w:lang w:val="en-GB"/>
        </w:rPr>
        <w:t>SNR at 70%, 30% Max TP</w:t>
      </w:r>
      <w:r>
        <w:br/>
        <w:t>SU-PMI</w:t>
      </w:r>
      <w:r>
        <w:br/>
        <w:t xml:space="preserve">     SNR at 90 %</w:t>
      </w:r>
      <w:r w:rsidR="005467C0">
        <w:t>, 70%</w:t>
      </w:r>
      <w:r>
        <w:t xml:space="preserve"> Max TP for follow Type I PMI</w:t>
      </w:r>
      <w:r>
        <w:br/>
        <w:t xml:space="preserve">     Gamma at 90% Max TP with follow Type I PMI</w:t>
      </w:r>
      <w:r>
        <w:br/>
      </w:r>
      <w:r>
        <w:lastRenderedPageBreak/>
        <w:t xml:space="preserve">     SNR at 90 </w:t>
      </w:r>
      <w:proofErr w:type="gramStart"/>
      <w:r>
        <w:t xml:space="preserve">% </w:t>
      </w:r>
      <w:r w:rsidR="005467C0">
        <w:t>,</w:t>
      </w:r>
      <w:proofErr w:type="gramEnd"/>
      <w:r w:rsidR="005467C0">
        <w:t xml:space="preserve"> 70%</w:t>
      </w:r>
      <w:r>
        <w:t xml:space="preserve">Max TP for follow </w:t>
      </w:r>
      <w:proofErr w:type="spellStart"/>
      <w:r>
        <w:t>eType</w:t>
      </w:r>
      <w:proofErr w:type="spellEnd"/>
      <w:r>
        <w:t xml:space="preserve"> II PMI</w:t>
      </w:r>
      <w:r>
        <w:br/>
        <w:t xml:space="preserve">     Gamma at 90% Max TP with follow </w:t>
      </w:r>
      <w:proofErr w:type="spellStart"/>
      <w:r>
        <w:t>eType</w:t>
      </w:r>
      <w:proofErr w:type="spellEnd"/>
      <w:r>
        <w:t xml:space="preserve"> TI PMI</w:t>
      </w:r>
    </w:p>
    <w:p w14:paraId="76DAD882" w14:textId="77777777" w:rsidR="003F40CF" w:rsidRDefault="003F40CF" w:rsidP="00E40FCF"/>
    <w:p w14:paraId="38637E68" w14:textId="77777777" w:rsidR="00363619" w:rsidRPr="00EF5DC3" w:rsidRDefault="00363619" w:rsidP="00333BB9"/>
    <w:p w14:paraId="4C1BEFEB" w14:textId="4AC25125" w:rsidR="00256E92" w:rsidRDefault="00256E92" w:rsidP="00256E92">
      <w:pPr>
        <w:pStyle w:val="Heading2"/>
        <w:rPr>
          <w:lang w:val="en-US"/>
        </w:rPr>
      </w:pPr>
      <w:r w:rsidRPr="00EF5DC3">
        <w:rPr>
          <w:lang w:val="en-US"/>
        </w:rPr>
        <w:t>Comparison of methodologies</w:t>
      </w:r>
    </w:p>
    <w:p w14:paraId="042F46A5" w14:textId="77777777" w:rsidR="00356651" w:rsidRPr="007832C8" w:rsidRDefault="00356651" w:rsidP="001A4C89">
      <w:pPr>
        <w:rPr>
          <w:rFonts w:eastAsia="SimSun"/>
          <w:lang w:val="en-GB" w:eastAsia="ko-KR"/>
        </w:rPr>
      </w:pPr>
    </w:p>
    <w:p w14:paraId="31CD5591" w14:textId="324CFABF" w:rsidR="007832C8" w:rsidRPr="00D54B6A" w:rsidRDefault="007832C8" w:rsidP="00D54B6A">
      <w:pPr>
        <w:rPr>
          <w:rFonts w:eastAsia="SimSun"/>
          <w:b/>
          <w:bCs/>
          <w:u w:val="single"/>
          <w:lang w:val="en-GB" w:eastAsia="ko-KR"/>
        </w:rPr>
      </w:pPr>
      <w:r w:rsidRPr="00D54B6A">
        <w:rPr>
          <w:rFonts w:eastAsia="SimSun"/>
          <w:b/>
          <w:bCs/>
          <w:u w:val="single"/>
          <w:lang w:val="en-GB" w:eastAsia="ko-KR"/>
        </w:rPr>
        <w:t>Comparison with Legacy TDL</w:t>
      </w:r>
    </w:p>
    <w:p w14:paraId="2D5874FE" w14:textId="640C5E25" w:rsidR="007832C8" w:rsidRPr="007832C8" w:rsidRDefault="007832C8" w:rsidP="007832C8">
      <w:pPr>
        <w:rPr>
          <w:b/>
          <w:bCs/>
          <w:lang w:val="en-GB"/>
        </w:rPr>
      </w:pPr>
      <w:r w:rsidRPr="007832C8">
        <w:rPr>
          <w:b/>
          <w:bCs/>
          <w:lang w:val="en-GB"/>
        </w:rPr>
        <w:t>Agreement</w:t>
      </w:r>
      <w:r w:rsidR="00D54B6A">
        <w:rPr>
          <w:b/>
          <w:bCs/>
          <w:lang w:val="en-GB"/>
        </w:rPr>
        <w:t xml:space="preserve"> (From RAN4#114)</w:t>
      </w:r>
      <w:r w:rsidRPr="007832C8">
        <w:rPr>
          <w:b/>
          <w:bCs/>
          <w:lang w:val="en-GB"/>
        </w:rPr>
        <w:t>:</w:t>
      </w:r>
    </w:p>
    <w:p w14:paraId="358D09EB" w14:textId="77777777" w:rsidR="007832C8" w:rsidRPr="007832C8" w:rsidRDefault="007832C8" w:rsidP="007832C8">
      <w:pPr>
        <w:rPr>
          <w:lang w:val="en-GB"/>
        </w:rPr>
      </w:pPr>
      <w:r w:rsidRPr="007832C8">
        <w:rPr>
          <w:lang w:val="en-GB"/>
        </w:rPr>
        <w:t>The following Legacy TDL models for comparison:</w:t>
      </w:r>
    </w:p>
    <w:p w14:paraId="7EC24772" w14:textId="77777777" w:rsidR="007832C8" w:rsidRPr="007832C8" w:rsidRDefault="007832C8" w:rsidP="007832C8">
      <w:pPr>
        <w:numPr>
          <w:ilvl w:val="0"/>
          <w:numId w:val="5"/>
        </w:numPr>
        <w:rPr>
          <w:lang w:val="en-GB"/>
        </w:rPr>
      </w:pPr>
      <w:r w:rsidRPr="007832C8">
        <w:rPr>
          <w:lang w:val="en-GB"/>
        </w:rPr>
        <w:t>Option 1: TDLC 300-10/100 with following correlation:</w:t>
      </w:r>
    </w:p>
    <w:p w14:paraId="7E3BE0C3" w14:textId="77777777" w:rsidR="007832C8" w:rsidRPr="007832C8" w:rsidRDefault="007832C8" w:rsidP="007832C8">
      <w:pPr>
        <w:numPr>
          <w:ilvl w:val="1"/>
          <w:numId w:val="5"/>
        </w:numPr>
        <w:rPr>
          <w:lang w:val="en-GB"/>
        </w:rPr>
      </w:pPr>
      <w:r w:rsidRPr="007832C8">
        <w:rPr>
          <w:lang w:val="en-GB"/>
        </w:rPr>
        <w:t>Option 1a: Low</w:t>
      </w:r>
    </w:p>
    <w:p w14:paraId="5A2A9EE3" w14:textId="77777777" w:rsidR="007832C8" w:rsidRPr="007832C8" w:rsidRDefault="007832C8" w:rsidP="007832C8">
      <w:pPr>
        <w:numPr>
          <w:ilvl w:val="1"/>
          <w:numId w:val="5"/>
        </w:numPr>
        <w:rPr>
          <w:lang w:val="en-GB"/>
        </w:rPr>
      </w:pPr>
      <w:r w:rsidRPr="007832C8">
        <w:rPr>
          <w:lang w:val="en-GB"/>
        </w:rPr>
        <w:t>Option 1b: XP Medium</w:t>
      </w:r>
    </w:p>
    <w:p w14:paraId="301E42A8" w14:textId="77777777" w:rsidR="007832C8" w:rsidRPr="007832C8" w:rsidRDefault="007832C8" w:rsidP="007832C8">
      <w:pPr>
        <w:numPr>
          <w:ilvl w:val="1"/>
          <w:numId w:val="5"/>
        </w:numPr>
        <w:rPr>
          <w:lang w:val="en-GB"/>
        </w:rPr>
      </w:pPr>
      <w:r w:rsidRPr="007832C8">
        <w:rPr>
          <w:lang w:val="en-GB"/>
        </w:rPr>
        <w:t xml:space="preserve">Option 1c: XP High </w:t>
      </w:r>
    </w:p>
    <w:p w14:paraId="13EFF8DB" w14:textId="77777777" w:rsidR="007832C8" w:rsidRPr="007832C8" w:rsidRDefault="007832C8" w:rsidP="007832C8">
      <w:pPr>
        <w:numPr>
          <w:ilvl w:val="1"/>
          <w:numId w:val="5"/>
        </w:numPr>
        <w:rPr>
          <w:lang w:val="en-GB"/>
        </w:rPr>
      </w:pPr>
      <w:r w:rsidRPr="007832C8">
        <w:rPr>
          <w:lang w:val="en-GB"/>
        </w:rPr>
        <w:t>Option 1d: Medium</w:t>
      </w:r>
    </w:p>
    <w:p w14:paraId="45E5767F" w14:textId="782AAA85" w:rsidR="00B02364" w:rsidRDefault="00B02364" w:rsidP="003F40CF">
      <w:r>
        <w:tab/>
      </w:r>
      <w:r>
        <w:tab/>
      </w:r>
    </w:p>
    <w:p w14:paraId="3A0714D2" w14:textId="77777777" w:rsidR="007832C8" w:rsidRDefault="007832C8" w:rsidP="003F40CF">
      <w:r>
        <w:t xml:space="preserve">Comparison with legacy TDL models is necessary in the study to understand the limitations of current methodology </w:t>
      </w:r>
      <w:proofErr w:type="gramStart"/>
      <w:r>
        <w:t>and also</w:t>
      </w:r>
      <w:proofErr w:type="gramEnd"/>
      <w:r>
        <w:t xml:space="preserve"> for comparison. The channel models and correlation should be chosen carefully, as not all </w:t>
      </w:r>
      <w:proofErr w:type="spellStart"/>
      <w:r>
        <w:t>corr</w:t>
      </w:r>
      <w:proofErr w:type="spellEnd"/>
      <w:r>
        <w:t xml:space="preserve"> levels are suitable for all antenna configs. We propose the following:</w:t>
      </w:r>
    </w:p>
    <w:p w14:paraId="59ABE846" w14:textId="77777777" w:rsidR="007832C8" w:rsidRDefault="007832C8" w:rsidP="003F40CF">
      <w:r>
        <w:t>For SU-MIMO PDSCH:</w:t>
      </w:r>
    </w:p>
    <w:p w14:paraId="38B48C9E" w14:textId="52F1B872" w:rsidR="003F40CF" w:rsidRDefault="007832C8" w:rsidP="007832C8">
      <w:pPr>
        <w:ind w:firstLine="720"/>
      </w:pPr>
      <w:r>
        <w:t>4x4:  TDL with low correlation, and XP-Med.</w:t>
      </w:r>
    </w:p>
    <w:p w14:paraId="3F3531F1" w14:textId="69D6260F" w:rsidR="00663552" w:rsidRDefault="00663552" w:rsidP="007832C8">
      <w:pPr>
        <w:ind w:firstLine="720"/>
      </w:pPr>
      <w:r>
        <w:t>8x8: TDL with low correlation</w:t>
      </w:r>
      <w:r w:rsidR="00A21339">
        <w:t>, XP-</w:t>
      </w:r>
      <w:proofErr w:type="spellStart"/>
      <w:r w:rsidR="00A21339">
        <w:t>MedA</w:t>
      </w:r>
      <w:proofErr w:type="spellEnd"/>
      <w:r w:rsidR="00A21339">
        <w:t xml:space="preserve"> (variant of XP-Med with smaller </w:t>
      </w:r>
      <w:r w:rsidR="00A21339" w:rsidRPr="00A21339">
        <w:rPr>
          <w:rFonts w:ascii="Symbol" w:hAnsi="Symbol"/>
        </w:rPr>
        <w:t>a, b</w:t>
      </w:r>
      <w:r w:rsidR="00A21339">
        <w:rPr>
          <w:rFonts w:ascii="Symbol" w:hAnsi="Symbol"/>
        </w:rPr>
        <w:t>)</w:t>
      </w:r>
    </w:p>
    <w:p w14:paraId="776A76C3" w14:textId="338C4D8D" w:rsidR="00A21339" w:rsidRDefault="00A21339" w:rsidP="00A21339">
      <w:r>
        <w:t>For SU-MIMO PMI:</w:t>
      </w:r>
    </w:p>
    <w:p w14:paraId="3B9BFDC1" w14:textId="373D6560" w:rsidR="00A21339" w:rsidRDefault="00A21339" w:rsidP="00A21339">
      <w:pPr>
        <w:ind w:firstLine="720"/>
      </w:pPr>
      <w:r>
        <w:t>8x4: TDL</w:t>
      </w:r>
      <w:r w:rsidRPr="00A21339">
        <w:t xml:space="preserve"> </w:t>
      </w:r>
      <w:r>
        <w:t>XP-Med, and XP-High.</w:t>
      </w:r>
    </w:p>
    <w:p w14:paraId="26388737" w14:textId="2DCE45CE" w:rsidR="003F40CF" w:rsidRDefault="00A21339" w:rsidP="003F40CF">
      <w:pPr>
        <w:rPr>
          <w:rFonts w:ascii="Symbol" w:hAnsi="Symbol"/>
        </w:rPr>
      </w:pPr>
      <w:r>
        <w:tab/>
        <w:t xml:space="preserve">32x4: TDL XP-Med or variant with smaller </w:t>
      </w:r>
      <w:r w:rsidRPr="00A21339">
        <w:rPr>
          <w:rFonts w:ascii="Symbol" w:hAnsi="Symbol"/>
        </w:rPr>
        <w:t>a</w:t>
      </w:r>
    </w:p>
    <w:p w14:paraId="19ED7967" w14:textId="74BFA429" w:rsidR="00A21339" w:rsidRPr="00A21339" w:rsidRDefault="00A21339" w:rsidP="00A21339">
      <w:pPr>
        <w:pStyle w:val="ListParagraph"/>
      </w:pPr>
      <w:r>
        <w:t>For legacy TDL, the following antenna correlation can be used:</w:t>
      </w:r>
      <w:r w:rsidRPr="00EF5DC3">
        <w:t xml:space="preserve"> </w:t>
      </w:r>
      <w:r>
        <w:br/>
      </w:r>
      <w:r w:rsidRPr="00A21339">
        <w:t>For SU-MIMO PDSCH:</w:t>
      </w:r>
      <w:r>
        <w:br/>
        <w:t xml:space="preserve">     </w:t>
      </w:r>
      <w:r w:rsidRPr="00A21339">
        <w:t>4x4:  TDL with low correlation, XP-Med.</w:t>
      </w:r>
      <w:r>
        <w:br/>
        <w:t xml:space="preserve">     </w:t>
      </w:r>
      <w:r w:rsidRPr="00A21339">
        <w:t>8x8: TDL with low correlation, XP-</w:t>
      </w:r>
      <w:proofErr w:type="spellStart"/>
      <w:r w:rsidRPr="00A21339">
        <w:t>MedA</w:t>
      </w:r>
      <w:proofErr w:type="spellEnd"/>
      <w:r w:rsidRPr="00A21339">
        <w:t xml:space="preserve"> (variant of XP-Med with smaller </w:t>
      </w:r>
      <w:r w:rsidRPr="00A21339">
        <w:rPr>
          <w:rFonts w:ascii="Symbol" w:hAnsi="Symbol"/>
        </w:rPr>
        <w:t>a, b</w:t>
      </w:r>
      <w:r w:rsidRPr="00A21339">
        <w:t>)</w:t>
      </w:r>
      <w:r>
        <w:br/>
      </w:r>
      <w:r w:rsidRPr="00A21339">
        <w:t>For SU-MIMO PMI:</w:t>
      </w:r>
      <w:r>
        <w:br/>
        <w:t xml:space="preserve">     </w:t>
      </w:r>
      <w:r w:rsidRPr="00A21339">
        <w:t>8x4: TDL XP-Med, and XP-High.</w:t>
      </w:r>
      <w:r>
        <w:br/>
        <w:t xml:space="preserve">     </w:t>
      </w:r>
      <w:r w:rsidRPr="00A21339">
        <w:t xml:space="preserve">32x4: TDL XP-Med or variant with smaller </w:t>
      </w:r>
      <w:r w:rsidRPr="00A21339">
        <w:rPr>
          <w:rFonts w:ascii="Symbol" w:hAnsi="Symbol"/>
        </w:rPr>
        <w:t>a</w:t>
      </w:r>
    </w:p>
    <w:p w14:paraId="17B0ADDC" w14:textId="700A81EC" w:rsidR="002249BA" w:rsidRPr="00EF5DC3" w:rsidRDefault="002249BA" w:rsidP="00E40FCF">
      <w:pPr>
        <w:rPr>
          <w:rFonts w:eastAsia="SimSun"/>
          <w:lang w:eastAsia="en-GB"/>
        </w:rPr>
      </w:pPr>
    </w:p>
    <w:p w14:paraId="20DC28A5" w14:textId="77777777" w:rsidR="002249BA" w:rsidRPr="00EF5DC3" w:rsidRDefault="002249BA" w:rsidP="002249BA">
      <w:pPr>
        <w:pStyle w:val="Heading1"/>
        <w:rPr>
          <w:lang w:val="en-US"/>
        </w:rPr>
      </w:pPr>
      <w:r w:rsidRPr="00EF5DC3">
        <w:rPr>
          <w:lang w:val="en-US"/>
        </w:rPr>
        <w:t>3. Conclusion</w:t>
      </w:r>
    </w:p>
    <w:p w14:paraId="39100AC6" w14:textId="345D6B48" w:rsidR="002249BA" w:rsidRPr="00EF5DC3" w:rsidRDefault="002249BA" w:rsidP="00E40FCF">
      <w:r w:rsidRPr="00EF5DC3">
        <w:t xml:space="preserve">In this paper, we provide our </w:t>
      </w:r>
      <w:r w:rsidR="00685BA4" w:rsidRPr="00EF5DC3">
        <w:t>views on scope of study for spatial channel models for defining demodulation and CSI reporting requirements in RAN4</w:t>
      </w:r>
      <w:r w:rsidRPr="00EF5DC3">
        <w:t>. Our observations and proposals are captured below:</w:t>
      </w:r>
    </w:p>
    <w:p w14:paraId="68FDD5D4" w14:textId="10C3D1D9" w:rsidR="005467C0" w:rsidRPr="00EF5DC3" w:rsidRDefault="005467C0" w:rsidP="005467C0">
      <w:pPr>
        <w:rPr>
          <w:b/>
          <w:bCs/>
          <w:u w:val="single"/>
        </w:rPr>
      </w:pPr>
      <w:r>
        <w:rPr>
          <w:b/>
          <w:bCs/>
          <w:u w:val="single"/>
        </w:rPr>
        <w:t>General</w:t>
      </w:r>
    </w:p>
    <w:p w14:paraId="348EFD19" w14:textId="77777777" w:rsidR="005467C0" w:rsidRDefault="005467C0" w:rsidP="005467C0">
      <w:pPr>
        <w:pStyle w:val="ListParagraph"/>
        <w:numPr>
          <w:ilvl w:val="0"/>
          <w:numId w:val="44"/>
        </w:numPr>
        <w:rPr>
          <w:b w:val="0"/>
          <w:bCs w:val="0"/>
          <w:i/>
          <w:iCs/>
        </w:rPr>
      </w:pPr>
      <w:r>
        <w:rPr>
          <w:b w:val="0"/>
          <w:bCs w:val="0"/>
          <w:i/>
          <w:iCs/>
        </w:rPr>
        <w:t xml:space="preserve">Study so far is focused on SU-MIMO in FR1, with no conclusions yet. </w:t>
      </w:r>
    </w:p>
    <w:p w14:paraId="6C906A3E" w14:textId="77777777" w:rsidR="005467C0" w:rsidRDefault="005467C0" w:rsidP="005467C0">
      <w:pPr>
        <w:pStyle w:val="ListParagraph"/>
        <w:numPr>
          <w:ilvl w:val="0"/>
          <w:numId w:val="44"/>
        </w:numPr>
        <w:rPr>
          <w:b w:val="0"/>
          <w:bCs w:val="0"/>
          <w:i/>
          <w:iCs/>
        </w:rPr>
      </w:pPr>
      <w:r>
        <w:rPr>
          <w:b w:val="0"/>
          <w:bCs w:val="0"/>
          <w:i/>
          <w:iCs/>
        </w:rPr>
        <w:t>It would not be feasible to include MU-MIMO and FR2 in the remaining time</w:t>
      </w:r>
      <w:r w:rsidRPr="007C4864">
        <w:rPr>
          <w:b w:val="0"/>
          <w:bCs w:val="0"/>
          <w:i/>
          <w:iCs/>
        </w:rPr>
        <w:t xml:space="preserve">. </w:t>
      </w:r>
    </w:p>
    <w:p w14:paraId="7B48B545" w14:textId="77777777" w:rsidR="005467C0" w:rsidRDefault="005467C0" w:rsidP="005467C0">
      <w:pPr>
        <w:pStyle w:val="ListParagraph"/>
        <w:numPr>
          <w:ilvl w:val="0"/>
          <w:numId w:val="44"/>
        </w:numPr>
        <w:rPr>
          <w:b w:val="0"/>
          <w:bCs w:val="0"/>
          <w:i/>
          <w:iCs/>
        </w:rPr>
      </w:pPr>
      <w:r>
        <w:rPr>
          <w:b w:val="0"/>
          <w:bCs w:val="0"/>
          <w:i/>
          <w:iCs/>
        </w:rPr>
        <w:lastRenderedPageBreak/>
        <w:t>De-prioritization of MU-MIMO and FR2 needs to be discussed and agreed in RAN4 before it is brought up in RAN plenary for SI scope update.</w:t>
      </w:r>
    </w:p>
    <w:p w14:paraId="6DD12535" w14:textId="77777777" w:rsidR="005467C0" w:rsidRPr="00EF5DC3" w:rsidRDefault="005467C0" w:rsidP="005467C0">
      <w:pPr>
        <w:pStyle w:val="ListParagraph"/>
        <w:numPr>
          <w:ilvl w:val="0"/>
          <w:numId w:val="45"/>
        </w:numPr>
      </w:pPr>
      <w:r>
        <w:t>De-prioritize MU-MIMO and FR2 for Rel-19 SCM study</w:t>
      </w:r>
      <w:r w:rsidRPr="00EF5DC3">
        <w:t xml:space="preserve">. </w:t>
      </w:r>
    </w:p>
    <w:p w14:paraId="6CEA063A" w14:textId="77777777" w:rsidR="005467C0" w:rsidRDefault="005467C0" w:rsidP="00E40FCF">
      <w:pPr>
        <w:rPr>
          <w:b/>
          <w:bCs/>
          <w:u w:val="single"/>
        </w:rPr>
      </w:pPr>
    </w:p>
    <w:p w14:paraId="7F6E90DA" w14:textId="6218CFD5" w:rsidR="002249BA" w:rsidRPr="00EF5DC3" w:rsidRDefault="00CC33C7" w:rsidP="00E40FCF">
      <w:pPr>
        <w:rPr>
          <w:b/>
          <w:bCs/>
          <w:u w:val="single"/>
        </w:rPr>
      </w:pPr>
      <w:r>
        <w:rPr>
          <w:b/>
          <w:bCs/>
          <w:u w:val="single"/>
        </w:rPr>
        <w:t>Common for all methodologies</w:t>
      </w:r>
    </w:p>
    <w:p w14:paraId="0738893A" w14:textId="77777777" w:rsidR="005467C0" w:rsidRDefault="005467C0" w:rsidP="00EA0939">
      <w:pPr>
        <w:pStyle w:val="ListParagraph"/>
        <w:numPr>
          <w:ilvl w:val="0"/>
          <w:numId w:val="44"/>
        </w:numPr>
        <w:rPr>
          <w:b w:val="0"/>
          <w:bCs w:val="0"/>
          <w:i/>
          <w:iCs/>
        </w:rPr>
      </w:pPr>
      <w:r>
        <w:rPr>
          <w:b w:val="0"/>
          <w:bCs w:val="0"/>
          <w:i/>
          <w:iCs/>
        </w:rPr>
        <w:t>Same test parameters/ set up should be used for alignment and comparison to avoid duplication of work</w:t>
      </w:r>
      <w:r w:rsidRPr="007C4864">
        <w:rPr>
          <w:b w:val="0"/>
          <w:bCs w:val="0"/>
          <w:i/>
          <w:iCs/>
        </w:rPr>
        <w:t xml:space="preserve">. </w:t>
      </w:r>
    </w:p>
    <w:p w14:paraId="1EF52B46" w14:textId="77777777" w:rsidR="005467C0" w:rsidRDefault="005467C0" w:rsidP="00EA0939">
      <w:pPr>
        <w:pStyle w:val="ListParagraph"/>
        <w:numPr>
          <w:ilvl w:val="0"/>
          <w:numId w:val="44"/>
        </w:numPr>
        <w:rPr>
          <w:b w:val="0"/>
          <w:bCs w:val="0"/>
          <w:i/>
          <w:iCs/>
        </w:rPr>
      </w:pPr>
      <w:r>
        <w:rPr>
          <w:b w:val="0"/>
          <w:bCs w:val="0"/>
          <w:i/>
          <w:iCs/>
        </w:rPr>
        <w:t>It is very cumbersome to fix PMI for PDSCH test cases and requires a 2-step process</w:t>
      </w:r>
    </w:p>
    <w:p w14:paraId="3E89CE8F" w14:textId="77777777" w:rsidR="005467C0" w:rsidRPr="007C4864" w:rsidRDefault="005467C0" w:rsidP="00EA0939">
      <w:pPr>
        <w:pStyle w:val="ListParagraph"/>
        <w:numPr>
          <w:ilvl w:val="0"/>
          <w:numId w:val="44"/>
        </w:numPr>
        <w:rPr>
          <w:b w:val="0"/>
          <w:bCs w:val="0"/>
          <w:i/>
          <w:iCs/>
        </w:rPr>
      </w:pPr>
      <w:r>
        <w:rPr>
          <w:b w:val="0"/>
          <w:bCs w:val="0"/>
          <w:i/>
          <w:iCs/>
        </w:rPr>
        <w:t>For the study, it should be okay if max TP is not achieved with random PMI since requirements are not being defined here.</w:t>
      </w:r>
    </w:p>
    <w:p w14:paraId="47C60B48" w14:textId="77777777" w:rsidR="005467C0" w:rsidRPr="00EF5DC3" w:rsidRDefault="005467C0" w:rsidP="005467C0">
      <w:pPr>
        <w:pStyle w:val="ListParagraph"/>
      </w:pPr>
      <w:r>
        <w:t>Only use random PMI for PDSCH test cases with 4RX and 8RX for alignment and comparison</w:t>
      </w:r>
      <w:r w:rsidRPr="00EF5DC3">
        <w:t xml:space="preserve">. </w:t>
      </w:r>
    </w:p>
    <w:p w14:paraId="13ABA000" w14:textId="77777777" w:rsidR="005467C0" w:rsidRPr="007C4864" w:rsidRDefault="005467C0" w:rsidP="00EA0939">
      <w:pPr>
        <w:pStyle w:val="ListParagraph"/>
        <w:numPr>
          <w:ilvl w:val="0"/>
          <w:numId w:val="44"/>
        </w:numPr>
        <w:rPr>
          <w:b w:val="0"/>
          <w:bCs w:val="0"/>
          <w:i/>
          <w:iCs/>
        </w:rPr>
      </w:pPr>
      <w:r>
        <w:rPr>
          <w:b w:val="0"/>
          <w:bCs w:val="0"/>
          <w:i/>
          <w:iCs/>
        </w:rPr>
        <w:t xml:space="preserve">We have agreed to use WB PMI for SU-PMI test cases with Type I CB at least for alignment, while </w:t>
      </w:r>
      <w:proofErr w:type="spellStart"/>
      <w:r>
        <w:rPr>
          <w:b w:val="0"/>
          <w:bCs w:val="0"/>
          <w:i/>
          <w:iCs/>
        </w:rPr>
        <w:t>eType</w:t>
      </w:r>
      <w:proofErr w:type="spellEnd"/>
      <w:r>
        <w:rPr>
          <w:b w:val="0"/>
          <w:bCs w:val="0"/>
          <w:i/>
          <w:iCs/>
        </w:rPr>
        <w:t xml:space="preserve"> II is always SB granularity.</w:t>
      </w:r>
    </w:p>
    <w:p w14:paraId="3A25E77B" w14:textId="77777777" w:rsidR="005467C0" w:rsidRPr="00EF5DC3" w:rsidRDefault="005467C0" w:rsidP="005467C0">
      <w:pPr>
        <w:pStyle w:val="ListParagraph"/>
      </w:pPr>
      <w:r>
        <w:t>Use WB recoding granularity for Type I even for comparison, even though not an equivalent comparison</w:t>
      </w:r>
      <w:r w:rsidRPr="00EF5DC3">
        <w:t xml:space="preserve">. </w:t>
      </w:r>
    </w:p>
    <w:p w14:paraId="61FE65C1" w14:textId="77777777" w:rsidR="00CC33C7" w:rsidRPr="00CC33C7" w:rsidRDefault="00CC33C7" w:rsidP="00CC33C7">
      <w:pPr>
        <w:ind w:left="216" w:hanging="216"/>
      </w:pPr>
    </w:p>
    <w:p w14:paraId="3EC85E70" w14:textId="77777777" w:rsidR="00D63885" w:rsidRPr="00EF5DC3" w:rsidRDefault="00D63885" w:rsidP="007C4864"/>
    <w:p w14:paraId="066446E5" w14:textId="77777777" w:rsidR="00D63885" w:rsidRPr="00EF5DC3" w:rsidRDefault="00D63885" w:rsidP="00D63885">
      <w:pPr>
        <w:rPr>
          <w:b/>
          <w:bCs/>
          <w:u w:val="single"/>
        </w:rPr>
      </w:pPr>
      <w:r w:rsidRPr="00EF5DC3">
        <w:rPr>
          <w:b/>
          <w:bCs/>
          <w:u w:val="single"/>
        </w:rPr>
        <w:t>CDL based methodologies</w:t>
      </w:r>
    </w:p>
    <w:p w14:paraId="574CAAD2" w14:textId="77777777" w:rsidR="005467C0" w:rsidRPr="00EA0939" w:rsidRDefault="005467C0" w:rsidP="00EA0939">
      <w:pPr>
        <w:pStyle w:val="ListParagraph"/>
        <w:numPr>
          <w:ilvl w:val="0"/>
          <w:numId w:val="44"/>
        </w:numPr>
        <w:rPr>
          <w:b w:val="0"/>
          <w:bCs w:val="0"/>
          <w:i/>
          <w:iCs/>
        </w:rPr>
      </w:pPr>
      <w:r>
        <w:rPr>
          <w:b w:val="0"/>
          <w:bCs w:val="0"/>
          <w:i/>
          <w:iCs/>
        </w:rPr>
        <w:t>The truncated channel model is only applicable to the configuration assumed for truncation -</w:t>
      </w:r>
      <w:r w:rsidRPr="00EA0939">
        <w:rPr>
          <w:b w:val="0"/>
          <w:bCs w:val="0"/>
          <w:i/>
          <w:iCs/>
        </w:rPr>
        <w:t xml:space="preserve"> </w:t>
      </w:r>
      <w:r w:rsidRPr="00902FAB">
        <w:rPr>
          <w:b w:val="0"/>
          <w:bCs w:val="0"/>
          <w:i/>
          <w:iCs/>
        </w:rPr>
        <w:t>antenna radiation pattern, AAV, BS down tilt</w:t>
      </w:r>
      <w:r>
        <w:rPr>
          <w:b w:val="0"/>
          <w:bCs w:val="0"/>
          <w:i/>
          <w:iCs/>
        </w:rPr>
        <w:t xml:space="preserve"> and needs to be re-derived based on the scenario/ configuration</w:t>
      </w:r>
    </w:p>
    <w:p w14:paraId="33421CF9" w14:textId="77777777" w:rsidR="005467C0" w:rsidRPr="00EA0939" w:rsidRDefault="005467C0" w:rsidP="00EA0939">
      <w:pPr>
        <w:pStyle w:val="ListParagraph"/>
        <w:numPr>
          <w:ilvl w:val="0"/>
          <w:numId w:val="44"/>
        </w:numPr>
        <w:rPr>
          <w:b w:val="0"/>
          <w:bCs w:val="0"/>
          <w:i/>
          <w:iCs/>
        </w:rPr>
      </w:pPr>
      <w:r>
        <w:rPr>
          <w:b w:val="0"/>
          <w:bCs w:val="0"/>
          <w:i/>
          <w:iCs/>
        </w:rPr>
        <w:t xml:space="preserve">The mean angle spreads are not the same as the desired angle spread used for </w:t>
      </w:r>
      <w:proofErr w:type="spellStart"/>
      <w:r>
        <w:rPr>
          <w:b w:val="0"/>
          <w:bCs w:val="0"/>
          <w:i/>
          <w:iCs/>
        </w:rPr>
        <w:t>UMa</w:t>
      </w:r>
      <w:proofErr w:type="spellEnd"/>
      <w:r>
        <w:rPr>
          <w:b w:val="0"/>
          <w:bCs w:val="0"/>
          <w:i/>
          <w:iCs/>
        </w:rPr>
        <w:t xml:space="preserve"> scenario.</w:t>
      </w:r>
    </w:p>
    <w:p w14:paraId="0A5E3867" w14:textId="77777777" w:rsidR="005467C0" w:rsidRPr="00EF5DC3" w:rsidRDefault="005467C0" w:rsidP="005467C0">
      <w:pPr>
        <w:pStyle w:val="ListParagraph"/>
      </w:pPr>
      <w:r>
        <w:t>In the final CDL table, round the angles to 1 decimal point</w:t>
      </w:r>
      <w:r w:rsidRPr="00EF5DC3">
        <w:t xml:space="preserve">. </w:t>
      </w:r>
    </w:p>
    <w:p w14:paraId="537B2FD0" w14:textId="77777777" w:rsidR="00D22BE6" w:rsidRDefault="00D22BE6" w:rsidP="00D22BE6"/>
    <w:p w14:paraId="3216677D" w14:textId="77777777" w:rsidR="005467C0" w:rsidRDefault="005467C0" w:rsidP="00EA0939">
      <w:pPr>
        <w:pStyle w:val="ListParagraph"/>
        <w:numPr>
          <w:ilvl w:val="0"/>
          <w:numId w:val="44"/>
        </w:numPr>
        <w:rPr>
          <w:b w:val="0"/>
          <w:bCs w:val="0"/>
          <w:i/>
          <w:iCs/>
        </w:rPr>
      </w:pPr>
      <w:r>
        <w:rPr>
          <w:b w:val="0"/>
          <w:bCs w:val="0"/>
          <w:i/>
          <w:iCs/>
        </w:rPr>
        <w:t>From UE perspective nothing different is tested with sub-array AAV.</w:t>
      </w:r>
    </w:p>
    <w:p w14:paraId="208CED25" w14:textId="77777777" w:rsidR="005467C0" w:rsidRDefault="005467C0" w:rsidP="00EA0939">
      <w:pPr>
        <w:pStyle w:val="ListParagraph"/>
        <w:numPr>
          <w:ilvl w:val="0"/>
          <w:numId w:val="44"/>
        </w:numPr>
        <w:rPr>
          <w:b w:val="0"/>
          <w:bCs w:val="0"/>
          <w:i/>
          <w:iCs/>
        </w:rPr>
      </w:pPr>
      <w:r>
        <w:rPr>
          <w:b w:val="0"/>
          <w:bCs w:val="0"/>
          <w:i/>
          <w:iCs/>
        </w:rPr>
        <w:t>Using sub-array AAV required extra SNR normalization step that adds overhead.</w:t>
      </w:r>
    </w:p>
    <w:p w14:paraId="597269E6" w14:textId="77777777" w:rsidR="005467C0" w:rsidRDefault="005467C0" w:rsidP="00EA0939">
      <w:pPr>
        <w:pStyle w:val="ListParagraph"/>
        <w:numPr>
          <w:ilvl w:val="0"/>
          <w:numId w:val="44"/>
        </w:numPr>
        <w:rPr>
          <w:b w:val="0"/>
          <w:bCs w:val="0"/>
          <w:i/>
          <w:iCs/>
        </w:rPr>
      </w:pPr>
      <w:r>
        <w:rPr>
          <w:b w:val="0"/>
          <w:bCs w:val="0"/>
          <w:i/>
          <w:iCs/>
        </w:rPr>
        <w:t xml:space="preserve">For SU-PMI we observe gains with </w:t>
      </w:r>
      <w:proofErr w:type="spellStart"/>
      <w:r>
        <w:rPr>
          <w:b w:val="0"/>
          <w:bCs w:val="0"/>
          <w:i/>
          <w:iCs/>
        </w:rPr>
        <w:t>eType</w:t>
      </w:r>
      <w:proofErr w:type="spellEnd"/>
      <w:r>
        <w:rPr>
          <w:b w:val="0"/>
          <w:bCs w:val="0"/>
          <w:i/>
          <w:iCs/>
        </w:rPr>
        <w:t xml:space="preserve"> II over Type I with larger number of TX ports without sub-array AAV.</w:t>
      </w:r>
    </w:p>
    <w:p w14:paraId="15558502" w14:textId="7A2302F7" w:rsidR="005467C0" w:rsidRPr="00EF5DC3" w:rsidRDefault="005467C0" w:rsidP="005467C0">
      <w:pPr>
        <w:pStyle w:val="ListParagraph"/>
      </w:pPr>
      <w:r>
        <w:t>For CDL based methodologies, only AAV3</w:t>
      </w:r>
      <w:r w:rsidR="00EA0939">
        <w:t>/</w:t>
      </w:r>
      <w:proofErr w:type="gramStart"/>
      <w:r w:rsidR="00EA0939">
        <w:t>AAV(</w:t>
      </w:r>
      <w:proofErr w:type="gramEnd"/>
      <w:r w:rsidR="00EA0939">
        <w:t>1,1)</w:t>
      </w:r>
      <w:r>
        <w:t>/pass-through is retained for the study</w:t>
      </w:r>
      <w:r w:rsidRPr="00EF5DC3">
        <w:t xml:space="preserve">. </w:t>
      </w:r>
    </w:p>
    <w:p w14:paraId="38A694EB" w14:textId="77777777" w:rsidR="00EA0939" w:rsidRPr="00EA0939" w:rsidRDefault="00EA0939" w:rsidP="00EA0939">
      <w:pPr>
        <w:pStyle w:val="ListParagraph"/>
        <w:numPr>
          <w:ilvl w:val="0"/>
          <w:numId w:val="44"/>
        </w:numPr>
        <w:rPr>
          <w:b w:val="0"/>
          <w:bCs w:val="0"/>
          <w:i/>
          <w:iCs/>
        </w:rPr>
      </w:pPr>
      <w:r w:rsidRPr="007C4864">
        <w:rPr>
          <w:b w:val="0"/>
          <w:bCs w:val="0"/>
          <w:i/>
          <w:iCs/>
        </w:rPr>
        <w:t>The CDL channel models in the TR 38.827 are defined for specific scenarios, carrier frequency, with some assumptions of RMS delay spread and UE velocity</w:t>
      </w:r>
      <w:r w:rsidRPr="00EA0939">
        <w:rPr>
          <w:b w:val="0"/>
          <w:bCs w:val="0"/>
          <w:i/>
          <w:iCs/>
        </w:rPr>
        <w:t>.</w:t>
      </w:r>
    </w:p>
    <w:p w14:paraId="69ABD73B" w14:textId="77777777" w:rsidR="00EA0939" w:rsidRPr="00EF5DC3" w:rsidRDefault="00EA0939" w:rsidP="00EA0939">
      <w:pPr>
        <w:pStyle w:val="ListParagraph"/>
      </w:pPr>
      <w:r w:rsidRPr="00EF5DC3">
        <w:t xml:space="preserve">RAN4 to </w:t>
      </w:r>
      <w:r>
        <w:t>evaluate</w:t>
      </w:r>
      <w:r w:rsidRPr="00EF5DC3">
        <w:t xml:space="preserve"> if the same channel model can be defined for all carrier frequencies/ bands in given frequency range – example FR1/ FR2. </w:t>
      </w:r>
    </w:p>
    <w:p w14:paraId="0E677594" w14:textId="77777777" w:rsidR="005467C0" w:rsidRDefault="005467C0" w:rsidP="00D22BE6"/>
    <w:p w14:paraId="2738DAB0" w14:textId="77777777" w:rsidR="00EA0939" w:rsidRDefault="00EA0939" w:rsidP="00EA0939">
      <w:pPr>
        <w:pStyle w:val="ListParagraph"/>
        <w:numPr>
          <w:ilvl w:val="0"/>
          <w:numId w:val="44"/>
        </w:numPr>
        <w:rPr>
          <w:b w:val="0"/>
          <w:bCs w:val="0"/>
          <w:i/>
          <w:iCs/>
        </w:rPr>
      </w:pPr>
      <w:r>
        <w:rPr>
          <w:b w:val="0"/>
          <w:bCs w:val="0"/>
          <w:i/>
          <w:iCs/>
        </w:rPr>
        <w:t xml:space="preserve">The task of data entry and collection for results alignment and comparison is very cumbersome with raw data (SNR and </w:t>
      </w:r>
      <w:proofErr w:type="spellStart"/>
      <w:r>
        <w:rPr>
          <w:b w:val="0"/>
          <w:bCs w:val="0"/>
          <w:i/>
          <w:iCs/>
        </w:rPr>
        <w:t>rel</w:t>
      </w:r>
      <w:proofErr w:type="spellEnd"/>
      <w:r>
        <w:rPr>
          <w:b w:val="0"/>
          <w:bCs w:val="0"/>
          <w:i/>
          <w:iCs/>
        </w:rPr>
        <w:t xml:space="preserve"> TP values)</w:t>
      </w:r>
    </w:p>
    <w:p w14:paraId="4B2A47F6" w14:textId="77777777" w:rsidR="00EA0939" w:rsidRPr="00EF5DC3" w:rsidRDefault="00EA0939" w:rsidP="00EA0939">
      <w:pPr>
        <w:pStyle w:val="ListParagraph"/>
      </w:pPr>
      <w:r>
        <w:t>Simplify the process of collecting results by collecting the following metrics:</w:t>
      </w:r>
      <w:r>
        <w:br/>
        <w:t>SU-MIMO PDSCH</w:t>
      </w:r>
      <w:r>
        <w:br/>
        <w:t xml:space="preserve">     </w:t>
      </w:r>
      <w:r w:rsidRPr="00244210">
        <w:rPr>
          <w:lang w:val="en-GB"/>
        </w:rPr>
        <w:t>SNR at 70%, 30% Max TP</w:t>
      </w:r>
      <w:r>
        <w:br/>
        <w:t>SU-PMI</w:t>
      </w:r>
      <w:r>
        <w:br/>
        <w:t xml:space="preserve">     SNR at 90 %, 70% Max TP for follow Type I PMI</w:t>
      </w:r>
      <w:r>
        <w:br/>
        <w:t xml:space="preserve">     Gamma at 90% Max TP with follow Type I PMI</w:t>
      </w:r>
      <w:r>
        <w:br/>
      </w:r>
      <w:r>
        <w:lastRenderedPageBreak/>
        <w:t xml:space="preserve">     SNR at 90 </w:t>
      </w:r>
      <w:proofErr w:type="gramStart"/>
      <w:r>
        <w:t>% ,</w:t>
      </w:r>
      <w:proofErr w:type="gramEnd"/>
      <w:r>
        <w:t xml:space="preserve"> 70%Max TP for follow </w:t>
      </w:r>
      <w:proofErr w:type="spellStart"/>
      <w:r>
        <w:t>eType</w:t>
      </w:r>
      <w:proofErr w:type="spellEnd"/>
      <w:r>
        <w:t xml:space="preserve"> II PMI</w:t>
      </w:r>
      <w:r>
        <w:br/>
        <w:t xml:space="preserve">     Gamma at 90% Max TP with follow </w:t>
      </w:r>
      <w:proofErr w:type="spellStart"/>
      <w:r>
        <w:t>eType</w:t>
      </w:r>
      <w:proofErr w:type="spellEnd"/>
      <w:r>
        <w:t xml:space="preserve"> TI PMI</w:t>
      </w:r>
    </w:p>
    <w:p w14:paraId="0D1CDC37" w14:textId="77777777" w:rsidR="00EA0939" w:rsidRPr="005467C0" w:rsidRDefault="00EA0939" w:rsidP="00D22BE6"/>
    <w:p w14:paraId="72E0B464" w14:textId="4FBAFCA5" w:rsidR="00D22BE6" w:rsidRPr="00EF5DC3" w:rsidRDefault="00D22BE6" w:rsidP="00D22BE6">
      <w:pPr>
        <w:rPr>
          <w:b/>
          <w:bCs/>
          <w:u w:val="single"/>
        </w:rPr>
      </w:pPr>
      <w:r w:rsidRPr="00EF5DC3">
        <w:rPr>
          <w:b/>
          <w:bCs/>
          <w:u w:val="single"/>
        </w:rPr>
        <w:t>Comparison of methodologies</w:t>
      </w:r>
    </w:p>
    <w:p w14:paraId="49D14676" w14:textId="77777777" w:rsidR="00D22BE6" w:rsidRPr="00EF5DC3" w:rsidRDefault="00D22BE6" w:rsidP="00D22BE6">
      <w:pPr>
        <w:rPr>
          <w:b/>
          <w:bCs/>
        </w:rPr>
      </w:pPr>
    </w:p>
    <w:p w14:paraId="1681696B" w14:textId="77777777" w:rsidR="009E5621" w:rsidRPr="00A21339" w:rsidRDefault="009E5621" w:rsidP="009E5621">
      <w:pPr>
        <w:pStyle w:val="ListParagraph"/>
      </w:pPr>
      <w:r>
        <w:t>For legacy TDL, the following antenna correlation can be used:</w:t>
      </w:r>
      <w:r w:rsidRPr="00EF5DC3">
        <w:t xml:space="preserve"> </w:t>
      </w:r>
      <w:r>
        <w:br/>
      </w:r>
      <w:r w:rsidRPr="00A21339">
        <w:t>For SU-MIMO PDSCH:</w:t>
      </w:r>
      <w:r>
        <w:br/>
        <w:t xml:space="preserve">     </w:t>
      </w:r>
      <w:r w:rsidRPr="00A21339">
        <w:t>4x4:  TDL with low correlation, XP-Med.</w:t>
      </w:r>
      <w:r>
        <w:br/>
        <w:t xml:space="preserve">     </w:t>
      </w:r>
      <w:r w:rsidRPr="00A21339">
        <w:t>8x8: TDL with low correlation, XP-</w:t>
      </w:r>
      <w:proofErr w:type="spellStart"/>
      <w:r w:rsidRPr="00A21339">
        <w:t>MedA</w:t>
      </w:r>
      <w:proofErr w:type="spellEnd"/>
      <w:r w:rsidRPr="00A21339">
        <w:t xml:space="preserve"> (variant of XP-Med with smaller </w:t>
      </w:r>
      <w:r w:rsidRPr="00A21339">
        <w:rPr>
          <w:rFonts w:ascii="Symbol" w:hAnsi="Symbol"/>
        </w:rPr>
        <w:t>a, b</w:t>
      </w:r>
      <w:r w:rsidRPr="00A21339">
        <w:t>)</w:t>
      </w:r>
      <w:r>
        <w:br/>
      </w:r>
      <w:r w:rsidRPr="00A21339">
        <w:t>For SU-MIMO PMI:</w:t>
      </w:r>
      <w:r>
        <w:br/>
        <w:t xml:space="preserve">     </w:t>
      </w:r>
      <w:r w:rsidRPr="00A21339">
        <w:t>8x4: TDL XP-Med, and XP-High.</w:t>
      </w:r>
      <w:r>
        <w:br/>
        <w:t xml:space="preserve">     </w:t>
      </w:r>
      <w:r w:rsidRPr="00A21339">
        <w:t xml:space="preserve">32x4: TDL XP-Med or variant with smaller </w:t>
      </w:r>
      <w:r w:rsidRPr="00A21339">
        <w:rPr>
          <w:rFonts w:ascii="Symbol" w:hAnsi="Symbol"/>
        </w:rPr>
        <w:t>a</w:t>
      </w:r>
    </w:p>
    <w:p w14:paraId="42CEFD00" w14:textId="77777777" w:rsidR="00D63885" w:rsidRPr="00EF5DC3" w:rsidRDefault="00D63885" w:rsidP="00E40FCF"/>
    <w:p w14:paraId="4FB808BC" w14:textId="77777777" w:rsidR="002249BA" w:rsidRPr="00EF5DC3" w:rsidRDefault="002249BA" w:rsidP="002249BA">
      <w:pPr>
        <w:pStyle w:val="Heading1"/>
        <w:ind w:left="432" w:hanging="432"/>
        <w:rPr>
          <w:lang w:val="en-US"/>
        </w:rPr>
      </w:pPr>
      <w:r w:rsidRPr="00EF5DC3">
        <w:rPr>
          <w:lang w:val="en-US"/>
        </w:rPr>
        <w:t>Reference</w:t>
      </w:r>
    </w:p>
    <w:p w14:paraId="33BE669C" w14:textId="5027C565" w:rsidR="003651CD" w:rsidRPr="00B13E2D" w:rsidRDefault="00B13E2D" w:rsidP="00B13E2D">
      <w:pPr>
        <w:pStyle w:val="ListParagraph"/>
        <w:numPr>
          <w:ilvl w:val="0"/>
          <w:numId w:val="2"/>
        </w:numPr>
        <w:rPr>
          <w:b w:val="0"/>
          <w:bCs w:val="0"/>
        </w:rPr>
      </w:pPr>
      <w:r w:rsidRPr="004B36BF">
        <w:rPr>
          <w:b w:val="0"/>
          <w:bCs w:val="0"/>
          <w:lang w:val="en-GB"/>
        </w:rPr>
        <w:t>R4-2504756</w:t>
      </w:r>
      <w:r>
        <w:rPr>
          <w:b w:val="0"/>
          <w:bCs w:val="0"/>
          <w:lang w:val="en-GB"/>
        </w:rPr>
        <w:t>, “</w:t>
      </w:r>
      <w:r w:rsidRPr="001444A8">
        <w:rPr>
          <w:b w:val="0"/>
          <w:bCs w:val="0"/>
          <w:lang w:val="en-GB"/>
        </w:rPr>
        <w:t>Way Forward for [114</w:t>
      </w:r>
      <w:r>
        <w:rPr>
          <w:b w:val="0"/>
          <w:bCs w:val="0"/>
          <w:lang w:val="en-GB"/>
        </w:rPr>
        <w:t>bis</w:t>
      </w:r>
      <w:r w:rsidRPr="001444A8">
        <w:rPr>
          <w:b w:val="0"/>
          <w:bCs w:val="0"/>
          <w:lang w:val="en-GB"/>
        </w:rPr>
        <w:t>][32</w:t>
      </w:r>
      <w:r>
        <w:rPr>
          <w:b w:val="0"/>
          <w:bCs w:val="0"/>
          <w:lang w:val="en-GB"/>
        </w:rPr>
        <w:t>0</w:t>
      </w:r>
      <w:r w:rsidRPr="001444A8">
        <w:rPr>
          <w:b w:val="0"/>
          <w:bCs w:val="0"/>
          <w:lang w:val="en-GB"/>
        </w:rPr>
        <w:t>] NR_SCM</w:t>
      </w:r>
      <w:r>
        <w:rPr>
          <w:b w:val="0"/>
          <w:bCs w:val="0"/>
          <w:lang w:val="en-GB"/>
        </w:rPr>
        <w:t>”</w:t>
      </w:r>
      <w:r w:rsidRPr="003463A7">
        <w:rPr>
          <w:b w:val="0"/>
          <w:bCs w:val="0"/>
        </w:rPr>
        <w:t>, Nokia.</w:t>
      </w:r>
      <w:r w:rsidR="003651CD" w:rsidRPr="00B13E2D">
        <w:t xml:space="preserve">  </w:t>
      </w:r>
    </w:p>
    <w:p w14:paraId="4751FC07" w14:textId="7E65A79F" w:rsidR="00C05860" w:rsidRDefault="00533882" w:rsidP="00BA5D62">
      <w:pPr>
        <w:pStyle w:val="ListParagraph"/>
        <w:numPr>
          <w:ilvl w:val="0"/>
          <w:numId w:val="2"/>
        </w:numPr>
        <w:rPr>
          <w:b w:val="0"/>
          <w:bCs w:val="0"/>
        </w:rPr>
      </w:pPr>
      <w:r w:rsidRPr="00533882">
        <w:rPr>
          <w:b w:val="0"/>
          <w:bCs w:val="0"/>
        </w:rPr>
        <w:t>R4-250</w:t>
      </w:r>
      <w:r w:rsidR="00F704F4">
        <w:rPr>
          <w:b w:val="0"/>
          <w:bCs w:val="0"/>
        </w:rPr>
        <w:t>5902</w:t>
      </w:r>
      <w:r w:rsidR="00C05860" w:rsidRPr="00F02CC4">
        <w:rPr>
          <w:b w:val="0"/>
          <w:bCs w:val="0"/>
        </w:rPr>
        <w:t>, “Simulation results for Spatial Channel Modeling study”, Apple</w:t>
      </w:r>
    </w:p>
    <w:p w14:paraId="49805CD4" w14:textId="706AD41C" w:rsidR="00D54B6A" w:rsidRPr="00F02CC4" w:rsidRDefault="00D54B6A" w:rsidP="00BA5D62">
      <w:pPr>
        <w:pStyle w:val="ListParagraph"/>
        <w:numPr>
          <w:ilvl w:val="0"/>
          <w:numId w:val="2"/>
        </w:numPr>
        <w:rPr>
          <w:b w:val="0"/>
          <w:bCs w:val="0"/>
        </w:rPr>
      </w:pPr>
      <w:r>
        <w:rPr>
          <w:b w:val="0"/>
          <w:bCs w:val="0"/>
        </w:rPr>
        <w:t>R4-2504698, “</w:t>
      </w:r>
      <w:r w:rsidRPr="00D54B6A">
        <w:rPr>
          <w:b w:val="0"/>
          <w:bCs w:val="0"/>
          <w:lang w:val="en-GB"/>
        </w:rPr>
        <w:t>Simulation summary for Alignment for NR SCM</w:t>
      </w:r>
      <w:r>
        <w:rPr>
          <w:b w:val="0"/>
          <w:bCs w:val="0"/>
          <w:lang w:val="en-GB"/>
        </w:rPr>
        <w:t xml:space="preserve">”, Apple, Ericsson. </w:t>
      </w:r>
    </w:p>
    <w:p w14:paraId="2025BD80" w14:textId="77777777" w:rsidR="002249BA" w:rsidRPr="00EF5DC3" w:rsidRDefault="002249BA" w:rsidP="00E40FCF"/>
    <w:sectPr w:rsidR="002249BA" w:rsidRPr="00EF5DC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3" w15:restartNumberingAfterBreak="0">
    <w:nsid w:val="13543D29"/>
    <w:multiLevelType w:val="hybridMultilevel"/>
    <w:tmpl w:val="180A9664"/>
    <w:lvl w:ilvl="0" w:tplc="53A8E39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006C1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3B584B"/>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E3F19AC"/>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FCE64DC"/>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3C03E02"/>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6DD15E3"/>
    <w:multiLevelType w:val="multilevel"/>
    <w:tmpl w:val="5FFA99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802116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226228F"/>
    <w:multiLevelType w:val="hybridMultilevel"/>
    <w:tmpl w:val="5DDC3436"/>
    <w:lvl w:ilvl="0" w:tplc="655621B4">
      <w:start w:val="2"/>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4" w15:restartNumberingAfterBreak="0">
    <w:nsid w:val="348758EA"/>
    <w:multiLevelType w:val="hybridMultilevel"/>
    <w:tmpl w:val="E7182A90"/>
    <w:lvl w:ilvl="0" w:tplc="9F1ED1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B45E1A"/>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C939BC"/>
    <w:multiLevelType w:val="hybridMultilevel"/>
    <w:tmpl w:val="B4BE6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81496A"/>
    <w:multiLevelType w:val="hybridMultilevel"/>
    <w:tmpl w:val="D2A6C0F2"/>
    <w:lvl w:ilvl="0" w:tplc="988251E4">
      <w:start w:val="1"/>
      <w:numFmt w:val="decimal"/>
      <w:pStyle w:val="ListParagraph"/>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D140D0"/>
    <w:multiLevelType w:val="hybridMultilevel"/>
    <w:tmpl w:val="816C9B66"/>
    <w:lvl w:ilvl="0" w:tplc="136C95D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51310D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num w:numId="1" w16cid:durableId="259338048">
    <w:abstractNumId w:val="10"/>
  </w:num>
  <w:num w:numId="2" w16cid:durableId="1198423226">
    <w:abstractNumId w:val="21"/>
  </w:num>
  <w:num w:numId="3" w16cid:durableId="1064061569">
    <w:abstractNumId w:val="15"/>
  </w:num>
  <w:num w:numId="4" w16cid:durableId="1117142815">
    <w:abstractNumId w:val="1"/>
  </w:num>
  <w:num w:numId="5" w16cid:durableId="1069688094">
    <w:abstractNumId w:val="23"/>
  </w:num>
  <w:num w:numId="6" w16cid:durableId="2044482076">
    <w:abstractNumId w:val="8"/>
  </w:num>
  <w:num w:numId="7" w16cid:durableId="1734084975">
    <w:abstractNumId w:val="2"/>
  </w:num>
  <w:num w:numId="8" w16cid:durableId="2003655479">
    <w:abstractNumId w:val="18"/>
  </w:num>
  <w:num w:numId="9" w16cid:durableId="597830545">
    <w:abstractNumId w:val="3"/>
  </w:num>
  <w:num w:numId="10" w16cid:durableId="1060789315">
    <w:abstractNumId w:val="13"/>
  </w:num>
  <w:num w:numId="11" w16cid:durableId="380440341">
    <w:abstractNumId w:val="17"/>
  </w:num>
  <w:num w:numId="12" w16cid:durableId="480736566">
    <w:abstractNumId w:val="20"/>
  </w:num>
  <w:num w:numId="13" w16cid:durableId="578562152">
    <w:abstractNumId w:val="7"/>
  </w:num>
  <w:num w:numId="14" w16cid:durableId="1159348707">
    <w:abstractNumId w:val="20"/>
  </w:num>
  <w:num w:numId="15" w16cid:durableId="1307123032">
    <w:abstractNumId w:val="20"/>
  </w:num>
  <w:num w:numId="16" w16cid:durableId="1584948337">
    <w:abstractNumId w:val="20"/>
  </w:num>
  <w:num w:numId="17" w16cid:durableId="2125730034">
    <w:abstractNumId w:val="6"/>
  </w:num>
  <w:num w:numId="18" w16cid:durableId="1960986400">
    <w:abstractNumId w:val="22"/>
  </w:num>
  <w:num w:numId="19" w16cid:durableId="1821581805">
    <w:abstractNumId w:val="19"/>
  </w:num>
  <w:num w:numId="20" w16cid:durableId="1110124799">
    <w:abstractNumId w:val="0"/>
  </w:num>
  <w:num w:numId="21" w16cid:durableId="2079017330">
    <w:abstractNumId w:val="12"/>
  </w:num>
  <w:num w:numId="22" w16cid:durableId="1277298980">
    <w:abstractNumId w:val="16"/>
  </w:num>
  <w:num w:numId="23" w16cid:durableId="1556350888">
    <w:abstractNumId w:val="18"/>
    <w:lvlOverride w:ilvl="0">
      <w:startOverride w:val="1"/>
    </w:lvlOverride>
  </w:num>
  <w:num w:numId="24" w16cid:durableId="2012637144">
    <w:abstractNumId w:val="18"/>
  </w:num>
  <w:num w:numId="25" w16cid:durableId="461117366">
    <w:abstractNumId w:val="18"/>
  </w:num>
  <w:num w:numId="26" w16cid:durableId="441220121">
    <w:abstractNumId w:val="18"/>
  </w:num>
  <w:num w:numId="27" w16cid:durableId="1765879359">
    <w:abstractNumId w:val="18"/>
  </w:num>
  <w:num w:numId="28" w16cid:durableId="1249922868">
    <w:abstractNumId w:val="18"/>
  </w:num>
  <w:num w:numId="29" w16cid:durableId="1872641483">
    <w:abstractNumId w:val="5"/>
  </w:num>
  <w:num w:numId="30" w16cid:durableId="63378063">
    <w:abstractNumId w:val="18"/>
    <w:lvlOverride w:ilvl="0">
      <w:startOverride w:val="1"/>
    </w:lvlOverride>
  </w:num>
  <w:num w:numId="31" w16cid:durableId="1566990290">
    <w:abstractNumId w:val="18"/>
  </w:num>
  <w:num w:numId="32" w16cid:durableId="1833062597">
    <w:abstractNumId w:val="14"/>
  </w:num>
  <w:num w:numId="33" w16cid:durableId="1294368718">
    <w:abstractNumId w:val="11"/>
  </w:num>
  <w:num w:numId="34" w16cid:durableId="295912027">
    <w:abstractNumId w:val="18"/>
  </w:num>
  <w:num w:numId="35" w16cid:durableId="1415905347">
    <w:abstractNumId w:val="18"/>
  </w:num>
  <w:num w:numId="36" w16cid:durableId="1001929701">
    <w:abstractNumId w:val="24"/>
  </w:num>
  <w:num w:numId="37" w16cid:durableId="1112556632">
    <w:abstractNumId w:val="4"/>
  </w:num>
  <w:num w:numId="38" w16cid:durableId="893471449">
    <w:abstractNumId w:val="18"/>
    <w:lvlOverride w:ilvl="0">
      <w:startOverride w:val="1"/>
    </w:lvlOverride>
  </w:num>
  <w:num w:numId="39" w16cid:durableId="1634021768">
    <w:abstractNumId w:val="18"/>
  </w:num>
  <w:num w:numId="40" w16cid:durableId="394546390">
    <w:abstractNumId w:val="18"/>
  </w:num>
  <w:num w:numId="41" w16cid:durableId="197819445">
    <w:abstractNumId w:val="18"/>
  </w:num>
  <w:num w:numId="42" w16cid:durableId="1734351462">
    <w:abstractNumId w:val="18"/>
  </w:num>
  <w:num w:numId="43" w16cid:durableId="816072870">
    <w:abstractNumId w:val="18"/>
  </w:num>
  <w:num w:numId="44" w16cid:durableId="41371128">
    <w:abstractNumId w:val="9"/>
  </w:num>
  <w:num w:numId="45" w16cid:durableId="541753013">
    <w:abstractNumId w:val="18"/>
    <w:lvlOverride w:ilvl="0">
      <w:startOverride w:val="1"/>
    </w:lvlOverride>
  </w:num>
  <w:num w:numId="46" w16cid:durableId="1928221940">
    <w:abstractNumId w:val="18"/>
  </w:num>
  <w:num w:numId="47" w16cid:durableId="1068650763">
    <w:abstractNumId w:val="18"/>
  </w:num>
  <w:num w:numId="48" w16cid:durableId="201403681">
    <w:abstractNumId w:val="18"/>
  </w:num>
  <w:num w:numId="49" w16cid:durableId="1587567805">
    <w:abstractNumId w:val="18"/>
  </w:num>
  <w:num w:numId="50" w16cid:durableId="642320082">
    <w:abstractNumId w:val="18"/>
  </w:num>
  <w:num w:numId="51" w16cid:durableId="20521387">
    <w:abstractNumId w:val="18"/>
  </w:num>
  <w:num w:numId="52" w16cid:durableId="2656966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A00"/>
    <w:rsid w:val="00003E53"/>
    <w:rsid w:val="00017A30"/>
    <w:rsid w:val="00026296"/>
    <w:rsid w:val="00040EDD"/>
    <w:rsid w:val="00084BA8"/>
    <w:rsid w:val="000906F6"/>
    <w:rsid w:val="000C4D8C"/>
    <w:rsid w:val="000D5873"/>
    <w:rsid w:val="000E2DF2"/>
    <w:rsid w:val="000E6918"/>
    <w:rsid w:val="00104D5D"/>
    <w:rsid w:val="001058DF"/>
    <w:rsid w:val="00121828"/>
    <w:rsid w:val="00121965"/>
    <w:rsid w:val="00124AC5"/>
    <w:rsid w:val="00136FC8"/>
    <w:rsid w:val="0013718E"/>
    <w:rsid w:val="00137765"/>
    <w:rsid w:val="001715D4"/>
    <w:rsid w:val="0017238B"/>
    <w:rsid w:val="00175C8A"/>
    <w:rsid w:val="00177147"/>
    <w:rsid w:val="00190238"/>
    <w:rsid w:val="001969FE"/>
    <w:rsid w:val="00197F09"/>
    <w:rsid w:val="001A3807"/>
    <w:rsid w:val="001A4C89"/>
    <w:rsid w:val="001B5D0A"/>
    <w:rsid w:val="001C663E"/>
    <w:rsid w:val="001E1366"/>
    <w:rsid w:val="001E5F97"/>
    <w:rsid w:val="00210E45"/>
    <w:rsid w:val="002249BA"/>
    <w:rsid w:val="00231D38"/>
    <w:rsid w:val="0023725C"/>
    <w:rsid w:val="00244210"/>
    <w:rsid w:val="00252BB5"/>
    <w:rsid w:val="00256E92"/>
    <w:rsid w:val="002870EA"/>
    <w:rsid w:val="002A5444"/>
    <w:rsid w:val="002B367C"/>
    <w:rsid w:val="002B62E1"/>
    <w:rsid w:val="002D7073"/>
    <w:rsid w:val="002F4FA3"/>
    <w:rsid w:val="00310690"/>
    <w:rsid w:val="00320E79"/>
    <w:rsid w:val="00322A55"/>
    <w:rsid w:val="00333BB9"/>
    <w:rsid w:val="003463A7"/>
    <w:rsid w:val="00352D52"/>
    <w:rsid w:val="00356651"/>
    <w:rsid w:val="00363619"/>
    <w:rsid w:val="003651CD"/>
    <w:rsid w:val="00375ED1"/>
    <w:rsid w:val="0039792C"/>
    <w:rsid w:val="003A1B25"/>
    <w:rsid w:val="003A4AB2"/>
    <w:rsid w:val="003B2F8B"/>
    <w:rsid w:val="003C45FF"/>
    <w:rsid w:val="003D3E68"/>
    <w:rsid w:val="003D57E7"/>
    <w:rsid w:val="003E6566"/>
    <w:rsid w:val="003F40CF"/>
    <w:rsid w:val="0040384F"/>
    <w:rsid w:val="00414371"/>
    <w:rsid w:val="0042365F"/>
    <w:rsid w:val="00442181"/>
    <w:rsid w:val="00456374"/>
    <w:rsid w:val="00456597"/>
    <w:rsid w:val="004571DB"/>
    <w:rsid w:val="004656F7"/>
    <w:rsid w:val="00471732"/>
    <w:rsid w:val="00474453"/>
    <w:rsid w:val="00495A23"/>
    <w:rsid w:val="004A5CBD"/>
    <w:rsid w:val="004A7671"/>
    <w:rsid w:val="004B6849"/>
    <w:rsid w:val="004D1584"/>
    <w:rsid w:val="004D1B9C"/>
    <w:rsid w:val="004D33BC"/>
    <w:rsid w:val="00507433"/>
    <w:rsid w:val="00507F88"/>
    <w:rsid w:val="0051665C"/>
    <w:rsid w:val="005169BD"/>
    <w:rsid w:val="00526314"/>
    <w:rsid w:val="00526F09"/>
    <w:rsid w:val="00533882"/>
    <w:rsid w:val="00540F1F"/>
    <w:rsid w:val="005467C0"/>
    <w:rsid w:val="0055486A"/>
    <w:rsid w:val="0057184D"/>
    <w:rsid w:val="00590EAB"/>
    <w:rsid w:val="005A4D69"/>
    <w:rsid w:val="005B0BFD"/>
    <w:rsid w:val="005B410D"/>
    <w:rsid w:val="005C48BD"/>
    <w:rsid w:val="005D1B1F"/>
    <w:rsid w:val="005D349F"/>
    <w:rsid w:val="005F0EA0"/>
    <w:rsid w:val="005F3705"/>
    <w:rsid w:val="005F5A7E"/>
    <w:rsid w:val="006155E6"/>
    <w:rsid w:val="00616ADF"/>
    <w:rsid w:val="00622D45"/>
    <w:rsid w:val="00626BDE"/>
    <w:rsid w:val="00631307"/>
    <w:rsid w:val="00663552"/>
    <w:rsid w:val="00665380"/>
    <w:rsid w:val="00676A34"/>
    <w:rsid w:val="006777ED"/>
    <w:rsid w:val="00685BA4"/>
    <w:rsid w:val="00691C79"/>
    <w:rsid w:val="0069560D"/>
    <w:rsid w:val="00696C56"/>
    <w:rsid w:val="006D34DC"/>
    <w:rsid w:val="006D5CF7"/>
    <w:rsid w:val="006F6BCA"/>
    <w:rsid w:val="00703C86"/>
    <w:rsid w:val="0074586B"/>
    <w:rsid w:val="00747592"/>
    <w:rsid w:val="00753853"/>
    <w:rsid w:val="00761D75"/>
    <w:rsid w:val="0076636B"/>
    <w:rsid w:val="00775238"/>
    <w:rsid w:val="007832C8"/>
    <w:rsid w:val="00785B12"/>
    <w:rsid w:val="00787DF9"/>
    <w:rsid w:val="007A3BE1"/>
    <w:rsid w:val="007B1CE4"/>
    <w:rsid w:val="007C4864"/>
    <w:rsid w:val="007C626C"/>
    <w:rsid w:val="007E5761"/>
    <w:rsid w:val="007F1796"/>
    <w:rsid w:val="00802DDF"/>
    <w:rsid w:val="008056D6"/>
    <w:rsid w:val="0082026F"/>
    <w:rsid w:val="008233A3"/>
    <w:rsid w:val="00830460"/>
    <w:rsid w:val="00833C9C"/>
    <w:rsid w:val="0083467F"/>
    <w:rsid w:val="00841FDE"/>
    <w:rsid w:val="00847B96"/>
    <w:rsid w:val="0087325A"/>
    <w:rsid w:val="008A3613"/>
    <w:rsid w:val="008B75A2"/>
    <w:rsid w:val="008C5006"/>
    <w:rsid w:val="008D148C"/>
    <w:rsid w:val="008D531E"/>
    <w:rsid w:val="008E1563"/>
    <w:rsid w:val="008E2AB3"/>
    <w:rsid w:val="008E5348"/>
    <w:rsid w:val="00902FAB"/>
    <w:rsid w:val="00920200"/>
    <w:rsid w:val="00924CB2"/>
    <w:rsid w:val="00932C93"/>
    <w:rsid w:val="00940F62"/>
    <w:rsid w:val="00943E17"/>
    <w:rsid w:val="00951300"/>
    <w:rsid w:val="00964B6F"/>
    <w:rsid w:val="00970536"/>
    <w:rsid w:val="009766FF"/>
    <w:rsid w:val="009776DC"/>
    <w:rsid w:val="009B4DF5"/>
    <w:rsid w:val="009C1F3F"/>
    <w:rsid w:val="009C29E3"/>
    <w:rsid w:val="009D596C"/>
    <w:rsid w:val="009E5621"/>
    <w:rsid w:val="009F30F3"/>
    <w:rsid w:val="009F52D7"/>
    <w:rsid w:val="00A11915"/>
    <w:rsid w:val="00A16603"/>
    <w:rsid w:val="00A17DDA"/>
    <w:rsid w:val="00A211CC"/>
    <w:rsid w:val="00A21339"/>
    <w:rsid w:val="00A21388"/>
    <w:rsid w:val="00A477D6"/>
    <w:rsid w:val="00A51A5E"/>
    <w:rsid w:val="00A745EB"/>
    <w:rsid w:val="00A845C4"/>
    <w:rsid w:val="00A85F2C"/>
    <w:rsid w:val="00A872C1"/>
    <w:rsid w:val="00AA25DA"/>
    <w:rsid w:val="00AB74C8"/>
    <w:rsid w:val="00AC413B"/>
    <w:rsid w:val="00AC4F13"/>
    <w:rsid w:val="00AD261E"/>
    <w:rsid w:val="00B00412"/>
    <w:rsid w:val="00B02364"/>
    <w:rsid w:val="00B13E2D"/>
    <w:rsid w:val="00B36DBE"/>
    <w:rsid w:val="00B37F25"/>
    <w:rsid w:val="00B56FF5"/>
    <w:rsid w:val="00B6534F"/>
    <w:rsid w:val="00B661FF"/>
    <w:rsid w:val="00B715AB"/>
    <w:rsid w:val="00B72F3C"/>
    <w:rsid w:val="00B8567C"/>
    <w:rsid w:val="00B87FB1"/>
    <w:rsid w:val="00B9519D"/>
    <w:rsid w:val="00BA5D62"/>
    <w:rsid w:val="00BB2B17"/>
    <w:rsid w:val="00BB4DC2"/>
    <w:rsid w:val="00C025D4"/>
    <w:rsid w:val="00C05860"/>
    <w:rsid w:val="00C126FE"/>
    <w:rsid w:val="00C12F43"/>
    <w:rsid w:val="00C14E45"/>
    <w:rsid w:val="00C15D60"/>
    <w:rsid w:val="00C27759"/>
    <w:rsid w:val="00C34B5F"/>
    <w:rsid w:val="00C43FB6"/>
    <w:rsid w:val="00C442D6"/>
    <w:rsid w:val="00C44C14"/>
    <w:rsid w:val="00C53CEA"/>
    <w:rsid w:val="00C558AE"/>
    <w:rsid w:val="00C9329E"/>
    <w:rsid w:val="00C94AC7"/>
    <w:rsid w:val="00C967AC"/>
    <w:rsid w:val="00CA0B43"/>
    <w:rsid w:val="00CA6CBD"/>
    <w:rsid w:val="00CC33C7"/>
    <w:rsid w:val="00CC5429"/>
    <w:rsid w:val="00CD0F63"/>
    <w:rsid w:val="00CF7594"/>
    <w:rsid w:val="00D02A73"/>
    <w:rsid w:val="00D07ED3"/>
    <w:rsid w:val="00D15D3E"/>
    <w:rsid w:val="00D167C7"/>
    <w:rsid w:val="00D16F3A"/>
    <w:rsid w:val="00D1776B"/>
    <w:rsid w:val="00D22BE6"/>
    <w:rsid w:val="00D50413"/>
    <w:rsid w:val="00D54B6A"/>
    <w:rsid w:val="00D550F4"/>
    <w:rsid w:val="00D63885"/>
    <w:rsid w:val="00D65B2F"/>
    <w:rsid w:val="00DA019D"/>
    <w:rsid w:val="00DA24C0"/>
    <w:rsid w:val="00DA34F7"/>
    <w:rsid w:val="00DB6943"/>
    <w:rsid w:val="00DC3489"/>
    <w:rsid w:val="00DC773D"/>
    <w:rsid w:val="00DD2BCB"/>
    <w:rsid w:val="00DD504B"/>
    <w:rsid w:val="00DD5EE9"/>
    <w:rsid w:val="00DE1588"/>
    <w:rsid w:val="00DF1ED2"/>
    <w:rsid w:val="00E32910"/>
    <w:rsid w:val="00E36F97"/>
    <w:rsid w:val="00E40FCF"/>
    <w:rsid w:val="00E55591"/>
    <w:rsid w:val="00E5586A"/>
    <w:rsid w:val="00E57031"/>
    <w:rsid w:val="00E632F0"/>
    <w:rsid w:val="00E6594B"/>
    <w:rsid w:val="00E65D3E"/>
    <w:rsid w:val="00E81E29"/>
    <w:rsid w:val="00E9138B"/>
    <w:rsid w:val="00EA0939"/>
    <w:rsid w:val="00EB132D"/>
    <w:rsid w:val="00ED58B1"/>
    <w:rsid w:val="00EF0D69"/>
    <w:rsid w:val="00EF25BF"/>
    <w:rsid w:val="00EF5DC3"/>
    <w:rsid w:val="00F021AA"/>
    <w:rsid w:val="00F02CC4"/>
    <w:rsid w:val="00F07AB8"/>
    <w:rsid w:val="00F07C35"/>
    <w:rsid w:val="00F309F7"/>
    <w:rsid w:val="00F4403C"/>
    <w:rsid w:val="00F441E8"/>
    <w:rsid w:val="00F555F1"/>
    <w:rsid w:val="00F57EA1"/>
    <w:rsid w:val="00F704F4"/>
    <w:rsid w:val="00F96B08"/>
    <w:rsid w:val="00FA032E"/>
    <w:rsid w:val="00FA7F7F"/>
    <w:rsid w:val="00FB2190"/>
    <w:rsid w:val="00FB6ACC"/>
    <w:rsid w:val="00FC1F9E"/>
    <w:rsid w:val="00FD0E19"/>
    <w:rsid w:val="00FE1201"/>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FC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715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BA5D62"/>
    <w:pPr>
      <w:numPr>
        <w:numId w:val="8"/>
      </w:numPr>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BA5D62"/>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basedOn w:val="TableNormal"/>
    <w:uiPriority w:val="39"/>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sid w:val="007B1CE4"/>
    <w:rPr>
      <w:b/>
    </w:rPr>
  </w:style>
  <w:style w:type="paragraph" w:customStyle="1" w:styleId="TAC">
    <w:name w:val="TAC"/>
    <w:basedOn w:val="Normal"/>
    <w:link w:val="TACChar"/>
    <w:qFormat/>
    <w:rsid w:val="007B1CE4"/>
    <w:pPr>
      <w:keepNext/>
      <w:keepLines/>
      <w:spacing w:after="0"/>
      <w:jc w:val="center"/>
    </w:pPr>
    <w:rPr>
      <w:rFonts w:ascii="Arial" w:eastAsia="SimSun" w:hAnsi="Arial"/>
      <w:sz w:val="18"/>
      <w:lang w:val="en-GB"/>
    </w:rPr>
  </w:style>
  <w:style w:type="paragraph" w:customStyle="1" w:styleId="TH">
    <w:name w:val="TH"/>
    <w:basedOn w:val="Normal"/>
    <w:link w:val="THChar"/>
    <w:qFormat/>
    <w:rsid w:val="007B1CE4"/>
    <w:pPr>
      <w:keepNext/>
      <w:keepLines/>
      <w:spacing w:before="60" w:after="180"/>
      <w:jc w:val="center"/>
    </w:pPr>
    <w:rPr>
      <w:rFonts w:ascii="Arial" w:eastAsia="SimSun" w:hAnsi="Arial"/>
      <w:b/>
      <w:lang w:val="en-GB"/>
    </w:rPr>
  </w:style>
  <w:style w:type="character" w:customStyle="1" w:styleId="TAHCar">
    <w:name w:val="TAH Car"/>
    <w:link w:val="TAH"/>
    <w:qFormat/>
    <w:rsid w:val="007B1CE4"/>
    <w:rPr>
      <w:rFonts w:ascii="Arial" w:eastAsia="SimSun" w:hAnsi="Arial" w:cs="Times New Roman"/>
      <w:b/>
      <w:sz w:val="18"/>
      <w:szCs w:val="20"/>
      <w:lang w:val="en-GB"/>
    </w:rPr>
  </w:style>
  <w:style w:type="character" w:customStyle="1" w:styleId="TACChar">
    <w:name w:val="TAC Char"/>
    <w:link w:val="TAC"/>
    <w:qFormat/>
    <w:rsid w:val="007B1CE4"/>
    <w:rPr>
      <w:rFonts w:ascii="Arial" w:eastAsia="SimSun" w:hAnsi="Arial" w:cs="Times New Roman"/>
      <w:sz w:val="18"/>
      <w:szCs w:val="20"/>
      <w:lang w:val="en-GB"/>
    </w:rPr>
  </w:style>
  <w:style w:type="character" w:customStyle="1" w:styleId="THChar">
    <w:name w:val="TH Char"/>
    <w:link w:val="TH"/>
    <w:qFormat/>
    <w:locked/>
    <w:rsid w:val="007B1CE4"/>
    <w:rPr>
      <w:rFonts w:ascii="Arial" w:eastAsia="SimSun" w:hAnsi="Arial" w:cs="Times New Roman"/>
      <w:b/>
      <w:sz w:val="20"/>
      <w:szCs w:val="20"/>
      <w:lang w:val="en-GB"/>
    </w:rPr>
  </w:style>
  <w:style w:type="paragraph" w:customStyle="1" w:styleId="EQ">
    <w:name w:val="EQ"/>
    <w:basedOn w:val="Normal"/>
    <w:next w:val="Normal"/>
    <w:link w:val="EQChar"/>
    <w:rsid w:val="00333BB9"/>
    <w:pPr>
      <w:keepLines/>
      <w:tabs>
        <w:tab w:val="center" w:pos="4536"/>
        <w:tab w:val="right" w:pos="9072"/>
      </w:tabs>
      <w:spacing w:after="180"/>
    </w:pPr>
    <w:rPr>
      <w:rFonts w:eastAsia="SimSun"/>
      <w:lang w:val="en-GB"/>
    </w:rPr>
  </w:style>
  <w:style w:type="character" w:customStyle="1" w:styleId="EQChar">
    <w:name w:val="EQ Char"/>
    <w:link w:val="EQ"/>
    <w:rsid w:val="00333BB9"/>
    <w:rPr>
      <w:rFonts w:ascii="Times New Roman" w:eastAsia="SimSun" w:hAnsi="Times New Roman" w:cs="Times New Roman"/>
      <w:sz w:val="20"/>
      <w:szCs w:val="20"/>
      <w:lang w:val="en-GB"/>
    </w:rPr>
  </w:style>
  <w:style w:type="character" w:styleId="Hyperlink">
    <w:name w:val="Hyperlink"/>
    <w:basedOn w:val="DefaultParagraphFont"/>
    <w:uiPriority w:val="99"/>
    <w:unhideWhenUsed/>
    <w:rsid w:val="00495A23"/>
    <w:rPr>
      <w:color w:val="0563C1" w:themeColor="hyperlink"/>
      <w:u w:val="single"/>
    </w:rPr>
  </w:style>
  <w:style w:type="character" w:styleId="UnresolvedMention">
    <w:name w:val="Unresolved Mention"/>
    <w:basedOn w:val="DefaultParagraphFont"/>
    <w:uiPriority w:val="99"/>
    <w:semiHidden/>
    <w:unhideWhenUsed/>
    <w:rsid w:val="00495A23"/>
    <w:rPr>
      <w:color w:val="605E5C"/>
      <w:shd w:val="clear" w:color="auto" w:fill="E1DFDD"/>
    </w:rPr>
  </w:style>
  <w:style w:type="character" w:styleId="CommentReference">
    <w:name w:val="annotation reference"/>
    <w:basedOn w:val="DefaultParagraphFont"/>
    <w:uiPriority w:val="99"/>
    <w:semiHidden/>
    <w:unhideWhenUsed/>
    <w:rsid w:val="008D148C"/>
    <w:rPr>
      <w:sz w:val="16"/>
      <w:szCs w:val="16"/>
    </w:rPr>
  </w:style>
  <w:style w:type="paragraph" w:styleId="CommentText">
    <w:name w:val="annotation text"/>
    <w:basedOn w:val="Normal"/>
    <w:link w:val="CommentTextChar"/>
    <w:uiPriority w:val="99"/>
    <w:semiHidden/>
    <w:unhideWhenUsed/>
    <w:rsid w:val="008D148C"/>
  </w:style>
  <w:style w:type="character" w:customStyle="1" w:styleId="CommentTextChar">
    <w:name w:val="Comment Text Char"/>
    <w:basedOn w:val="DefaultParagraphFont"/>
    <w:link w:val="CommentText"/>
    <w:uiPriority w:val="99"/>
    <w:semiHidden/>
    <w:rsid w:val="008D148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D148C"/>
    <w:rPr>
      <w:b/>
      <w:bCs/>
    </w:rPr>
  </w:style>
  <w:style w:type="character" w:customStyle="1" w:styleId="CommentSubjectChar">
    <w:name w:val="Comment Subject Char"/>
    <w:basedOn w:val="CommentTextChar"/>
    <w:link w:val="CommentSubject"/>
    <w:uiPriority w:val="99"/>
    <w:semiHidden/>
    <w:rsid w:val="008D148C"/>
    <w:rPr>
      <w:rFonts w:ascii="Times New Roman" w:eastAsia="Times New Roman" w:hAnsi="Times New Roman" w:cs="Times New Roman"/>
      <w:b/>
      <w:bCs/>
      <w:sz w:val="20"/>
      <w:szCs w:val="20"/>
    </w:rPr>
  </w:style>
  <w:style w:type="character" w:styleId="PlaceholderText">
    <w:name w:val="Placeholder Text"/>
    <w:basedOn w:val="DefaultParagraphFont"/>
    <w:uiPriority w:val="99"/>
    <w:semiHidden/>
    <w:rsid w:val="00E36F97"/>
    <w:rPr>
      <w:color w:val="666666"/>
    </w:rPr>
  </w:style>
  <w:style w:type="character" w:customStyle="1" w:styleId="Heading4Char">
    <w:name w:val="Heading 4 Char"/>
    <w:basedOn w:val="DefaultParagraphFont"/>
    <w:link w:val="Heading4"/>
    <w:uiPriority w:val="9"/>
    <w:semiHidden/>
    <w:rsid w:val="00B715AB"/>
    <w:rPr>
      <w:rFonts w:asciiTheme="majorHAnsi" w:eastAsiaTheme="majorEastAsia" w:hAnsiTheme="majorHAnsi" w:cstheme="majorBidi"/>
      <w:i/>
      <w:iCs/>
      <w:color w:val="2F5496" w:themeColor="accent1" w:themeShade="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8214">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741492749">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850920989">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20229083">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 w:id="2134857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285</TotalTime>
  <Pages>9</Pages>
  <Words>2575</Words>
  <Characters>13650</Characters>
  <Application>Microsoft Office Word</Application>
  <DocSecurity>0</DocSecurity>
  <Lines>593</Lines>
  <Paragraphs>477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Apple_115 (Manasa)</cp:lastModifiedBy>
  <cp:revision>11</cp:revision>
  <dcterms:created xsi:type="dcterms:W3CDTF">2025-05-07T17:18:00Z</dcterms:created>
  <dcterms:modified xsi:type="dcterms:W3CDTF">2025-05-09T03:39:00Z</dcterms:modified>
</cp:coreProperties>
</file>