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D12D1">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#114bis</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R4-2503304</w:t>
      </w:r>
    </w:p>
    <w:p w14:paraId="19F03B28">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Wuhan, Hubei, China, 07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11</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April, 2025</w:t>
      </w:r>
    </w:p>
    <w:p w14:paraId="2C815165">
      <w:pPr>
        <w:overflowPunct w:val="0"/>
        <w:autoSpaceDE w:val="0"/>
        <w:autoSpaceDN w:val="0"/>
        <w:adjustRightInd w:val="0"/>
        <w:textAlignment w:val="baseline"/>
        <w:rPr>
          <w:rFonts w:ascii="Arial" w:hAnsi="Arial" w:eastAsia="宋体" w:cs="Times New Roman"/>
          <w:b/>
          <w:bCs/>
          <w:kern w:val="0"/>
          <w:sz w:val="24"/>
          <w:szCs w:val="21"/>
          <w:lang w:val="en-GB"/>
        </w:rPr>
      </w:pPr>
    </w:p>
    <w:p w14:paraId="4F37B6D2">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15EE2E13">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(e)RedCap RRM requirements in NTN for NR Phase 3</w:t>
      </w:r>
    </w:p>
    <w:p w14:paraId="099D523B">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9</w:t>
      </w:r>
      <w:r>
        <w:rPr>
          <w:rFonts w:hint="eastAsia" w:ascii="Arial" w:hAnsi="Arial" w:cs="Arial"/>
          <w:sz w:val="24"/>
          <w:szCs w:val="24"/>
        </w:rPr>
        <w:t>.4.1</w:t>
      </w:r>
    </w:p>
    <w:p w14:paraId="65273F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72AA6EC">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04FE9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GB" w:eastAsia="ja-JP"/>
        </w:rPr>
      </w:pPr>
      <w:bookmarkStart w:id="4" w:name="OLE_LINK1"/>
      <w:r>
        <w:rPr>
          <w:rFonts w:hint="default" w:ascii="Times New Roman" w:hAnsi="Times New Roman" w:eastAsia="宋体" w:cs="Times New Roman"/>
          <w:b w:val="0"/>
          <w:bCs w:val="0"/>
          <w:kern w:val="0"/>
          <w:sz w:val="21"/>
          <w:szCs w:val="21"/>
          <w:lang w:val="en-GB" w:eastAsia="ja-JP"/>
        </w:rPr>
        <w:t>In the last RAN4#112</w:t>
      </w:r>
      <w:r>
        <w:rPr>
          <w:rFonts w:hint="eastAsia" w:ascii="Times New Roman" w:hAnsi="Times New Roman" w:eastAsia="宋体" w:cs="Times New Roman"/>
          <w:b w:val="0"/>
          <w:bCs w:val="0"/>
          <w:kern w:val="0"/>
          <w:sz w:val="21"/>
          <w:szCs w:val="21"/>
          <w:lang w:val="en-US" w:eastAsia="zh-CN"/>
        </w:rPr>
        <w:t>bis</w:t>
      </w:r>
      <w:r>
        <w:rPr>
          <w:rFonts w:hint="default" w:ascii="Times New Roman" w:hAnsi="Times New Roman" w:eastAsia="宋体" w:cs="Times New Roman"/>
          <w:b w:val="0"/>
          <w:bCs w:val="0"/>
          <w:kern w:val="0"/>
          <w:sz w:val="21"/>
          <w:szCs w:val="21"/>
          <w:lang w:val="en-GB" w:eastAsia="ja-JP"/>
        </w:rPr>
        <w:t xml:space="preserve"> meeting, </w:t>
      </w:r>
      <w:r>
        <w:rPr>
          <w:rFonts w:hint="eastAsia" w:ascii="Times New Roman" w:hAnsi="Times New Roman" w:eastAsia="宋体" w:cs="Times New Roman"/>
          <w:b w:val="0"/>
          <w:bCs w:val="0"/>
          <w:kern w:val="0"/>
          <w:sz w:val="21"/>
          <w:szCs w:val="21"/>
          <w:lang w:val="en-US" w:eastAsia="zh-CN"/>
        </w:rPr>
        <w:t xml:space="preserve">further </w:t>
      </w:r>
      <w:r>
        <w:rPr>
          <w:rFonts w:hint="default" w:ascii="Times New Roman" w:hAnsi="Times New Roman" w:eastAsia="宋体" w:cs="Times New Roman"/>
          <w:b w:val="0"/>
          <w:bCs w:val="0"/>
          <w:kern w:val="0"/>
          <w:sz w:val="21"/>
          <w:szCs w:val="21"/>
          <w:lang w:val="en-GB" w:eastAsia="ja-JP"/>
        </w:rPr>
        <w:t xml:space="preserve">discussion </w:t>
      </w:r>
      <w:r>
        <w:rPr>
          <w:rFonts w:hint="eastAsia" w:ascii="Times New Roman" w:hAnsi="Times New Roman" w:eastAsia="宋体" w:cs="Times New Roman"/>
          <w:b w:val="0"/>
          <w:bCs w:val="0"/>
          <w:kern w:val="0"/>
          <w:sz w:val="21"/>
          <w:szCs w:val="21"/>
          <w:lang w:val="en-US" w:eastAsia="zh-CN"/>
        </w:rPr>
        <w:t xml:space="preserve">on RRM requirements for Rel-19 NR NTN phase3 took place </w:t>
      </w:r>
      <w:r>
        <w:rPr>
          <w:rFonts w:hint="default" w:ascii="Times New Roman" w:hAnsi="Times New Roman" w:eastAsia="宋体" w:cs="Times New Roman"/>
          <w:b w:val="0"/>
          <w:bCs w:val="0"/>
          <w:kern w:val="0"/>
          <w:sz w:val="21"/>
          <w:szCs w:val="21"/>
          <w:lang w:val="en-GB" w:eastAsia="ja-JP"/>
        </w:rPr>
        <w:t>and a WF was approved as detailed in [1].</w:t>
      </w:r>
      <w:r>
        <w:rPr>
          <w:rFonts w:hint="default"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GB" w:eastAsia="ja-JP"/>
        </w:rPr>
        <w:t xml:space="preserve">In this contribution, we would like to provide </w:t>
      </w:r>
      <w:r>
        <w:rPr>
          <w:rFonts w:hint="eastAsia" w:ascii="Times New Roman" w:hAnsi="Times New Roman" w:eastAsia="宋体" w:cs="Times New Roman"/>
          <w:b w:val="0"/>
          <w:bCs w:val="0"/>
          <w:kern w:val="0"/>
          <w:sz w:val="21"/>
          <w:szCs w:val="21"/>
          <w:lang w:val="en-US" w:eastAsia="zh-CN"/>
        </w:rPr>
        <w:t>our further</w:t>
      </w:r>
      <w:r>
        <w:rPr>
          <w:rFonts w:hint="default" w:ascii="Times New Roman" w:hAnsi="Times New Roman" w:eastAsia="宋体" w:cs="Times New Roman"/>
          <w:b w:val="0"/>
          <w:bCs w:val="0"/>
          <w:kern w:val="0"/>
          <w:sz w:val="21"/>
          <w:szCs w:val="21"/>
          <w:lang w:val="en-GB" w:eastAsia="ja-JP"/>
        </w:rPr>
        <w:t xml:space="preserve"> discussion on (e)RedCap RRM requirements in NTN for NR Phase 3 and provide our proposals.</w:t>
      </w:r>
    </w:p>
    <w:bookmarkEnd w:id="4"/>
    <w:p w14:paraId="02FBB164">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0C1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9E82587">
            <w:pPr>
              <w:keepNext/>
              <w:keepLines/>
              <w:pageBreakBefore w:val="0"/>
              <w:widowControl w:val="0"/>
              <w:kinsoku/>
              <w:wordWrap/>
              <w:overflowPunct/>
              <w:topLinePunct w:val="0"/>
              <w:autoSpaceDE/>
              <w:autoSpaceDN/>
              <w:bidi w:val="0"/>
              <w:adjustRightInd/>
              <w:snapToGrid/>
              <w:spacing w:after="0" w:line="377" w:lineRule="auto"/>
              <w:jc w:val="both"/>
              <w:textAlignment w:val="auto"/>
              <w:outlineLvl w:val="7"/>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ascii="Times New Roman" w:hAnsi="Times New Roman" w:eastAsia="宋体" w:cs="Times New Roman"/>
                <w:b/>
                <w:bCs/>
                <w:sz w:val="20"/>
                <w:szCs w:val="28"/>
                <w:u w:val="single"/>
                <w:lang w:val="en-US" w:eastAsia="zh-CN" w:bidi="ar-SA"/>
              </w:rPr>
              <w:t>1</w:t>
            </w:r>
            <w:r>
              <w:rPr>
                <w:rFonts w:ascii="Times New Roman" w:hAnsi="Times New Roman" w:eastAsia="宋体" w:cs="Times New Roman"/>
                <w:b/>
                <w:bCs/>
                <w:sz w:val="20"/>
                <w:szCs w:val="28"/>
                <w:u w:val="single"/>
                <w:lang w:val="en-US" w:eastAsia="ko-KR" w:bidi="ar-SA"/>
              </w:rPr>
              <w:t>-</w:t>
            </w:r>
            <w:r>
              <w:rPr>
                <w:rFonts w:ascii="Times New Roman" w:hAnsi="Times New Roman" w:eastAsia="宋体" w:cs="Times New Roman"/>
                <w:b/>
                <w:bCs/>
                <w:sz w:val="20"/>
                <w:szCs w:val="28"/>
                <w:u w:val="single"/>
                <w:lang w:val="en-US" w:eastAsia="zh-CN" w:bidi="ar-SA"/>
              </w:rPr>
              <w:t>2</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3-1</w:t>
            </w:r>
            <w:r>
              <w:rPr>
                <w:rFonts w:ascii="Times New Roman" w:hAnsi="Times New Roman" w:eastAsia="宋体" w:cs="Times New Roman"/>
                <w:b/>
                <w:bCs/>
                <w:sz w:val="20"/>
                <w:szCs w:val="28"/>
                <w:u w:val="single"/>
                <w:lang w:val="en-US" w:eastAsia="ko-KR" w:bidi="ar-SA"/>
              </w:rPr>
              <w:t>: Feature 25-1</w:t>
            </w:r>
            <w:r>
              <w:rPr>
                <w:rFonts w:hint="eastAsia" w:ascii="Times New Roman" w:hAnsi="Times New Roman" w:eastAsia="宋体" w:cs="Times New Roman"/>
                <w:b/>
                <w:bCs/>
                <w:sz w:val="20"/>
                <w:szCs w:val="28"/>
                <w:u w:val="single"/>
                <w:lang w:val="en-US" w:eastAsia="zh-CN" w:bidi="ar-SA"/>
              </w:rPr>
              <w:t>(</w:t>
            </w:r>
            <w:r>
              <w:rPr>
                <w:rFonts w:ascii="Times New Roman" w:hAnsi="Times New Roman" w:eastAsia="宋体" w:cs="Times New Roman"/>
                <w:b/>
                <w:bCs/>
                <w:i/>
                <w:sz w:val="20"/>
                <w:szCs w:val="28"/>
                <w:u w:val="single"/>
                <w:lang w:val="en-US" w:eastAsia="ko-KR" w:bidi="ar-SA"/>
              </w:rPr>
              <w:t>parallelS</w:t>
            </w:r>
            <w:r>
              <w:rPr>
                <w:rFonts w:hint="eastAsia" w:ascii="Times New Roman" w:hAnsi="Times New Roman" w:eastAsia="宋体" w:cs="Times New Roman"/>
                <w:b/>
                <w:bCs/>
                <w:i/>
                <w:sz w:val="20"/>
                <w:szCs w:val="28"/>
                <w:u w:val="single"/>
                <w:lang w:val="en-US" w:eastAsia="zh-CN" w:bidi="ar-SA"/>
              </w:rPr>
              <w:t>MTC</w:t>
            </w:r>
            <w:r>
              <w:rPr>
                <w:rFonts w:hint="eastAsia" w:ascii="Times New Roman" w:hAnsi="Times New Roman" w:eastAsia="宋体" w:cs="Times New Roman"/>
                <w:b/>
                <w:bCs/>
                <w:sz w:val="20"/>
                <w:szCs w:val="28"/>
                <w:u w:val="single"/>
                <w:lang w:val="en-US" w:eastAsia="zh-CN" w:bidi="ar-SA"/>
              </w:rPr>
              <w:t>)</w:t>
            </w:r>
          </w:p>
          <w:p w14:paraId="0C1B3437">
            <w:pPr>
              <w:widowControl/>
              <w:spacing w:after="180"/>
              <w:jc w:val="left"/>
              <w:rPr>
                <w:rFonts w:ascii="Times New Roman" w:hAnsi="Times New Roman" w:eastAsia="宋体" w:cs="Times New Roman"/>
                <w:i/>
                <w:color w:val="0070C0"/>
                <w:kern w:val="0"/>
                <w:sz w:val="20"/>
                <w:szCs w:val="20"/>
                <w:lang w:eastAsia="zh-CN"/>
              </w:rPr>
            </w:pPr>
            <w:r>
              <w:rPr>
                <w:rFonts w:ascii="Times New Roman" w:hAnsi="Times New Roman" w:eastAsia="宋体" w:cs="Times New Roman"/>
                <w:i/>
                <w:color w:val="0070C0"/>
                <w:kern w:val="0"/>
                <w:sz w:val="20"/>
                <w:szCs w:val="20"/>
                <w:lang w:eastAsia="zh-CN"/>
              </w:rPr>
              <w:t>O</w:t>
            </w:r>
            <w:r>
              <w:rPr>
                <w:rFonts w:hint="eastAsia" w:ascii="Times New Roman" w:hAnsi="Times New Roman" w:eastAsia="宋体" w:cs="Times New Roman"/>
                <w:i/>
                <w:color w:val="0070C0"/>
                <w:kern w:val="0"/>
                <w:sz w:val="20"/>
                <w:szCs w:val="20"/>
                <w:lang w:eastAsia="zh-CN"/>
              </w:rPr>
              <w:t>nline discussion</w:t>
            </w:r>
          </w:p>
          <w:p w14:paraId="14792EDF">
            <w:pPr>
              <w:widowControl/>
              <w:spacing w:after="180"/>
              <w:jc w:val="left"/>
              <w:rPr>
                <w:rFonts w:ascii="Times New Roman" w:hAnsi="Times New Roman" w:eastAsia="宋体" w:cs="Times New Roman"/>
                <w:b/>
                <w:kern w:val="0"/>
                <w:sz w:val="20"/>
                <w:szCs w:val="20"/>
                <w:lang w:eastAsia="zh-CN"/>
              </w:rPr>
            </w:pPr>
            <w:r>
              <w:rPr>
                <w:rFonts w:ascii="Times New Roman" w:hAnsi="Times New Roman" w:eastAsia="宋体" w:cs="Times New Roman"/>
                <w:b/>
                <w:kern w:val="0"/>
                <w:sz w:val="20"/>
                <w:szCs w:val="20"/>
                <w:lang w:eastAsia="en-US"/>
              </w:rPr>
              <w:t>&lt;Way Forward&gt;</w:t>
            </w:r>
            <w:r>
              <w:rPr>
                <w:rFonts w:hint="eastAsia" w:ascii="Times New Roman" w:hAnsi="Times New Roman" w:eastAsia="宋体" w:cs="Times New Roman"/>
                <w:b/>
                <w:kern w:val="0"/>
                <w:sz w:val="20"/>
                <w:szCs w:val="20"/>
                <w:lang w:eastAsia="zh-CN"/>
              </w:rPr>
              <w:t>:</w:t>
            </w:r>
          </w:p>
          <w:p w14:paraId="36685772">
            <w:pPr>
              <w:widowControl/>
              <w:snapToGrid w:val="0"/>
              <w:spacing w:after="120"/>
              <w:jc w:val="left"/>
              <w:rPr>
                <w:rFonts w:ascii="Times New Roman" w:hAnsi="Times New Roman" w:eastAsia="宋体" w:cs="Times New Roman"/>
                <w:kern w:val="0"/>
                <w:sz w:val="20"/>
                <w:szCs w:val="20"/>
                <w:lang w:eastAsia="zh-CN"/>
              </w:rPr>
            </w:pPr>
            <w:r>
              <w:rPr>
                <w:rFonts w:hint="eastAsia" w:ascii="Times New Roman" w:hAnsi="Times New Roman" w:eastAsia="宋体" w:cs="Times New Roman"/>
                <w:kern w:val="0"/>
                <w:sz w:val="20"/>
                <w:szCs w:val="20"/>
                <w:lang w:eastAsia="zh-CN"/>
              </w:rPr>
              <w:t>O</w:t>
            </w:r>
            <w:r>
              <w:rPr>
                <w:rFonts w:ascii="Times New Roman" w:hAnsi="Times New Roman" w:eastAsia="宋体" w:cs="Times New Roman"/>
                <w:kern w:val="0"/>
                <w:sz w:val="20"/>
                <w:szCs w:val="20"/>
                <w:lang w:eastAsia="zh-CN"/>
              </w:rPr>
              <w:t>ptions for further discussion:</w:t>
            </w:r>
          </w:p>
          <w:p w14:paraId="0094C6D7">
            <w:pPr>
              <w:widowControl/>
              <w:snapToGrid w:val="0"/>
              <w:spacing w:after="120"/>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 xml:space="preserve">If not differentiate 1Rx and 2Rx </w:t>
            </w:r>
            <w:r>
              <w:rPr>
                <w:rFonts w:hint="eastAsia" w:ascii="Times New Roman" w:hAnsi="Times New Roman" w:eastAsia="宋体" w:cs="Times New Roman"/>
                <w:kern w:val="0"/>
                <w:sz w:val="20"/>
                <w:szCs w:val="20"/>
                <w:lang w:eastAsia="zh-CN"/>
              </w:rPr>
              <w:t xml:space="preserve">RedCap </w:t>
            </w:r>
            <w:r>
              <w:rPr>
                <w:rFonts w:ascii="Times New Roman" w:hAnsi="Times New Roman" w:eastAsia="宋体" w:cs="Times New Roman"/>
                <w:kern w:val="0"/>
                <w:sz w:val="20"/>
                <w:szCs w:val="20"/>
                <w:lang w:eastAsia="zh-CN"/>
              </w:rPr>
              <w:t xml:space="preserve">UEs, the </w:t>
            </w:r>
            <w:r>
              <w:rPr>
                <w:rFonts w:ascii="Times New Roman" w:hAnsi="Times New Roman" w:eastAsia="宋体" w:cs="Times New Roman"/>
                <w:b/>
                <w:kern w:val="0"/>
                <w:sz w:val="20"/>
                <w:szCs w:val="20"/>
                <w:lang w:eastAsia="zh-CN"/>
              </w:rPr>
              <w:t>baseline</w:t>
            </w:r>
            <w:r>
              <w:rPr>
                <w:rFonts w:ascii="Times New Roman" w:hAnsi="Times New Roman" w:eastAsia="宋体" w:cs="Times New Roman"/>
                <w:kern w:val="0"/>
                <w:sz w:val="20"/>
                <w:szCs w:val="20"/>
                <w:lang w:eastAsia="zh-CN"/>
              </w:rPr>
              <w:t xml:space="preserve"> for UE capability is:</w:t>
            </w:r>
          </w:p>
          <w:p w14:paraId="5F5DBDD5">
            <w:pPr>
              <w:widowControl w:val="0"/>
              <w:numPr>
                <w:ilvl w:val="0"/>
                <w:numId w:val="4"/>
              </w:numPr>
              <w:spacing w:after="120"/>
              <w:ind w:left="72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Option 1: [1 SMTC or] 2 SMTCs not in parallel</w:t>
            </w:r>
          </w:p>
          <w:p w14:paraId="41ACF0E8">
            <w:pPr>
              <w:widowControl w:val="0"/>
              <w:numPr>
                <w:ilvl w:val="0"/>
                <w:numId w:val="4"/>
              </w:numPr>
              <w:spacing w:after="120"/>
              <w:ind w:left="72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Option 2: 2 parallel SMTCs</w:t>
            </w:r>
          </w:p>
          <w:p w14:paraId="09C2F405">
            <w:pPr>
              <w:widowControl w:val="0"/>
              <w:numPr>
                <w:ilvl w:val="1"/>
                <w:numId w:val="4"/>
              </w:numPr>
              <w:spacing w:before="120" w:after="120"/>
              <w:ind w:left="1656" w:hanging="360"/>
              <w:jc w:val="both"/>
              <w:rPr>
                <w:rFonts w:hint="default" w:ascii="Times New Roman" w:hAnsi="Times New Roman" w:eastAsia="宋体" w:cs="Times New Roman"/>
                <w:kern w:val="0"/>
                <w:sz w:val="20"/>
                <w:szCs w:val="20"/>
                <w:lang w:val="en-US" w:eastAsia="zh-CN"/>
              </w:rPr>
            </w:pPr>
            <w:r>
              <w:rPr>
                <w:rFonts w:ascii="Times New Roman" w:hAnsi="Times New Roman" w:eastAsia="宋体" w:cs="Times New Roman"/>
                <w:szCs w:val="20"/>
                <w:lang w:val="en-US" w:eastAsia="en-US" w:bidi="ar-SA"/>
              </w:rPr>
              <w:t>‘Parallel’ means the SMTCs are TDM with proximity distance.</w:t>
            </w:r>
          </w:p>
          <w:p w14:paraId="781D869A">
            <w:pPr>
              <w:keepNext/>
              <w:keepLines/>
              <w:widowControl w:val="0"/>
              <w:spacing w:before="280" w:after="0" w:line="376" w:lineRule="auto"/>
              <w:jc w:val="both"/>
              <w:outlineLvl w:val="7"/>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ascii="Times New Roman" w:hAnsi="Times New Roman" w:eastAsia="宋体" w:cs="Times New Roman"/>
                <w:b/>
                <w:bCs/>
                <w:sz w:val="20"/>
                <w:szCs w:val="28"/>
                <w:u w:val="single"/>
                <w:lang w:val="en-US" w:eastAsia="zh-CN" w:bidi="ar-SA"/>
              </w:rPr>
              <w:t>1</w:t>
            </w:r>
            <w:r>
              <w:rPr>
                <w:rFonts w:ascii="Times New Roman" w:hAnsi="Times New Roman" w:eastAsia="宋体" w:cs="Times New Roman"/>
                <w:b/>
                <w:bCs/>
                <w:sz w:val="20"/>
                <w:szCs w:val="28"/>
                <w:u w:val="single"/>
                <w:lang w:val="en-US" w:eastAsia="ko-KR" w:bidi="ar-SA"/>
              </w:rPr>
              <w:t>-</w:t>
            </w:r>
            <w:r>
              <w:rPr>
                <w:rFonts w:ascii="Times New Roman" w:hAnsi="Times New Roman" w:eastAsia="宋体" w:cs="Times New Roman"/>
                <w:b/>
                <w:bCs/>
                <w:sz w:val="20"/>
                <w:szCs w:val="28"/>
                <w:u w:val="single"/>
                <w:lang w:val="en-US" w:eastAsia="zh-CN" w:bidi="ar-SA"/>
              </w:rPr>
              <w:t>2</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3-1a</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zh-CN" w:bidi="ar-SA"/>
              </w:rPr>
              <w:t>T</w:t>
            </w:r>
            <w:r>
              <w:rPr>
                <w:rFonts w:ascii="Times New Roman" w:hAnsi="Times New Roman" w:eastAsia="宋体" w:cs="Times New Roman"/>
                <w:b/>
                <w:bCs/>
                <w:sz w:val="20"/>
                <w:szCs w:val="28"/>
                <w:u w:val="single"/>
                <w:lang w:val="en-US" w:eastAsia="ko-KR" w:bidi="ar-SA"/>
              </w:rPr>
              <w:t>he proximity distance between two SMTCs</w:t>
            </w:r>
          </w:p>
          <w:p w14:paraId="72E2A66C">
            <w:pPr>
              <w:widowControl/>
              <w:spacing w:after="180"/>
              <w:jc w:val="left"/>
              <w:rPr>
                <w:rFonts w:ascii="Times New Roman" w:hAnsi="Times New Roman" w:eastAsia="宋体" w:cs="Times New Roman"/>
                <w:i/>
                <w:color w:val="0070C0"/>
                <w:kern w:val="0"/>
                <w:sz w:val="20"/>
                <w:szCs w:val="20"/>
                <w:lang w:eastAsia="zh-CN"/>
              </w:rPr>
            </w:pPr>
            <w:r>
              <w:rPr>
                <w:rFonts w:ascii="Times New Roman" w:hAnsi="Times New Roman" w:eastAsia="宋体" w:cs="Times New Roman"/>
                <w:i/>
                <w:color w:val="0070C0"/>
                <w:kern w:val="0"/>
                <w:sz w:val="20"/>
                <w:szCs w:val="20"/>
                <w:lang w:eastAsia="zh-CN"/>
              </w:rPr>
              <w:t>A</w:t>
            </w:r>
            <w:r>
              <w:rPr>
                <w:rFonts w:hint="eastAsia" w:ascii="Times New Roman" w:hAnsi="Times New Roman" w:eastAsia="宋体" w:cs="Times New Roman"/>
                <w:i/>
                <w:color w:val="0070C0"/>
                <w:kern w:val="0"/>
                <w:sz w:val="20"/>
                <w:szCs w:val="20"/>
                <w:lang w:eastAsia="zh-CN"/>
              </w:rPr>
              <w:t>d-hoc agreement</w:t>
            </w:r>
          </w:p>
          <w:p w14:paraId="0DC77155">
            <w:pPr>
              <w:widowControl/>
              <w:snapToGrid w:val="0"/>
              <w:spacing w:after="120"/>
              <w:jc w:val="left"/>
              <w:rPr>
                <w:rFonts w:ascii="Times New Roman" w:hAnsi="Times New Roman" w:eastAsia="宋体" w:cs="Times New Roman"/>
                <w:kern w:val="0"/>
                <w:sz w:val="20"/>
                <w:szCs w:val="21"/>
                <w:highlight w:val="green"/>
                <w:lang w:eastAsia="zh-CN"/>
              </w:rPr>
            </w:pPr>
            <w:r>
              <w:rPr>
                <w:rFonts w:ascii="Times New Roman" w:hAnsi="Times New Roman" w:eastAsia="宋体" w:cs="Times New Roman"/>
                <w:kern w:val="0"/>
                <w:sz w:val="20"/>
                <w:szCs w:val="21"/>
                <w:highlight w:val="green"/>
                <w:lang w:eastAsia="zh-CN"/>
              </w:rPr>
              <w:t>Agreement:</w:t>
            </w:r>
          </w:p>
          <w:p w14:paraId="335DBEAC">
            <w:pPr>
              <w:widowControl w:val="0"/>
              <w:numPr>
                <w:ilvl w:val="0"/>
                <w:numId w:val="4"/>
              </w:numPr>
              <w:spacing w:after="120"/>
              <w:ind w:left="72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RAN4 to define the proximity distance between two SMTCs for (e)RedCap UEs in NTN.</w:t>
            </w:r>
          </w:p>
          <w:p w14:paraId="3E031CC6">
            <w:pPr>
              <w:widowControl w:val="0"/>
              <w:numPr>
                <w:ilvl w:val="0"/>
                <w:numId w:val="4"/>
              </w:numPr>
              <w:spacing w:after="120"/>
              <w:ind w:left="72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The distance between two SMTC occasions is defined as the time difference between the ending point of the earlier SMTC occasion and the starting point of the later SMTC occasion.</w:t>
            </w:r>
          </w:p>
          <w:p w14:paraId="2BA72FBA">
            <w:pPr>
              <w:widowControl w:val="0"/>
              <w:numPr>
                <w:ilvl w:val="0"/>
                <w:numId w:val="4"/>
              </w:numPr>
              <w:spacing w:after="120"/>
              <w:ind w:left="720"/>
              <w:jc w:val="both"/>
              <w:rPr>
                <w:rFonts w:ascii="Times New Roman" w:hAnsi="Times New Roman" w:eastAsia="宋体" w:cs="Times New Roman"/>
                <w:szCs w:val="20"/>
                <w:lang w:val="en-US" w:eastAsia="en-US" w:bidi="ar-SA"/>
              </w:rPr>
            </w:pPr>
            <w:r>
              <w:rPr>
                <w:rFonts w:hint="eastAsia" w:ascii="Times New Roman" w:hAnsi="Times New Roman" w:eastAsia="宋体" w:cs="Times New Roman"/>
                <w:szCs w:val="20"/>
                <w:lang w:val="en-US" w:eastAsia="en-US" w:bidi="ar-SA"/>
              </w:rPr>
              <w:t xml:space="preserve">For whether to consider </w:t>
            </w:r>
            <w:r>
              <w:rPr>
                <w:rFonts w:ascii="Times New Roman" w:hAnsi="Times New Roman" w:eastAsia="宋体" w:cs="Times New Roman"/>
                <w:szCs w:val="20"/>
                <w:lang w:val="en-US" w:eastAsia="en-US" w:bidi="ar-SA"/>
              </w:rPr>
              <w:t>relaxation for proximity when (e)RedCap UE is configured with more than one SMTC on a SAN carrier,</w:t>
            </w:r>
          </w:p>
          <w:p w14:paraId="36C7C26C">
            <w:pPr>
              <w:widowControl w:val="0"/>
              <w:numPr>
                <w:ilvl w:val="1"/>
                <w:numId w:val="4"/>
              </w:numPr>
              <w:spacing w:before="120" w:after="120"/>
              <w:ind w:left="1656" w:hanging="360"/>
              <w:jc w:val="both"/>
              <w:rPr>
                <w:rFonts w:ascii="Times New Roman" w:hAnsi="Times New Roman" w:eastAsia="宋体" w:cs="Times New Roman"/>
                <w:szCs w:val="20"/>
                <w:lang w:val="en-US" w:eastAsia="en-US" w:bidi="ar-SA"/>
              </w:rPr>
            </w:pPr>
            <w:r>
              <w:rPr>
                <w:rFonts w:hint="eastAsia" w:ascii="Times New Roman" w:hAnsi="Times New Roman" w:eastAsia="宋体" w:cs="Times New Roman"/>
                <w:szCs w:val="20"/>
                <w:lang w:val="en-US" w:eastAsia="en-US" w:bidi="ar-SA"/>
              </w:rPr>
              <w:t>Option</w:t>
            </w:r>
            <w:r>
              <w:rPr>
                <w:rFonts w:hint="eastAsia" w:ascii="Times New Roman" w:hAnsi="Times New Roman" w:eastAsia="宋体" w:cs="Times New Roman"/>
                <w:szCs w:val="20"/>
                <w:lang w:val="en-US" w:eastAsia="zh-CN" w:bidi="ar-SA"/>
              </w:rPr>
              <w:t xml:space="preserve"> </w:t>
            </w:r>
            <w:r>
              <w:rPr>
                <w:rFonts w:hint="eastAsia" w:ascii="Times New Roman" w:hAnsi="Times New Roman" w:eastAsia="宋体" w:cs="Times New Roman"/>
                <w:szCs w:val="20"/>
                <w:lang w:val="en-US" w:eastAsia="en-US" w:bidi="ar-SA"/>
              </w:rPr>
              <w:t>1: No</w:t>
            </w:r>
            <w:r>
              <w:rPr>
                <w:rFonts w:hint="eastAsia" w:ascii="Times New Roman" w:hAnsi="Times New Roman" w:eastAsia="宋体" w:cs="Times New Roman"/>
                <w:szCs w:val="20"/>
                <w:lang w:val="en-US" w:eastAsia="zh-CN" w:bidi="ar-SA"/>
              </w:rPr>
              <w:t>.</w:t>
            </w:r>
            <w:r>
              <w:rPr>
                <w:rFonts w:hint="eastAsia" w:ascii="Times New Roman" w:hAnsi="Times New Roman" w:eastAsia="宋体" w:cs="Times New Roman"/>
                <w:szCs w:val="20"/>
                <w:lang w:val="en-US" w:eastAsia="en-US" w:bidi="ar-SA"/>
              </w:rPr>
              <w:t xml:space="preserve"> RAN4 to reuse the legacy </w:t>
            </w:r>
            <w:r>
              <w:rPr>
                <w:rFonts w:ascii="Times New Roman" w:hAnsi="Times New Roman" w:eastAsia="宋体" w:cs="Times New Roman"/>
                <w:szCs w:val="20"/>
                <w:lang w:val="en-US" w:eastAsia="en-US" w:bidi="ar-SA"/>
              </w:rPr>
              <w:t>collision condition</w:t>
            </w:r>
            <w:r>
              <w:rPr>
                <w:rFonts w:hint="eastAsia" w:ascii="Times New Roman" w:hAnsi="Times New Roman" w:eastAsia="宋体" w:cs="Times New Roman"/>
                <w:szCs w:val="20"/>
                <w:lang w:val="en-US" w:eastAsia="en-US" w:bidi="ar-SA"/>
              </w:rPr>
              <w:t>.</w:t>
            </w:r>
          </w:p>
          <w:p w14:paraId="6D3B2AAF">
            <w:pPr>
              <w:widowControl w:val="0"/>
              <w:numPr>
                <w:ilvl w:val="1"/>
                <w:numId w:val="4"/>
              </w:numPr>
              <w:spacing w:before="120" w:after="120"/>
              <w:ind w:left="1656" w:hanging="360"/>
              <w:jc w:val="both"/>
              <w:rPr>
                <w:rFonts w:ascii="Times New Roman" w:hAnsi="Times New Roman" w:eastAsia="宋体" w:cs="Times New Roman"/>
                <w:szCs w:val="20"/>
                <w:lang w:val="en-US" w:eastAsia="en-US" w:bidi="ar-SA"/>
              </w:rPr>
            </w:pPr>
            <w:r>
              <w:rPr>
                <w:rFonts w:hint="eastAsia" w:ascii="Times New Roman" w:hAnsi="Times New Roman" w:eastAsia="宋体" w:cs="Times New Roman"/>
                <w:szCs w:val="20"/>
                <w:lang w:val="en-US" w:eastAsia="en-US" w:bidi="ar-SA"/>
              </w:rPr>
              <w:t xml:space="preserve">Option 2: Yes. RAN4 </w:t>
            </w:r>
            <w:r>
              <w:rPr>
                <w:rFonts w:ascii="Times New Roman" w:hAnsi="Times New Roman" w:eastAsia="宋体" w:cs="Times New Roman"/>
                <w:szCs w:val="20"/>
                <w:lang w:val="en-US" w:eastAsia="en-US" w:bidi="ar-SA"/>
              </w:rPr>
              <w:t>to consider relaxation for proximity</w:t>
            </w:r>
            <w:r>
              <w:rPr>
                <w:rFonts w:hint="eastAsia" w:ascii="Times New Roman" w:hAnsi="Times New Roman" w:eastAsia="宋体" w:cs="Times New Roman"/>
                <w:szCs w:val="20"/>
                <w:lang w:val="en-US" w:eastAsia="en-US" w:bidi="ar-SA"/>
              </w:rPr>
              <w:t>,</w:t>
            </w:r>
            <w:r>
              <w:rPr>
                <w:rFonts w:ascii="Times New Roman" w:hAnsi="Times New Roman" w:eastAsia="宋体" w:cs="Times New Roman"/>
                <w:szCs w:val="20"/>
                <w:lang w:val="en-US" w:eastAsia="en-US" w:bidi="ar-SA"/>
              </w:rPr>
              <w:t xml:space="preserve"> i.e.,</w:t>
            </w:r>
          </w:p>
          <w:p w14:paraId="39776E87">
            <w:pPr>
              <w:widowControl w:val="0"/>
              <w:numPr>
                <w:ilvl w:val="0"/>
                <w:numId w:val="5"/>
              </w:numPr>
              <w:overflowPunct w:val="0"/>
              <w:autoSpaceDE w:val="0"/>
              <w:autoSpaceDN w:val="0"/>
              <w:adjustRightInd w:val="0"/>
              <w:spacing w:after="0"/>
              <w:ind w:left="2142" w:leftChars="0" w:hanging="284" w:firstLineChars="0"/>
              <w:jc w:val="both"/>
              <w:textAlignment w:val="baseline"/>
              <w:rPr>
                <w:rFonts w:ascii="Times New Roman" w:hAnsi="Times New Roman" w:eastAsia="宋体" w:cs="Times New Roman"/>
                <w:bCs/>
                <w:sz w:val="20"/>
                <w:szCs w:val="20"/>
                <w:lang w:val="en-GB" w:eastAsia="ja-JP" w:bidi="ar-SA"/>
              </w:rPr>
            </w:pPr>
            <w:r>
              <w:rPr>
                <w:rFonts w:ascii="Times New Roman" w:hAnsi="Times New Roman" w:eastAsia="宋体" w:cs="Times New Roman"/>
                <w:bCs/>
                <w:sz w:val="20"/>
                <w:szCs w:val="20"/>
                <w:lang w:val="en-GB" w:eastAsia="ja-JP" w:bidi="ar-SA"/>
              </w:rPr>
              <w:t xml:space="preserve">When (e)RedCap UE is configured with more than one SMTC on a SAN carrier, two SMTC occasions outside measurement gap are considered </w:t>
            </w:r>
            <w:r>
              <w:rPr>
                <w:rFonts w:ascii="Times New Roman" w:hAnsi="Times New Roman" w:eastAsia="宋体" w:cs="Times New Roman"/>
                <w:b/>
                <w:bCs/>
                <w:sz w:val="20"/>
                <w:szCs w:val="20"/>
                <w:lang w:val="en-GB" w:eastAsia="ja-JP" w:bidi="ar-SA"/>
              </w:rPr>
              <w:t>colliding</w:t>
            </w:r>
            <w:r>
              <w:rPr>
                <w:rFonts w:ascii="Times New Roman" w:hAnsi="Times New Roman" w:eastAsia="宋体" w:cs="Times New Roman"/>
                <w:bCs/>
                <w:sz w:val="20"/>
                <w:szCs w:val="20"/>
                <w:lang w:val="en-GB" w:eastAsia="ja-JP" w:bidi="ar-SA"/>
              </w:rPr>
              <w:t> if at least one of the following conditions is met:</w:t>
            </w:r>
          </w:p>
          <w:p w14:paraId="27B7BE01">
            <w:pPr>
              <w:widowControl w:val="0"/>
              <w:numPr>
                <w:ilvl w:val="0"/>
                <w:numId w:val="6"/>
              </w:numPr>
              <w:overflowPunct w:val="0"/>
              <w:autoSpaceDE w:val="0"/>
              <w:autoSpaceDN w:val="0"/>
              <w:adjustRightInd w:val="0"/>
              <w:spacing w:after="0"/>
              <w:ind w:left="2562" w:leftChars="0" w:hanging="284" w:firstLineChars="0"/>
              <w:jc w:val="both"/>
              <w:textAlignment w:val="baseline"/>
              <w:rPr>
                <w:rFonts w:ascii="Times New Roman" w:hAnsi="Times New Roman" w:eastAsia="宋体" w:cs="Times New Roman"/>
                <w:bCs/>
                <w:sz w:val="20"/>
                <w:szCs w:val="20"/>
                <w:lang w:val="en-GB" w:eastAsia="ja-JP" w:bidi="ar-SA"/>
              </w:rPr>
            </w:pPr>
            <w:r>
              <w:rPr>
                <w:rFonts w:ascii="Times New Roman" w:hAnsi="Times New Roman" w:eastAsia="宋体" w:cs="Times New Roman"/>
                <w:bCs/>
                <w:sz w:val="20"/>
                <w:szCs w:val="20"/>
                <w:lang w:val="en-GB" w:eastAsia="ja-JP" w:bidi="ar-SA"/>
              </w:rPr>
              <w:t>the two SMTC occasions are fully or partially overlapping in time domain, or</w:t>
            </w:r>
          </w:p>
          <w:p w14:paraId="422259F4">
            <w:pPr>
              <w:widowControl w:val="0"/>
              <w:numPr>
                <w:ilvl w:val="0"/>
                <w:numId w:val="6"/>
              </w:numPr>
              <w:overflowPunct w:val="0"/>
              <w:autoSpaceDE w:val="0"/>
              <w:autoSpaceDN w:val="0"/>
              <w:adjustRightInd w:val="0"/>
              <w:spacing w:after="0"/>
              <w:ind w:left="2562" w:leftChars="0" w:hanging="284" w:firstLineChars="0"/>
              <w:jc w:val="both"/>
              <w:textAlignment w:val="baseline"/>
              <w:rPr>
                <w:rFonts w:hint="default" w:ascii="Times New Roman" w:hAnsi="Times New Roman" w:eastAsia="宋体" w:cs="Times New Roman"/>
                <w:b/>
                <w:bCs w:val="0"/>
                <w:kern w:val="0"/>
                <w:sz w:val="20"/>
                <w:szCs w:val="20"/>
                <w:vertAlign w:val="baseline"/>
                <w:lang w:val="en-US" w:eastAsia="zh-CN"/>
              </w:rPr>
            </w:pPr>
            <w:r>
              <w:rPr>
                <w:rFonts w:ascii="Times New Roman" w:hAnsi="Times New Roman" w:eastAsia="宋体" w:cs="Times New Roman"/>
                <w:bCs/>
                <w:sz w:val="20"/>
                <w:szCs w:val="20"/>
                <w:lang w:val="en-GB" w:eastAsia="ja-JP" w:bidi="ar-SA"/>
              </w:rPr>
              <w:t>the magnitude of the distance between two SMTC occasions in time domain is less than or equals to (4+x) ms. (x is the relaxation for (eRedCap UE)), x can be FFS. (1ms as starting point)</w:t>
            </w:r>
          </w:p>
        </w:tc>
      </w:tr>
    </w:tbl>
    <w:p w14:paraId="7B87898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w:t>
      </w:r>
      <w:r>
        <w:rPr>
          <w:rFonts w:hint="default" w:ascii="Times New Roman" w:hAnsi="Times New Roman" w:eastAsia="宋体" w:cs="Times New Roman"/>
          <w:b w:val="0"/>
          <w:bCs w:val="0"/>
          <w:kern w:val="0"/>
          <w:sz w:val="21"/>
          <w:szCs w:val="21"/>
          <w:lang w:val="en-US" w:eastAsia="zh-CN"/>
        </w:rPr>
        <w:t>n NTN Rel-17, a</w:t>
      </w:r>
      <w:r>
        <w:rPr>
          <w:rFonts w:hint="eastAsia" w:ascii="Times New Roman" w:hAnsi="Times New Roman" w:eastAsia="宋体" w:cs="Times New Roman"/>
          <w:b w:val="0"/>
          <w:bCs w:val="0"/>
          <w:kern w:val="0"/>
          <w:sz w:val="21"/>
          <w:szCs w:val="21"/>
          <w:lang w:val="en-US" w:eastAsia="zh-CN"/>
        </w:rPr>
        <w:t xml:space="preserve"> NTN</w:t>
      </w:r>
      <w:r>
        <w:rPr>
          <w:rFonts w:hint="default" w:ascii="Times New Roman" w:hAnsi="Times New Roman" w:eastAsia="宋体" w:cs="Times New Roman"/>
          <w:b w:val="0"/>
          <w:bCs w:val="0"/>
          <w:kern w:val="0"/>
          <w:sz w:val="21"/>
          <w:szCs w:val="21"/>
          <w:lang w:val="en-US" w:eastAsia="zh-CN"/>
        </w:rPr>
        <w:t xml:space="preserve"> UE shall at the least be capable of 2 SMTCs </w:t>
      </w:r>
      <w:r>
        <w:rPr>
          <w:rFonts w:hint="eastAsia" w:ascii="Times New Roman" w:hAnsi="Times New Roman" w:eastAsia="宋体" w:cs="Times New Roman"/>
          <w:b w:val="0"/>
          <w:bCs w:val="0"/>
          <w:kern w:val="0"/>
          <w:sz w:val="21"/>
          <w:szCs w:val="21"/>
          <w:lang w:val="en-US" w:eastAsia="zh-CN"/>
        </w:rPr>
        <w:t>, and up to 4 SMTCs based on UE capability, with</w:t>
      </w:r>
      <w:r>
        <w:rPr>
          <w:rFonts w:hint="default" w:ascii="Times New Roman" w:hAnsi="Times New Roman" w:eastAsia="宋体" w:cs="Times New Roman"/>
          <w:b w:val="0"/>
          <w:bCs w:val="0"/>
          <w:kern w:val="0"/>
          <w:sz w:val="21"/>
          <w:szCs w:val="21"/>
          <w:lang w:val="en-US" w:eastAsia="zh-CN"/>
        </w:rPr>
        <w:t xml:space="preserve"> same periodicity </w:t>
      </w:r>
      <w:r>
        <w:rPr>
          <w:rFonts w:hint="eastAsia" w:ascii="Times New Roman" w:hAnsi="Times New Roman" w:eastAsia="宋体" w:cs="Times New Roman"/>
          <w:b w:val="0"/>
          <w:bCs w:val="0"/>
          <w:kern w:val="0"/>
          <w:sz w:val="21"/>
          <w:szCs w:val="21"/>
          <w:lang w:val="en-US" w:eastAsia="zh-CN"/>
        </w:rPr>
        <w:t xml:space="preserve">but </w:t>
      </w:r>
      <w:r>
        <w:rPr>
          <w:rFonts w:hint="default" w:ascii="Times New Roman" w:hAnsi="Times New Roman" w:eastAsia="宋体" w:cs="Times New Roman"/>
          <w:b w:val="0"/>
          <w:bCs w:val="0"/>
          <w:kern w:val="0"/>
          <w:sz w:val="21"/>
          <w:szCs w:val="21"/>
          <w:lang w:val="en-US" w:eastAsia="zh-CN"/>
        </w:rPr>
        <w:t>different offsets</w:t>
      </w:r>
      <w:r>
        <w:rPr>
          <w:rFonts w:hint="eastAsia"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US" w:eastAsia="zh-CN"/>
        </w:rPr>
        <w:t>to measure neighbour satellites and the serving satellites</w:t>
      </w:r>
      <w:r>
        <w:rPr>
          <w:rFonts w:hint="eastAsia" w:ascii="Times New Roman" w:hAnsi="Times New Roman" w:eastAsia="宋体" w:cs="Times New Roman"/>
          <w:b w:val="0"/>
          <w:bCs w:val="0"/>
          <w:kern w:val="0"/>
          <w:sz w:val="21"/>
          <w:szCs w:val="21"/>
          <w:lang w:val="en-US" w:eastAsia="zh-CN"/>
        </w:rPr>
        <w:t xml:space="preserve">. Considering the reduced complexity of (e)RedCap, the UE capability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relaxation</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is under discussion. RAN4 has agreed in last meeting that to define the proximity distance between two SMTCs for (e)RedCap UEs in NTN, while the baseline for UE capability, which means the mandatory capability, is still under discussion. In our understanding, the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2 SMTCs not in parallel</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in option1 and the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2 parallel SMTCs (with proximity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in option 2 are quite the same. Considering the characteristic of NTN communication, we think the different SMTCs case is a common case. Measurement with one SMTC would somehow impact UE performance. Based on this idea, we prefer Option2 as the baseline for UE capability. The issue of proximity distance relaxation was raised in last meeting. From our point of view, we prefer RAN4 to reuse the legacy collision condition.</w:t>
      </w:r>
    </w:p>
    <w:p w14:paraId="059CFA1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1</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For (e)RedCap UE with FR1-NTN, the baseline for UE capability is 2 parallel SMTCs, where the </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parallel</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 xml:space="preserve"> means the SMTCs are TDM with proximity distance.</w:t>
      </w:r>
    </w:p>
    <w:p w14:paraId="536993F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2</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reuse the legacy collision condition, i.e. no further relaxation on the proximity distance.</w:t>
      </w:r>
    </w:p>
    <w:p w14:paraId="115ABEB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Furthermore, considering the supported number of SMTCs, the number of cells and SSB and the number of supported satellites, we think the number for normal NTN UE could be reused for NTN RedCap. As in TN development, RedCap UE reused the the number of cells and number of SSB defined for normal UE.</w:t>
      </w:r>
    </w:p>
    <w:p w14:paraId="1BF0EDF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3</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The supported number of SMTCs, the number of cells and SSB and the number of supported satellites defined for NTN normal UE can be reused for NTN RedCap.</w:t>
      </w:r>
    </w:p>
    <w:p w14:paraId="7955106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Based on Rel-17 and Rel-18 progress, the main characteristic for RedCap UE is the reduced UE complexity. RedCap UE supports 1 or 2 UE Rx branches and HD-FDD or FD-FDD operation. Based on last meeting progress, it was agreed to follow the same principle for (e)RedCap UE in TN network for (e)RedCap UEs with FR1-NTN. </w:t>
      </w:r>
    </w:p>
    <w:p w14:paraId="313F18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Besides some additional clarification on available samples for HD-FDD operation, the same RRM requirements as for normal NR UE are reused for Rel-17 RedCap with 2Rx, while the relaxed measurement requirements are defined for Rel-17 RedCap with 1Rx. The relaxation method including extending the number of measurement samples and relaxing the measurement accuracy. From our perspective, when defining RRM requirements for (e)RedCap UEs with FR1-NTN, similar principle as in TN network could be taken. RAN4 has also agreed to reuse the existing requirements for NTN as a baseline for 2Rx (e)RedCap UEs with FR1-NTN. </w:t>
      </w:r>
    </w:p>
    <w:p w14:paraId="2637825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For requirements of enhanced cell re-selection measurement, we think the </w:t>
      </w:r>
      <w:r>
        <w:rPr>
          <w:rFonts w:ascii="Times New Roman" w:hAnsi="Times New Roman" w:eastAsia="宋体" w:cs="Times New Roman"/>
          <w:bCs/>
          <w:lang w:val="en-US" w:eastAsia="en-US" w:bidi="ar-SA"/>
        </w:rPr>
        <w:t>enhanced cell re-selection</w:t>
      </w:r>
      <w:r>
        <w:rPr>
          <w:rFonts w:hint="eastAsia" w:ascii="Times New Roman" w:hAnsi="Times New Roman" w:eastAsia="宋体" w:cs="Times New Roman"/>
          <w:bCs/>
          <w:lang w:val="en-US" w:eastAsia="en-US" w:bidi="ar-SA"/>
        </w:rPr>
        <w:t xml:space="preserve"> </w:t>
      </w:r>
      <w:r>
        <w:rPr>
          <w:rFonts w:hint="eastAsia" w:ascii="Times New Roman" w:hAnsi="Times New Roman" w:eastAsia="宋体" w:cs="Times New Roman"/>
          <w:bCs/>
          <w:lang w:val="en-US" w:eastAsia="zh-CN" w:bidi="ar-SA"/>
        </w:rPr>
        <w:t xml:space="preserve">requirements defined </w:t>
      </w:r>
      <w:r>
        <w:rPr>
          <w:rFonts w:hint="eastAsia" w:ascii="Times New Roman" w:hAnsi="Times New Roman" w:eastAsia="宋体" w:cs="Times New Roman"/>
          <w:bCs/>
          <w:lang w:val="en-US" w:eastAsia="en-US" w:bidi="ar-SA"/>
        </w:rPr>
        <w:t xml:space="preserve">for </w:t>
      </w:r>
      <w:r>
        <w:rPr>
          <w:rFonts w:ascii="Times New Roman" w:hAnsi="Times New Roman" w:eastAsia="宋体" w:cs="Times New Roman"/>
          <w:bCs/>
          <w:lang w:val="en-GB" w:eastAsia="en-US" w:bidi="ar-SA"/>
        </w:rPr>
        <w:t>legacy FR1-NTN</w:t>
      </w:r>
      <w:r>
        <w:rPr>
          <w:rFonts w:hint="eastAsia" w:ascii="Times New Roman" w:hAnsi="Times New Roman" w:eastAsia="宋体" w:cs="Times New Roman"/>
          <w:bCs/>
          <w:lang w:val="en-US" w:eastAsia="en-US" w:bidi="ar-SA"/>
        </w:rPr>
        <w:t xml:space="preserve"> can be reused</w:t>
      </w:r>
      <w:r>
        <w:rPr>
          <w:rFonts w:hint="eastAsia" w:ascii="Times New Roman" w:hAnsi="Times New Roman" w:eastAsia="宋体" w:cs="Times New Roman"/>
          <w:bCs/>
          <w:lang w:val="en-US" w:eastAsia="zh-CN" w:bidi="ar-SA"/>
        </w:rPr>
        <w:t xml:space="preserve"> for </w:t>
      </w:r>
      <w:r>
        <w:rPr>
          <w:rFonts w:hint="eastAsia" w:ascii="Times New Roman" w:hAnsi="Times New Roman" w:eastAsia="宋体" w:cs="Times New Roman"/>
          <w:b w:val="0"/>
          <w:bCs w:val="0"/>
          <w:kern w:val="0"/>
          <w:sz w:val="21"/>
          <w:szCs w:val="21"/>
          <w:lang w:val="en-US" w:eastAsia="zh-CN"/>
        </w:rPr>
        <w:t>(e)RedCap NTN UE, not differentiate 1RX and 2RX.</w:t>
      </w:r>
    </w:p>
    <w:p w14:paraId="15BCE03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requirements of L1/L3 measurement accuracy, following the same principle in RedCap TN, we support that RAN4 to reuse the measurement accuracy requirements for normal UEs defined in NTN for 2RX RedCap NTN UE. Furthermore, RAN4 to relax the L1/L3 measurement accuracy for SS-RSRP, SS-RSRQ, SS-SINR and L1-RSRP compared to those defined for 2Rx (e)RedCap UEs. The same relaxation defined in TN for 1Rx (e)RedCap UEs can be reused.</w:t>
      </w:r>
    </w:p>
    <w:p w14:paraId="145A8C3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4</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GB" w:eastAsia="zh-CN"/>
        </w:rPr>
        <w:t>RAN4 to reuse the existing enhanced cell reselection measurement requirements</w:t>
      </w:r>
      <w:r>
        <w:rPr>
          <w:rFonts w:hint="eastAsia" w:ascii="Times New Roman" w:hAnsi="Times New Roman" w:eastAsia="宋体" w:cs="Times New Roman"/>
          <w:b/>
          <w:bCs/>
          <w:kern w:val="0"/>
          <w:sz w:val="21"/>
          <w:szCs w:val="21"/>
          <w:lang w:val="en-US" w:eastAsia="zh-CN"/>
        </w:rPr>
        <w:t xml:space="preserve"> for </w:t>
      </w:r>
      <w:r>
        <w:rPr>
          <w:rFonts w:hint="eastAsia" w:ascii="Times New Roman" w:hAnsi="Times New Roman" w:eastAsia="宋体" w:cs="Times New Roman"/>
          <w:b/>
          <w:bCs/>
          <w:kern w:val="0"/>
          <w:sz w:val="21"/>
          <w:szCs w:val="21"/>
          <w:lang w:val="en-GB" w:eastAsia="zh-CN"/>
        </w:rPr>
        <w:t>(e)RedCap NTN UE</w:t>
      </w:r>
      <w:r>
        <w:rPr>
          <w:rFonts w:hint="eastAsia" w:ascii="Times New Roman" w:hAnsi="Times New Roman" w:eastAsia="宋体" w:cs="Times New Roman"/>
          <w:b/>
          <w:bCs/>
          <w:kern w:val="0"/>
          <w:sz w:val="21"/>
          <w:szCs w:val="21"/>
          <w:lang w:val="en-US" w:eastAsia="zh-CN"/>
        </w:rPr>
        <w:t>, not differentiate 1Rx and 2Rx.</w:t>
      </w:r>
    </w:p>
    <w:p w14:paraId="3B15082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5</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reuse the measurement accuracy requirements for normal UEs defined in NTN, for 2Rx (e)RedCap UEs with FR1-NTN bands. </w:t>
      </w:r>
    </w:p>
    <w:p w14:paraId="44AAA72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6</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For 1Rx (e)RedCap UEs with FR1-NTN bands, RAN4 to relax the L1/L3 measurement accuracy for SS-RSRP, SS-RSRQ, SS-SINR and L1-RSRP compared to those defined for 2Rx (e)RedCap UEs.</w:t>
      </w:r>
    </w:p>
    <w:p w14:paraId="124AE77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firstLine="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-SS-RSRP, SS-RSRQ, SS-SINR: relax by 1dB.</w:t>
      </w:r>
    </w:p>
    <w:p w14:paraId="42A0144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firstLine="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-L1-RSRP: relax by 3dB.</w:t>
      </w:r>
    </w:p>
    <w:p w14:paraId="45A3ACF1">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4E8D27F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1</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For (e)RedCap UE with FR1-NTN, the baseline for UE capability is 2 parallel SMTCs, where the </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parallel</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 xml:space="preserve"> means the SMTCs are TDM with proximity distance.</w:t>
      </w:r>
    </w:p>
    <w:p w14:paraId="228C607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2</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reuse the legacy collision condition, i.e. no further relaxation on the proximity distance.</w:t>
      </w:r>
    </w:p>
    <w:p w14:paraId="3D945E8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3</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The supported number of SMTCs, the number of cells and SSB and the number of supported satellites defined for NTN normal UE can be reused for NTN RedCap.</w:t>
      </w:r>
    </w:p>
    <w:p w14:paraId="1A91B83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4</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GB" w:eastAsia="zh-CN"/>
        </w:rPr>
        <w:t>RAN4 to reuse the existing enhanced cell reselection measurement requirements</w:t>
      </w:r>
      <w:r>
        <w:rPr>
          <w:rFonts w:hint="eastAsia" w:ascii="Times New Roman" w:hAnsi="Times New Roman" w:eastAsia="宋体" w:cs="Times New Roman"/>
          <w:b/>
          <w:bCs/>
          <w:kern w:val="0"/>
          <w:sz w:val="21"/>
          <w:szCs w:val="21"/>
          <w:lang w:val="en-US" w:eastAsia="zh-CN"/>
        </w:rPr>
        <w:t xml:space="preserve"> for </w:t>
      </w:r>
      <w:r>
        <w:rPr>
          <w:rFonts w:hint="eastAsia" w:ascii="Times New Roman" w:hAnsi="Times New Roman" w:eastAsia="宋体" w:cs="Times New Roman"/>
          <w:b/>
          <w:bCs/>
          <w:kern w:val="0"/>
          <w:sz w:val="21"/>
          <w:szCs w:val="21"/>
          <w:lang w:val="en-GB" w:eastAsia="zh-CN"/>
        </w:rPr>
        <w:t>(e)RedCap NTN UE</w:t>
      </w:r>
      <w:r>
        <w:rPr>
          <w:rFonts w:hint="eastAsia" w:ascii="Times New Roman" w:hAnsi="Times New Roman" w:eastAsia="宋体" w:cs="Times New Roman"/>
          <w:b/>
          <w:bCs/>
          <w:kern w:val="0"/>
          <w:sz w:val="21"/>
          <w:szCs w:val="21"/>
          <w:lang w:val="en-US" w:eastAsia="zh-CN"/>
        </w:rPr>
        <w:t>, not differentiate 1Rx and 2Rx.</w:t>
      </w:r>
    </w:p>
    <w:p w14:paraId="1011929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5</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reuse the measurement accuracy requirements for normal UEs defined in NTN, for 2Rx (e)RedCap UEs with FR1-NTN bands. </w:t>
      </w:r>
    </w:p>
    <w:p w14:paraId="2F78309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6</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For 1Rx (e)RedCap UEs with FR1-NTN bands, RAN4 to relax the L1/L3 measurement accuracy for SS-RSRP, SS-RSRQ, SS-SINR and L1-RSRP compared to those defined for 2Rx (e)RedCap UEs.</w:t>
      </w:r>
    </w:p>
    <w:p w14:paraId="2429BDE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firstLine="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-SS-RSRP, SS-RSRQ, SS-SINR: relax by 1dB.</w:t>
      </w:r>
    </w:p>
    <w:p w14:paraId="0735B92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firstLine="420" w:firstLineChars="0"/>
        <w:textAlignment w:val="baseline"/>
        <w:rPr>
          <w:rFonts w:eastAsia="宋体"/>
          <w:b/>
          <w:bCs/>
          <w:lang w:val="en-GB"/>
        </w:rPr>
      </w:pPr>
      <w:r>
        <w:rPr>
          <w:rFonts w:hint="eastAsia" w:ascii="Times New Roman" w:hAnsi="Times New Roman" w:eastAsia="宋体" w:cs="Times New Roman"/>
          <w:b/>
          <w:bCs/>
          <w:kern w:val="0"/>
          <w:sz w:val="21"/>
          <w:szCs w:val="21"/>
          <w:lang w:val="en-US" w:eastAsia="zh-CN"/>
        </w:rPr>
        <w:t>-L1-RSRP: relax by 3dB.</w:t>
      </w:r>
      <w:bookmarkStart w:id="5" w:name="_GoBack"/>
      <w:bookmarkEnd w:id="5"/>
    </w:p>
    <w:p w14:paraId="75F34D1E">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77E48EC">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R4-2500543, </w:t>
      </w:r>
      <w:r>
        <w:rPr>
          <w:rFonts w:hint="eastAsia" w:ascii="Times New Roman" w:hAnsi="Times New Roman" w:eastAsia="宋体" w:cs="Times New Roman"/>
          <w:kern w:val="0"/>
          <w:sz w:val="20"/>
          <w:szCs w:val="20"/>
          <w:lang w:val="en-GB"/>
        </w:rPr>
        <w:t>WF on RRM requirements for NR_NTN_Ph3_Part1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44D00"/>
    <w:multiLevelType w:val="multilevel"/>
    <w:tmpl w:val="09844D00"/>
    <w:lvl w:ilvl="0" w:tentative="0">
      <w:start w:val="3"/>
      <w:numFmt w:val="bullet"/>
      <w:lvlText w:val="-"/>
      <w:lvlJc w:val="left"/>
      <w:pPr>
        <w:ind w:left="3582" w:hanging="420"/>
      </w:pPr>
      <w:rPr>
        <w:rFonts w:hint="default" w:ascii="Times New Roman" w:hAnsi="Times New Roman" w:eastAsia="宋体" w:cs="Times New Roman"/>
      </w:rPr>
    </w:lvl>
    <w:lvl w:ilvl="1" w:tentative="0">
      <w:start w:val="1"/>
      <w:numFmt w:val="bullet"/>
      <w:lvlText w:val=""/>
      <w:lvlJc w:val="left"/>
      <w:pPr>
        <w:ind w:left="4002" w:hanging="420"/>
      </w:pPr>
      <w:rPr>
        <w:rFonts w:hint="default" w:ascii="Wingdings" w:hAnsi="Wingdings"/>
      </w:rPr>
    </w:lvl>
    <w:lvl w:ilvl="2" w:tentative="0">
      <w:start w:val="1"/>
      <w:numFmt w:val="bullet"/>
      <w:lvlText w:val=""/>
      <w:lvlJc w:val="left"/>
      <w:pPr>
        <w:ind w:left="4422" w:hanging="420"/>
      </w:pPr>
      <w:rPr>
        <w:rFonts w:hint="default" w:ascii="Wingdings" w:hAnsi="Wingdings"/>
      </w:rPr>
    </w:lvl>
    <w:lvl w:ilvl="3" w:tentative="0">
      <w:start w:val="1"/>
      <w:numFmt w:val="bullet"/>
      <w:lvlText w:val=""/>
      <w:lvlJc w:val="left"/>
      <w:pPr>
        <w:ind w:left="4842" w:hanging="420"/>
      </w:pPr>
      <w:rPr>
        <w:rFonts w:hint="default" w:ascii="Wingdings" w:hAnsi="Wingdings"/>
      </w:rPr>
    </w:lvl>
    <w:lvl w:ilvl="4" w:tentative="0">
      <w:start w:val="1"/>
      <w:numFmt w:val="bullet"/>
      <w:lvlText w:val=""/>
      <w:lvlJc w:val="left"/>
      <w:pPr>
        <w:ind w:left="5262" w:hanging="420"/>
      </w:pPr>
      <w:rPr>
        <w:rFonts w:hint="default" w:ascii="Wingdings" w:hAnsi="Wingdings"/>
      </w:rPr>
    </w:lvl>
    <w:lvl w:ilvl="5" w:tentative="0">
      <w:start w:val="1"/>
      <w:numFmt w:val="bullet"/>
      <w:lvlText w:val=""/>
      <w:lvlJc w:val="left"/>
      <w:pPr>
        <w:ind w:left="5682" w:hanging="420"/>
      </w:pPr>
      <w:rPr>
        <w:rFonts w:hint="default" w:ascii="Wingdings" w:hAnsi="Wingdings"/>
      </w:rPr>
    </w:lvl>
    <w:lvl w:ilvl="6" w:tentative="0">
      <w:start w:val="1"/>
      <w:numFmt w:val="bullet"/>
      <w:lvlText w:val=""/>
      <w:lvlJc w:val="left"/>
      <w:pPr>
        <w:ind w:left="6102" w:hanging="420"/>
      </w:pPr>
      <w:rPr>
        <w:rFonts w:hint="default" w:ascii="Wingdings" w:hAnsi="Wingdings"/>
      </w:rPr>
    </w:lvl>
    <w:lvl w:ilvl="7" w:tentative="0">
      <w:start w:val="1"/>
      <w:numFmt w:val="bullet"/>
      <w:lvlText w:val=""/>
      <w:lvlJc w:val="left"/>
      <w:pPr>
        <w:ind w:left="6522" w:hanging="420"/>
      </w:pPr>
      <w:rPr>
        <w:rFonts w:hint="default" w:ascii="Wingdings" w:hAnsi="Wingdings"/>
      </w:rPr>
    </w:lvl>
    <w:lvl w:ilvl="8" w:tentative="0">
      <w:start w:val="1"/>
      <w:numFmt w:val="bullet"/>
      <w:lvlText w:val=""/>
      <w:lvlJc w:val="left"/>
      <w:pPr>
        <w:ind w:left="6942" w:hanging="42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F85C17"/>
    <w:multiLevelType w:val="multilevel"/>
    <w:tmpl w:val="72F85C17"/>
    <w:lvl w:ilvl="0" w:tentative="0">
      <w:start w:val="6"/>
      <w:numFmt w:val="bullet"/>
      <w:lvlText w:val="-"/>
      <w:lvlJc w:val="left"/>
      <w:pPr>
        <w:ind w:left="4002" w:hanging="420"/>
      </w:pPr>
      <w:rPr>
        <w:rFonts w:hint="default" w:ascii="Times New Roman" w:hAnsi="Times New Roman" w:eastAsia="宋体" w:cs="Times New Roman"/>
      </w:rPr>
    </w:lvl>
    <w:lvl w:ilvl="1" w:tentative="0">
      <w:start w:val="1"/>
      <w:numFmt w:val="bullet"/>
      <w:lvlText w:val=""/>
      <w:lvlJc w:val="left"/>
      <w:pPr>
        <w:ind w:left="4422" w:hanging="420"/>
      </w:pPr>
      <w:rPr>
        <w:rFonts w:hint="default" w:ascii="Wingdings" w:hAnsi="Wingdings"/>
      </w:rPr>
    </w:lvl>
    <w:lvl w:ilvl="2" w:tentative="0">
      <w:start w:val="1"/>
      <w:numFmt w:val="bullet"/>
      <w:lvlText w:val=""/>
      <w:lvlJc w:val="left"/>
      <w:pPr>
        <w:ind w:left="4842" w:hanging="420"/>
      </w:pPr>
      <w:rPr>
        <w:rFonts w:hint="default" w:ascii="Wingdings" w:hAnsi="Wingdings"/>
      </w:rPr>
    </w:lvl>
    <w:lvl w:ilvl="3" w:tentative="0">
      <w:start w:val="1"/>
      <w:numFmt w:val="bullet"/>
      <w:lvlText w:val=""/>
      <w:lvlJc w:val="left"/>
      <w:pPr>
        <w:ind w:left="5262" w:hanging="420"/>
      </w:pPr>
      <w:rPr>
        <w:rFonts w:hint="default" w:ascii="Wingdings" w:hAnsi="Wingdings"/>
      </w:rPr>
    </w:lvl>
    <w:lvl w:ilvl="4" w:tentative="0">
      <w:start w:val="1"/>
      <w:numFmt w:val="bullet"/>
      <w:lvlText w:val=""/>
      <w:lvlJc w:val="left"/>
      <w:pPr>
        <w:ind w:left="5682" w:hanging="420"/>
      </w:pPr>
      <w:rPr>
        <w:rFonts w:hint="default" w:ascii="Wingdings" w:hAnsi="Wingdings"/>
      </w:rPr>
    </w:lvl>
    <w:lvl w:ilvl="5" w:tentative="0">
      <w:start w:val="1"/>
      <w:numFmt w:val="bullet"/>
      <w:lvlText w:val=""/>
      <w:lvlJc w:val="left"/>
      <w:pPr>
        <w:ind w:left="6102" w:hanging="420"/>
      </w:pPr>
      <w:rPr>
        <w:rFonts w:hint="default" w:ascii="Wingdings" w:hAnsi="Wingdings"/>
      </w:rPr>
    </w:lvl>
    <w:lvl w:ilvl="6" w:tentative="0">
      <w:start w:val="1"/>
      <w:numFmt w:val="bullet"/>
      <w:lvlText w:val=""/>
      <w:lvlJc w:val="left"/>
      <w:pPr>
        <w:ind w:left="6522" w:hanging="420"/>
      </w:pPr>
      <w:rPr>
        <w:rFonts w:hint="default" w:ascii="Wingdings" w:hAnsi="Wingdings"/>
      </w:rPr>
    </w:lvl>
    <w:lvl w:ilvl="7" w:tentative="0">
      <w:start w:val="1"/>
      <w:numFmt w:val="bullet"/>
      <w:lvlText w:val=""/>
      <w:lvlJc w:val="left"/>
      <w:pPr>
        <w:ind w:left="6942" w:hanging="420"/>
      </w:pPr>
      <w:rPr>
        <w:rFonts w:hint="default" w:ascii="Wingdings" w:hAnsi="Wingdings"/>
      </w:rPr>
    </w:lvl>
    <w:lvl w:ilvl="8" w:tentative="0">
      <w:start w:val="1"/>
      <w:numFmt w:val="bullet"/>
      <w:lvlText w:val=""/>
      <w:lvlJc w:val="left"/>
      <w:pPr>
        <w:ind w:left="7362" w:hanging="42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2"/>
  </w:num>
  <w:num w:numId="2">
    <w:abstractNumId w:val="4"/>
  </w:num>
  <w:num w:numId="3">
    <w:abstractNumId w:val="1"/>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B22B0"/>
    <w:rsid w:val="010F040C"/>
    <w:rsid w:val="010F350F"/>
    <w:rsid w:val="01456B3C"/>
    <w:rsid w:val="015554A4"/>
    <w:rsid w:val="019424BE"/>
    <w:rsid w:val="01992300"/>
    <w:rsid w:val="01DB7ED5"/>
    <w:rsid w:val="01E0373D"/>
    <w:rsid w:val="01F45162"/>
    <w:rsid w:val="021F7DC1"/>
    <w:rsid w:val="02317AF5"/>
    <w:rsid w:val="0232479F"/>
    <w:rsid w:val="024A4392"/>
    <w:rsid w:val="024C1B2A"/>
    <w:rsid w:val="025A704C"/>
    <w:rsid w:val="025E3EE7"/>
    <w:rsid w:val="02751A20"/>
    <w:rsid w:val="0286604A"/>
    <w:rsid w:val="02D06700"/>
    <w:rsid w:val="02EC3419"/>
    <w:rsid w:val="03165668"/>
    <w:rsid w:val="03365100"/>
    <w:rsid w:val="03682DC5"/>
    <w:rsid w:val="03913E39"/>
    <w:rsid w:val="03B15391"/>
    <w:rsid w:val="03E52752"/>
    <w:rsid w:val="040C25C7"/>
    <w:rsid w:val="040D42FA"/>
    <w:rsid w:val="04194A97"/>
    <w:rsid w:val="044E2BE0"/>
    <w:rsid w:val="04A22E57"/>
    <w:rsid w:val="04B826E6"/>
    <w:rsid w:val="04E83035"/>
    <w:rsid w:val="05017C52"/>
    <w:rsid w:val="0511629C"/>
    <w:rsid w:val="053425E6"/>
    <w:rsid w:val="053A445F"/>
    <w:rsid w:val="055374A2"/>
    <w:rsid w:val="058E038E"/>
    <w:rsid w:val="0591353A"/>
    <w:rsid w:val="05A827C4"/>
    <w:rsid w:val="05CC64B2"/>
    <w:rsid w:val="05D9200B"/>
    <w:rsid w:val="06437F8E"/>
    <w:rsid w:val="065B3392"/>
    <w:rsid w:val="06D03D80"/>
    <w:rsid w:val="0704685A"/>
    <w:rsid w:val="071A0439"/>
    <w:rsid w:val="07466F91"/>
    <w:rsid w:val="07754928"/>
    <w:rsid w:val="0788465B"/>
    <w:rsid w:val="078A5965"/>
    <w:rsid w:val="07A47FD8"/>
    <w:rsid w:val="07DD49A7"/>
    <w:rsid w:val="07E54304"/>
    <w:rsid w:val="07EF6488"/>
    <w:rsid w:val="07F26B0C"/>
    <w:rsid w:val="08003A2E"/>
    <w:rsid w:val="08142BE4"/>
    <w:rsid w:val="08314CF2"/>
    <w:rsid w:val="0834033F"/>
    <w:rsid w:val="085355EF"/>
    <w:rsid w:val="0864151C"/>
    <w:rsid w:val="086B654C"/>
    <w:rsid w:val="08A13C26"/>
    <w:rsid w:val="08C21C82"/>
    <w:rsid w:val="08C35BCC"/>
    <w:rsid w:val="08D33A34"/>
    <w:rsid w:val="08EB6C4F"/>
    <w:rsid w:val="08F43C68"/>
    <w:rsid w:val="092B4153"/>
    <w:rsid w:val="094674BE"/>
    <w:rsid w:val="09991616"/>
    <w:rsid w:val="0A021F2E"/>
    <w:rsid w:val="0A0C7595"/>
    <w:rsid w:val="0A404F63"/>
    <w:rsid w:val="0A673EF3"/>
    <w:rsid w:val="0ABA0FCF"/>
    <w:rsid w:val="0ADD14FB"/>
    <w:rsid w:val="0B00275A"/>
    <w:rsid w:val="0B1245E8"/>
    <w:rsid w:val="0B3F3282"/>
    <w:rsid w:val="0B454EBC"/>
    <w:rsid w:val="0B792C38"/>
    <w:rsid w:val="0B901D30"/>
    <w:rsid w:val="0BC66E11"/>
    <w:rsid w:val="0C3D6FFA"/>
    <w:rsid w:val="0C6C086E"/>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CB77DB"/>
    <w:rsid w:val="0FFE157A"/>
    <w:rsid w:val="0FFF1232"/>
    <w:rsid w:val="103A5CAF"/>
    <w:rsid w:val="105F7F23"/>
    <w:rsid w:val="10D820B6"/>
    <w:rsid w:val="10E072B6"/>
    <w:rsid w:val="10FC65BF"/>
    <w:rsid w:val="1102255C"/>
    <w:rsid w:val="1102722C"/>
    <w:rsid w:val="110C3C07"/>
    <w:rsid w:val="11360C84"/>
    <w:rsid w:val="1174417D"/>
    <w:rsid w:val="11765524"/>
    <w:rsid w:val="11BA012C"/>
    <w:rsid w:val="11F6521E"/>
    <w:rsid w:val="120140F3"/>
    <w:rsid w:val="12644144"/>
    <w:rsid w:val="128B7D1F"/>
    <w:rsid w:val="131B0A99"/>
    <w:rsid w:val="135172E5"/>
    <w:rsid w:val="13BB36C2"/>
    <w:rsid w:val="14410B0B"/>
    <w:rsid w:val="144933C4"/>
    <w:rsid w:val="14670F3B"/>
    <w:rsid w:val="1468384A"/>
    <w:rsid w:val="14A2292A"/>
    <w:rsid w:val="14B629D7"/>
    <w:rsid w:val="14C2372B"/>
    <w:rsid w:val="14C30A80"/>
    <w:rsid w:val="150F6DF8"/>
    <w:rsid w:val="157E6A6B"/>
    <w:rsid w:val="15F64E85"/>
    <w:rsid w:val="15FA088E"/>
    <w:rsid w:val="15FA2BC8"/>
    <w:rsid w:val="16283474"/>
    <w:rsid w:val="1659551A"/>
    <w:rsid w:val="16B27132"/>
    <w:rsid w:val="16EF3DAF"/>
    <w:rsid w:val="170A0BE8"/>
    <w:rsid w:val="17306175"/>
    <w:rsid w:val="173A5A2D"/>
    <w:rsid w:val="176D77DD"/>
    <w:rsid w:val="1772678E"/>
    <w:rsid w:val="17D2722C"/>
    <w:rsid w:val="17E33FAB"/>
    <w:rsid w:val="18426FD0"/>
    <w:rsid w:val="18742FB3"/>
    <w:rsid w:val="18814EDA"/>
    <w:rsid w:val="18D979A4"/>
    <w:rsid w:val="190832D5"/>
    <w:rsid w:val="193375A6"/>
    <w:rsid w:val="195530E3"/>
    <w:rsid w:val="19670F1B"/>
    <w:rsid w:val="199F2C6B"/>
    <w:rsid w:val="1A0E6C42"/>
    <w:rsid w:val="1A177C84"/>
    <w:rsid w:val="1A425A24"/>
    <w:rsid w:val="1A465726"/>
    <w:rsid w:val="1A6515CA"/>
    <w:rsid w:val="1AA2738A"/>
    <w:rsid w:val="1AB33345"/>
    <w:rsid w:val="1AB72134"/>
    <w:rsid w:val="1AB8095B"/>
    <w:rsid w:val="1AF54531"/>
    <w:rsid w:val="1B0C144B"/>
    <w:rsid w:val="1B225C27"/>
    <w:rsid w:val="1B401473"/>
    <w:rsid w:val="1B701236"/>
    <w:rsid w:val="1B9E6579"/>
    <w:rsid w:val="1BCA6B98"/>
    <w:rsid w:val="1BEB72C3"/>
    <w:rsid w:val="1C2E217C"/>
    <w:rsid w:val="1C381231"/>
    <w:rsid w:val="1C443FD4"/>
    <w:rsid w:val="1C533C31"/>
    <w:rsid w:val="1C5405C7"/>
    <w:rsid w:val="1C6629EC"/>
    <w:rsid w:val="1D46765C"/>
    <w:rsid w:val="1DF00E6D"/>
    <w:rsid w:val="1DFC5003"/>
    <w:rsid w:val="1E032835"/>
    <w:rsid w:val="1E0B5246"/>
    <w:rsid w:val="1E8373D6"/>
    <w:rsid w:val="1EBB7F97"/>
    <w:rsid w:val="1ED41491"/>
    <w:rsid w:val="1EE305C4"/>
    <w:rsid w:val="1EE91A2B"/>
    <w:rsid w:val="1F0210D8"/>
    <w:rsid w:val="1F176423"/>
    <w:rsid w:val="1F664E2A"/>
    <w:rsid w:val="1F7237CF"/>
    <w:rsid w:val="1F7C7D01"/>
    <w:rsid w:val="1F9D5F85"/>
    <w:rsid w:val="1FA26EEB"/>
    <w:rsid w:val="1FD576A0"/>
    <w:rsid w:val="20555B3C"/>
    <w:rsid w:val="20A56D20"/>
    <w:rsid w:val="20C54D60"/>
    <w:rsid w:val="20D7393A"/>
    <w:rsid w:val="20DE15FA"/>
    <w:rsid w:val="20EC6CC4"/>
    <w:rsid w:val="21052421"/>
    <w:rsid w:val="21464CF5"/>
    <w:rsid w:val="217001E2"/>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AE21D8"/>
    <w:rsid w:val="23C051AF"/>
    <w:rsid w:val="23D45F8E"/>
    <w:rsid w:val="2403533D"/>
    <w:rsid w:val="240D3AC6"/>
    <w:rsid w:val="240D3E70"/>
    <w:rsid w:val="241D4834"/>
    <w:rsid w:val="241E3F25"/>
    <w:rsid w:val="24303C58"/>
    <w:rsid w:val="24575689"/>
    <w:rsid w:val="24596D0B"/>
    <w:rsid w:val="24861ACA"/>
    <w:rsid w:val="24A3267C"/>
    <w:rsid w:val="24C30629"/>
    <w:rsid w:val="24F07BEB"/>
    <w:rsid w:val="24F41CD4"/>
    <w:rsid w:val="252D58FF"/>
    <w:rsid w:val="25317C88"/>
    <w:rsid w:val="25B368EF"/>
    <w:rsid w:val="25E35663"/>
    <w:rsid w:val="26357304"/>
    <w:rsid w:val="267E0CAB"/>
    <w:rsid w:val="267E514F"/>
    <w:rsid w:val="267F67D1"/>
    <w:rsid w:val="26C27851"/>
    <w:rsid w:val="2725381D"/>
    <w:rsid w:val="27271343"/>
    <w:rsid w:val="272730F1"/>
    <w:rsid w:val="278B7B24"/>
    <w:rsid w:val="27BD739B"/>
    <w:rsid w:val="27C46B92"/>
    <w:rsid w:val="27D84E93"/>
    <w:rsid w:val="280A144A"/>
    <w:rsid w:val="280D4D70"/>
    <w:rsid w:val="282201FE"/>
    <w:rsid w:val="28417D61"/>
    <w:rsid w:val="28506677"/>
    <w:rsid w:val="28564FB5"/>
    <w:rsid w:val="291853E7"/>
    <w:rsid w:val="2919115F"/>
    <w:rsid w:val="291E0523"/>
    <w:rsid w:val="2967011C"/>
    <w:rsid w:val="296F6B21"/>
    <w:rsid w:val="297206B2"/>
    <w:rsid w:val="29AF078E"/>
    <w:rsid w:val="29CA4207"/>
    <w:rsid w:val="29D7493D"/>
    <w:rsid w:val="29E66148"/>
    <w:rsid w:val="2A0B0AA8"/>
    <w:rsid w:val="2A1025F9"/>
    <w:rsid w:val="2A286F0C"/>
    <w:rsid w:val="2A3C4EA9"/>
    <w:rsid w:val="2A720D40"/>
    <w:rsid w:val="2ABA061B"/>
    <w:rsid w:val="2ABB0FF3"/>
    <w:rsid w:val="2AE76764"/>
    <w:rsid w:val="2AF23A16"/>
    <w:rsid w:val="2AFE685E"/>
    <w:rsid w:val="2B006133"/>
    <w:rsid w:val="2B17347C"/>
    <w:rsid w:val="2B27367F"/>
    <w:rsid w:val="2B2C6A15"/>
    <w:rsid w:val="2B345DDC"/>
    <w:rsid w:val="2B415FA0"/>
    <w:rsid w:val="2B8A00F2"/>
    <w:rsid w:val="2BB32A71"/>
    <w:rsid w:val="2BB95357"/>
    <w:rsid w:val="2BE710A1"/>
    <w:rsid w:val="2C307EA2"/>
    <w:rsid w:val="2C3B0B1D"/>
    <w:rsid w:val="2C74691D"/>
    <w:rsid w:val="2CD258AD"/>
    <w:rsid w:val="2D572256"/>
    <w:rsid w:val="2D7643E8"/>
    <w:rsid w:val="2D917516"/>
    <w:rsid w:val="2DC36921"/>
    <w:rsid w:val="2DCA7799"/>
    <w:rsid w:val="2DD107CA"/>
    <w:rsid w:val="2DD37B2E"/>
    <w:rsid w:val="2E0407B3"/>
    <w:rsid w:val="2E4C739F"/>
    <w:rsid w:val="2E5A3DAC"/>
    <w:rsid w:val="2E7330BF"/>
    <w:rsid w:val="2E8261B4"/>
    <w:rsid w:val="2E8B21B7"/>
    <w:rsid w:val="2F1B2E6A"/>
    <w:rsid w:val="2F257B78"/>
    <w:rsid w:val="2F260139"/>
    <w:rsid w:val="2F2D0284"/>
    <w:rsid w:val="2F57653D"/>
    <w:rsid w:val="2F6C3452"/>
    <w:rsid w:val="2F7000C2"/>
    <w:rsid w:val="2F8379E0"/>
    <w:rsid w:val="2F950E14"/>
    <w:rsid w:val="2FA66A7B"/>
    <w:rsid w:val="2FAA1397"/>
    <w:rsid w:val="2FBF7C0B"/>
    <w:rsid w:val="2FC21B1A"/>
    <w:rsid w:val="2FDA78F1"/>
    <w:rsid w:val="306B6443"/>
    <w:rsid w:val="308D6684"/>
    <w:rsid w:val="30B4631B"/>
    <w:rsid w:val="30F54260"/>
    <w:rsid w:val="31070FD2"/>
    <w:rsid w:val="31300D40"/>
    <w:rsid w:val="3199108F"/>
    <w:rsid w:val="31EA2BFF"/>
    <w:rsid w:val="31F471D5"/>
    <w:rsid w:val="320D55D9"/>
    <w:rsid w:val="32150FD3"/>
    <w:rsid w:val="321E57AE"/>
    <w:rsid w:val="3252386D"/>
    <w:rsid w:val="327613D0"/>
    <w:rsid w:val="327B6CC5"/>
    <w:rsid w:val="32A0644D"/>
    <w:rsid w:val="32C24615"/>
    <w:rsid w:val="32F171E0"/>
    <w:rsid w:val="32F64767"/>
    <w:rsid w:val="33135238"/>
    <w:rsid w:val="331C14B7"/>
    <w:rsid w:val="335F1862"/>
    <w:rsid w:val="336D27D3"/>
    <w:rsid w:val="338163B8"/>
    <w:rsid w:val="339607A9"/>
    <w:rsid w:val="33B32D68"/>
    <w:rsid w:val="33B76D89"/>
    <w:rsid w:val="33CA653C"/>
    <w:rsid w:val="33ED255F"/>
    <w:rsid w:val="340C256D"/>
    <w:rsid w:val="34164C19"/>
    <w:rsid w:val="341D7D55"/>
    <w:rsid w:val="3434509F"/>
    <w:rsid w:val="344003D4"/>
    <w:rsid w:val="344F3C87"/>
    <w:rsid w:val="347C1ADD"/>
    <w:rsid w:val="34853B4C"/>
    <w:rsid w:val="35026F4B"/>
    <w:rsid w:val="35202C81"/>
    <w:rsid w:val="3563768A"/>
    <w:rsid w:val="356B0126"/>
    <w:rsid w:val="356B4AF0"/>
    <w:rsid w:val="35763E83"/>
    <w:rsid w:val="358C0C7A"/>
    <w:rsid w:val="35CD53E5"/>
    <w:rsid w:val="35CD7559"/>
    <w:rsid w:val="35EB5C31"/>
    <w:rsid w:val="364041CF"/>
    <w:rsid w:val="364E09AD"/>
    <w:rsid w:val="366A2FFA"/>
    <w:rsid w:val="36810E01"/>
    <w:rsid w:val="36C0598D"/>
    <w:rsid w:val="36D93CDC"/>
    <w:rsid w:val="36DF3AA7"/>
    <w:rsid w:val="36F570EA"/>
    <w:rsid w:val="36FA26E2"/>
    <w:rsid w:val="37296FDD"/>
    <w:rsid w:val="3732773C"/>
    <w:rsid w:val="37476E97"/>
    <w:rsid w:val="375A306E"/>
    <w:rsid w:val="377834F5"/>
    <w:rsid w:val="37AC319E"/>
    <w:rsid w:val="37B704C1"/>
    <w:rsid w:val="37CB2F4E"/>
    <w:rsid w:val="382471D8"/>
    <w:rsid w:val="38BF6164"/>
    <w:rsid w:val="38CD161E"/>
    <w:rsid w:val="38DB3D3B"/>
    <w:rsid w:val="38FA6FB1"/>
    <w:rsid w:val="390A0EB3"/>
    <w:rsid w:val="390F6437"/>
    <w:rsid w:val="391334A5"/>
    <w:rsid w:val="39343055"/>
    <w:rsid w:val="393C5B33"/>
    <w:rsid w:val="3951224F"/>
    <w:rsid w:val="39B27192"/>
    <w:rsid w:val="39B5032A"/>
    <w:rsid w:val="3A1219DE"/>
    <w:rsid w:val="3A1570EE"/>
    <w:rsid w:val="3A257964"/>
    <w:rsid w:val="3A6969E3"/>
    <w:rsid w:val="3A746BF3"/>
    <w:rsid w:val="3A836438"/>
    <w:rsid w:val="3AB16779"/>
    <w:rsid w:val="3ABD0B64"/>
    <w:rsid w:val="3ABD1402"/>
    <w:rsid w:val="3B1A1C29"/>
    <w:rsid w:val="3B2C6AD0"/>
    <w:rsid w:val="3B8765B4"/>
    <w:rsid w:val="3BAD6D81"/>
    <w:rsid w:val="3BBF16F2"/>
    <w:rsid w:val="3BC1190E"/>
    <w:rsid w:val="3C073714"/>
    <w:rsid w:val="3C1974AA"/>
    <w:rsid w:val="3C434910"/>
    <w:rsid w:val="3C5B03D9"/>
    <w:rsid w:val="3C6109FB"/>
    <w:rsid w:val="3CF96E86"/>
    <w:rsid w:val="3D0F2205"/>
    <w:rsid w:val="3D404AB5"/>
    <w:rsid w:val="3D482C92"/>
    <w:rsid w:val="3D540560"/>
    <w:rsid w:val="3D626340"/>
    <w:rsid w:val="3D6822D8"/>
    <w:rsid w:val="3D804EB1"/>
    <w:rsid w:val="3D8F3346"/>
    <w:rsid w:val="3D9E5D1F"/>
    <w:rsid w:val="3DA86A16"/>
    <w:rsid w:val="3DE511B8"/>
    <w:rsid w:val="3DE6565C"/>
    <w:rsid w:val="3DFD6502"/>
    <w:rsid w:val="3E2241BA"/>
    <w:rsid w:val="3E412892"/>
    <w:rsid w:val="3E491EE2"/>
    <w:rsid w:val="3E4D56DB"/>
    <w:rsid w:val="3E6F7B87"/>
    <w:rsid w:val="3E907376"/>
    <w:rsid w:val="3ED7645B"/>
    <w:rsid w:val="3ED86102"/>
    <w:rsid w:val="3EF913BF"/>
    <w:rsid w:val="3F0B7E50"/>
    <w:rsid w:val="3F1538A4"/>
    <w:rsid w:val="3F7877A9"/>
    <w:rsid w:val="3FA550A3"/>
    <w:rsid w:val="3FB05F69"/>
    <w:rsid w:val="3FE26F6C"/>
    <w:rsid w:val="3FE94F8F"/>
    <w:rsid w:val="3FF44767"/>
    <w:rsid w:val="401D4517"/>
    <w:rsid w:val="4041301D"/>
    <w:rsid w:val="4046336F"/>
    <w:rsid w:val="4055509E"/>
    <w:rsid w:val="40650A63"/>
    <w:rsid w:val="406A1E9B"/>
    <w:rsid w:val="409C0597"/>
    <w:rsid w:val="409E221E"/>
    <w:rsid w:val="40AA0BC3"/>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9172A0"/>
    <w:rsid w:val="42B555FD"/>
    <w:rsid w:val="42C770F1"/>
    <w:rsid w:val="436A4639"/>
    <w:rsid w:val="439B3F9B"/>
    <w:rsid w:val="43B6080A"/>
    <w:rsid w:val="43B97970"/>
    <w:rsid w:val="43D33214"/>
    <w:rsid w:val="43D558A5"/>
    <w:rsid w:val="43ED092F"/>
    <w:rsid w:val="440E76BA"/>
    <w:rsid w:val="4442271D"/>
    <w:rsid w:val="44911538"/>
    <w:rsid w:val="44A65137"/>
    <w:rsid w:val="44AF21C8"/>
    <w:rsid w:val="44E25ED9"/>
    <w:rsid w:val="454A5318"/>
    <w:rsid w:val="45832219"/>
    <w:rsid w:val="45B80FBE"/>
    <w:rsid w:val="45C81AEB"/>
    <w:rsid w:val="45DF1F1C"/>
    <w:rsid w:val="460A43BB"/>
    <w:rsid w:val="461D5993"/>
    <w:rsid w:val="463A4797"/>
    <w:rsid w:val="46412B93"/>
    <w:rsid w:val="464C0B8F"/>
    <w:rsid w:val="46640526"/>
    <w:rsid w:val="468E6891"/>
    <w:rsid w:val="46932749"/>
    <w:rsid w:val="4693757A"/>
    <w:rsid w:val="46A41C10"/>
    <w:rsid w:val="46DD15C6"/>
    <w:rsid w:val="47060B1D"/>
    <w:rsid w:val="473311E6"/>
    <w:rsid w:val="47B0113A"/>
    <w:rsid w:val="47D30184"/>
    <w:rsid w:val="48141018"/>
    <w:rsid w:val="48277EF7"/>
    <w:rsid w:val="48757D08"/>
    <w:rsid w:val="48763A80"/>
    <w:rsid w:val="487853DA"/>
    <w:rsid w:val="48790E7B"/>
    <w:rsid w:val="48B3768C"/>
    <w:rsid w:val="49066BB2"/>
    <w:rsid w:val="491F0DF6"/>
    <w:rsid w:val="49523870"/>
    <w:rsid w:val="49596459"/>
    <w:rsid w:val="49604537"/>
    <w:rsid w:val="498D2E30"/>
    <w:rsid w:val="49C34AA3"/>
    <w:rsid w:val="49D10E80"/>
    <w:rsid w:val="49D60C91"/>
    <w:rsid w:val="49EF4246"/>
    <w:rsid w:val="4A30453E"/>
    <w:rsid w:val="4A9C1109"/>
    <w:rsid w:val="4AEE78FE"/>
    <w:rsid w:val="4B0E0E54"/>
    <w:rsid w:val="4B1B43AF"/>
    <w:rsid w:val="4B594378"/>
    <w:rsid w:val="4BCD39B7"/>
    <w:rsid w:val="4BEB02E1"/>
    <w:rsid w:val="4BF5409E"/>
    <w:rsid w:val="4BFE00D6"/>
    <w:rsid w:val="4C2D252F"/>
    <w:rsid w:val="4C40062D"/>
    <w:rsid w:val="4C6F1CFA"/>
    <w:rsid w:val="4C7C718B"/>
    <w:rsid w:val="4C942727"/>
    <w:rsid w:val="4C950865"/>
    <w:rsid w:val="4D0140DC"/>
    <w:rsid w:val="4D2A6BE7"/>
    <w:rsid w:val="4D2E492A"/>
    <w:rsid w:val="4D4203D5"/>
    <w:rsid w:val="4D48035B"/>
    <w:rsid w:val="4D4C2C93"/>
    <w:rsid w:val="4D6B3488"/>
    <w:rsid w:val="4D844549"/>
    <w:rsid w:val="4D907201"/>
    <w:rsid w:val="4DF41807"/>
    <w:rsid w:val="4E1458CD"/>
    <w:rsid w:val="4E451F2B"/>
    <w:rsid w:val="4E5263F6"/>
    <w:rsid w:val="4E656129"/>
    <w:rsid w:val="4EA54FDB"/>
    <w:rsid w:val="4EBD3AB8"/>
    <w:rsid w:val="4EC138D9"/>
    <w:rsid w:val="4EC67822"/>
    <w:rsid w:val="4F3B332E"/>
    <w:rsid w:val="4F4E005F"/>
    <w:rsid w:val="4F6C798B"/>
    <w:rsid w:val="4F894099"/>
    <w:rsid w:val="4FED36EF"/>
    <w:rsid w:val="4FF12BA5"/>
    <w:rsid w:val="4FF83CE5"/>
    <w:rsid w:val="50192F9D"/>
    <w:rsid w:val="504B134F"/>
    <w:rsid w:val="509B2AE5"/>
    <w:rsid w:val="50A40D66"/>
    <w:rsid w:val="50A410CE"/>
    <w:rsid w:val="50FF5CC6"/>
    <w:rsid w:val="51055641"/>
    <w:rsid w:val="517329AF"/>
    <w:rsid w:val="5177331C"/>
    <w:rsid w:val="517F7502"/>
    <w:rsid w:val="51992F95"/>
    <w:rsid w:val="51CE27D0"/>
    <w:rsid w:val="51DB4734"/>
    <w:rsid w:val="51EB2DE9"/>
    <w:rsid w:val="522D1654"/>
    <w:rsid w:val="5240491E"/>
    <w:rsid w:val="524810E8"/>
    <w:rsid w:val="52971FC1"/>
    <w:rsid w:val="52976ACD"/>
    <w:rsid w:val="52A122EE"/>
    <w:rsid w:val="52A33887"/>
    <w:rsid w:val="52B81B37"/>
    <w:rsid w:val="52C80068"/>
    <w:rsid w:val="52E96A4D"/>
    <w:rsid w:val="5310681A"/>
    <w:rsid w:val="53143F28"/>
    <w:rsid w:val="532A5B93"/>
    <w:rsid w:val="53551D8A"/>
    <w:rsid w:val="53567FA8"/>
    <w:rsid w:val="537A4340"/>
    <w:rsid w:val="539D5A9F"/>
    <w:rsid w:val="53A07C03"/>
    <w:rsid w:val="53CF5FBF"/>
    <w:rsid w:val="53D252D2"/>
    <w:rsid w:val="53E45BE4"/>
    <w:rsid w:val="53EA75FE"/>
    <w:rsid w:val="53F57F4F"/>
    <w:rsid w:val="540D7877"/>
    <w:rsid w:val="5415414D"/>
    <w:rsid w:val="541D74A6"/>
    <w:rsid w:val="54245A4A"/>
    <w:rsid w:val="54256D18"/>
    <w:rsid w:val="54513D62"/>
    <w:rsid w:val="545A24A8"/>
    <w:rsid w:val="54900B3B"/>
    <w:rsid w:val="552770F4"/>
    <w:rsid w:val="55752DD3"/>
    <w:rsid w:val="559B68D4"/>
    <w:rsid w:val="55A541B8"/>
    <w:rsid w:val="567A6461"/>
    <w:rsid w:val="56927CD7"/>
    <w:rsid w:val="56935B78"/>
    <w:rsid w:val="56F206EB"/>
    <w:rsid w:val="570D5C67"/>
    <w:rsid w:val="57905DFE"/>
    <w:rsid w:val="57E502DB"/>
    <w:rsid w:val="57F31B4D"/>
    <w:rsid w:val="580E7831"/>
    <w:rsid w:val="589549C1"/>
    <w:rsid w:val="58A41F44"/>
    <w:rsid w:val="58AB7794"/>
    <w:rsid w:val="58E5406A"/>
    <w:rsid w:val="58FF18EE"/>
    <w:rsid w:val="590D1897"/>
    <w:rsid w:val="593B1F2F"/>
    <w:rsid w:val="59691E36"/>
    <w:rsid w:val="5988716F"/>
    <w:rsid w:val="599205A1"/>
    <w:rsid w:val="59961CEE"/>
    <w:rsid w:val="59C75EEA"/>
    <w:rsid w:val="5A0A4142"/>
    <w:rsid w:val="5A1949F4"/>
    <w:rsid w:val="5A2E5F69"/>
    <w:rsid w:val="5A382944"/>
    <w:rsid w:val="5A513A05"/>
    <w:rsid w:val="5A6F027D"/>
    <w:rsid w:val="5A7D47FA"/>
    <w:rsid w:val="5A84202D"/>
    <w:rsid w:val="5A970AC8"/>
    <w:rsid w:val="5A9F29C3"/>
    <w:rsid w:val="5AA80736"/>
    <w:rsid w:val="5AC32448"/>
    <w:rsid w:val="5AEA4E4D"/>
    <w:rsid w:val="5AF32C10"/>
    <w:rsid w:val="5B0311A3"/>
    <w:rsid w:val="5B3A26EB"/>
    <w:rsid w:val="5B910F3E"/>
    <w:rsid w:val="5B9D1D5D"/>
    <w:rsid w:val="5BE34B31"/>
    <w:rsid w:val="5C071976"/>
    <w:rsid w:val="5C9C18B0"/>
    <w:rsid w:val="5CFA0384"/>
    <w:rsid w:val="5D282774"/>
    <w:rsid w:val="5D2E2574"/>
    <w:rsid w:val="5D550132"/>
    <w:rsid w:val="5D6A65F1"/>
    <w:rsid w:val="5DAF4ECD"/>
    <w:rsid w:val="5DB9023F"/>
    <w:rsid w:val="5DBC45AF"/>
    <w:rsid w:val="5DC276CB"/>
    <w:rsid w:val="5DC82230"/>
    <w:rsid w:val="5DD63AC6"/>
    <w:rsid w:val="5E0037FD"/>
    <w:rsid w:val="5E3C65CD"/>
    <w:rsid w:val="5E55203E"/>
    <w:rsid w:val="5E7C4D34"/>
    <w:rsid w:val="5E960581"/>
    <w:rsid w:val="5EA94539"/>
    <w:rsid w:val="5ECD7C6C"/>
    <w:rsid w:val="5F027059"/>
    <w:rsid w:val="5F6C73DE"/>
    <w:rsid w:val="5F7B7FAA"/>
    <w:rsid w:val="5FEA69EB"/>
    <w:rsid w:val="60721711"/>
    <w:rsid w:val="607641C6"/>
    <w:rsid w:val="609603C4"/>
    <w:rsid w:val="60A06A72"/>
    <w:rsid w:val="60AA20C1"/>
    <w:rsid w:val="60BB265A"/>
    <w:rsid w:val="60E1464E"/>
    <w:rsid w:val="60E2732E"/>
    <w:rsid w:val="60FD5EC0"/>
    <w:rsid w:val="610B7004"/>
    <w:rsid w:val="613D1187"/>
    <w:rsid w:val="61572621"/>
    <w:rsid w:val="61691689"/>
    <w:rsid w:val="616D0E78"/>
    <w:rsid w:val="616E494E"/>
    <w:rsid w:val="61736957"/>
    <w:rsid w:val="62314848"/>
    <w:rsid w:val="623F2914"/>
    <w:rsid w:val="62851A7B"/>
    <w:rsid w:val="6299063F"/>
    <w:rsid w:val="62BC7E8A"/>
    <w:rsid w:val="63161C90"/>
    <w:rsid w:val="63247F09"/>
    <w:rsid w:val="63556314"/>
    <w:rsid w:val="637E751D"/>
    <w:rsid w:val="638C00E4"/>
    <w:rsid w:val="638C3D00"/>
    <w:rsid w:val="63A31776"/>
    <w:rsid w:val="642145AD"/>
    <w:rsid w:val="64354398"/>
    <w:rsid w:val="64730B57"/>
    <w:rsid w:val="64A77A42"/>
    <w:rsid w:val="64A86918"/>
    <w:rsid w:val="64D57D88"/>
    <w:rsid w:val="64D709C5"/>
    <w:rsid w:val="65036133"/>
    <w:rsid w:val="65362BDA"/>
    <w:rsid w:val="6545060B"/>
    <w:rsid w:val="6549634D"/>
    <w:rsid w:val="65AC068A"/>
    <w:rsid w:val="65AC39EB"/>
    <w:rsid w:val="65EB11B2"/>
    <w:rsid w:val="669015B7"/>
    <w:rsid w:val="66A17AC3"/>
    <w:rsid w:val="66C043ED"/>
    <w:rsid w:val="66D772C4"/>
    <w:rsid w:val="66EE7979"/>
    <w:rsid w:val="66EF5AF8"/>
    <w:rsid w:val="674A094A"/>
    <w:rsid w:val="6770036D"/>
    <w:rsid w:val="67B00EEE"/>
    <w:rsid w:val="67D0240D"/>
    <w:rsid w:val="67DB0DB2"/>
    <w:rsid w:val="67ED71FD"/>
    <w:rsid w:val="67FC76A6"/>
    <w:rsid w:val="6817624D"/>
    <w:rsid w:val="68543E5E"/>
    <w:rsid w:val="685E5C6B"/>
    <w:rsid w:val="68703BF0"/>
    <w:rsid w:val="68826ACC"/>
    <w:rsid w:val="68863414"/>
    <w:rsid w:val="68D53CDB"/>
    <w:rsid w:val="68D67EF7"/>
    <w:rsid w:val="691358AB"/>
    <w:rsid w:val="691737EF"/>
    <w:rsid w:val="692B1CDF"/>
    <w:rsid w:val="69554A42"/>
    <w:rsid w:val="69643755"/>
    <w:rsid w:val="697D0373"/>
    <w:rsid w:val="69894F6A"/>
    <w:rsid w:val="699509B7"/>
    <w:rsid w:val="69F61ED3"/>
    <w:rsid w:val="6A0F1D94"/>
    <w:rsid w:val="6A1C2F60"/>
    <w:rsid w:val="6A2912F9"/>
    <w:rsid w:val="6A527A52"/>
    <w:rsid w:val="6A674B7F"/>
    <w:rsid w:val="6A752A5B"/>
    <w:rsid w:val="6B0F628A"/>
    <w:rsid w:val="6B1C7293"/>
    <w:rsid w:val="6B1E137F"/>
    <w:rsid w:val="6B2C262A"/>
    <w:rsid w:val="6B4B0599"/>
    <w:rsid w:val="6B595E89"/>
    <w:rsid w:val="6B6E5468"/>
    <w:rsid w:val="6B7D5C8C"/>
    <w:rsid w:val="6B9320D0"/>
    <w:rsid w:val="6BD61FBC"/>
    <w:rsid w:val="6BE95765"/>
    <w:rsid w:val="6C217D76"/>
    <w:rsid w:val="6C475B83"/>
    <w:rsid w:val="6C6E7319"/>
    <w:rsid w:val="6C8934D3"/>
    <w:rsid w:val="6C8D3B4B"/>
    <w:rsid w:val="6CB14526"/>
    <w:rsid w:val="6CCA2B90"/>
    <w:rsid w:val="6CCF6157"/>
    <w:rsid w:val="6D205BE5"/>
    <w:rsid w:val="6D21370B"/>
    <w:rsid w:val="6D255D0D"/>
    <w:rsid w:val="6D2B6338"/>
    <w:rsid w:val="6D8A6691"/>
    <w:rsid w:val="6DC62913"/>
    <w:rsid w:val="6DE81093"/>
    <w:rsid w:val="6E1B45FE"/>
    <w:rsid w:val="6E296DAE"/>
    <w:rsid w:val="6E4521DB"/>
    <w:rsid w:val="6E4B4EE4"/>
    <w:rsid w:val="6E6054CF"/>
    <w:rsid w:val="6EB04D47"/>
    <w:rsid w:val="6EBF7433"/>
    <w:rsid w:val="6EDF7C07"/>
    <w:rsid w:val="6EE7296D"/>
    <w:rsid w:val="6F0D111A"/>
    <w:rsid w:val="6F276F30"/>
    <w:rsid w:val="6F55769C"/>
    <w:rsid w:val="6F5C3995"/>
    <w:rsid w:val="6FA61C45"/>
    <w:rsid w:val="6FAC7C04"/>
    <w:rsid w:val="6FB10D76"/>
    <w:rsid w:val="6FBE2F8F"/>
    <w:rsid w:val="6FE23C3A"/>
    <w:rsid w:val="6FF13869"/>
    <w:rsid w:val="6FFD3FBC"/>
    <w:rsid w:val="70AF511A"/>
    <w:rsid w:val="70B64CD9"/>
    <w:rsid w:val="70CE1F7A"/>
    <w:rsid w:val="70DE6FFB"/>
    <w:rsid w:val="70EB650A"/>
    <w:rsid w:val="70F57389"/>
    <w:rsid w:val="71161F56"/>
    <w:rsid w:val="715F2A54"/>
    <w:rsid w:val="71750972"/>
    <w:rsid w:val="7185561A"/>
    <w:rsid w:val="71A548A6"/>
    <w:rsid w:val="71BA7C8A"/>
    <w:rsid w:val="71BB3064"/>
    <w:rsid w:val="71DF539F"/>
    <w:rsid w:val="71EC5BC0"/>
    <w:rsid w:val="71F820D6"/>
    <w:rsid w:val="71F87130"/>
    <w:rsid w:val="722C170D"/>
    <w:rsid w:val="724C4250"/>
    <w:rsid w:val="72822621"/>
    <w:rsid w:val="72A36E41"/>
    <w:rsid w:val="72AF5315"/>
    <w:rsid w:val="72B1518D"/>
    <w:rsid w:val="72DB610A"/>
    <w:rsid w:val="72FD2525"/>
    <w:rsid w:val="72FE14BF"/>
    <w:rsid w:val="731A007D"/>
    <w:rsid w:val="733446AD"/>
    <w:rsid w:val="73497518"/>
    <w:rsid w:val="734E7938"/>
    <w:rsid w:val="7363682B"/>
    <w:rsid w:val="738467A2"/>
    <w:rsid w:val="73B85401"/>
    <w:rsid w:val="74230FF4"/>
    <w:rsid w:val="74406B6D"/>
    <w:rsid w:val="744A3547"/>
    <w:rsid w:val="744C72C0"/>
    <w:rsid w:val="74506A0E"/>
    <w:rsid w:val="74510C07"/>
    <w:rsid w:val="747B454C"/>
    <w:rsid w:val="749A6E45"/>
    <w:rsid w:val="74B46920"/>
    <w:rsid w:val="74DD3870"/>
    <w:rsid w:val="74DD43BC"/>
    <w:rsid w:val="74DE5DD9"/>
    <w:rsid w:val="74EE4F33"/>
    <w:rsid w:val="74F82FA3"/>
    <w:rsid w:val="750E0A19"/>
    <w:rsid w:val="751F6782"/>
    <w:rsid w:val="75475CD9"/>
    <w:rsid w:val="754B3A1B"/>
    <w:rsid w:val="7582336F"/>
    <w:rsid w:val="75D302FB"/>
    <w:rsid w:val="75D51537"/>
    <w:rsid w:val="75D7705D"/>
    <w:rsid w:val="75E55F4D"/>
    <w:rsid w:val="75F53987"/>
    <w:rsid w:val="764304AB"/>
    <w:rsid w:val="766A4BBD"/>
    <w:rsid w:val="766E79D6"/>
    <w:rsid w:val="7671125F"/>
    <w:rsid w:val="767174B1"/>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770F93"/>
    <w:rsid w:val="79825532"/>
    <w:rsid w:val="79894B12"/>
    <w:rsid w:val="798A4233"/>
    <w:rsid w:val="79B25E17"/>
    <w:rsid w:val="79C432CC"/>
    <w:rsid w:val="7A120583"/>
    <w:rsid w:val="7A131A5F"/>
    <w:rsid w:val="7A392094"/>
    <w:rsid w:val="7A7E219D"/>
    <w:rsid w:val="7A9F224F"/>
    <w:rsid w:val="7ACB4CB6"/>
    <w:rsid w:val="7B205002"/>
    <w:rsid w:val="7B2811A6"/>
    <w:rsid w:val="7B3F373C"/>
    <w:rsid w:val="7B8B6908"/>
    <w:rsid w:val="7BBC11CF"/>
    <w:rsid w:val="7BD5403F"/>
    <w:rsid w:val="7C1C6A9B"/>
    <w:rsid w:val="7C3E7E36"/>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B552B"/>
    <w:rsid w:val="7EEC1DCB"/>
    <w:rsid w:val="7F364DF4"/>
    <w:rsid w:val="7F7B4EFD"/>
    <w:rsid w:val="7F8A3392"/>
    <w:rsid w:val="7FAE7080"/>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ui-provider"/>
    <w:qFormat/>
    <w:uiPriority w:val="0"/>
  </w:style>
  <w:style w:type="paragraph" w:customStyle="1" w:styleId="67">
    <w:name w:val="リスト段落1"/>
    <w:basedOn w:val="1"/>
    <w:qFormat/>
    <w:uiPriority w:val="34"/>
    <w:pPr>
      <w:ind w:left="720"/>
    </w:pPr>
    <w:rPr>
      <w:rFonts w:ascii="Times New Roman" w:hAnsi="Times New Roman" w:eastAsia="宋体"/>
      <w:lang w:val="en-US"/>
    </w:rPr>
  </w:style>
  <w:style w:type="paragraph" w:customStyle="1" w:styleId="68">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1115</Words>
  <Characters>5771</Characters>
  <Lines>21</Lines>
  <Paragraphs>6</Paragraphs>
  <TotalTime>0</TotalTime>
  <ScaleCrop>false</ScaleCrop>
  <LinksUpToDate>false</LinksUpToDate>
  <CharactersWithSpaces>6840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2025-03-28T03:24:43Z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2052-12.1.0.20305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