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4F6699D5" w:rsidR="0084255A" w:rsidRDefault="0084255A" w:rsidP="0084255A">
      <w:pPr>
        <w:tabs>
          <w:tab w:val="right" w:pos="9781"/>
          <w:tab w:val="right" w:pos="13323"/>
        </w:tabs>
        <w:spacing w:before="60" w:after="60"/>
        <w:outlineLvl w:val="0"/>
        <w:rPr>
          <w:b/>
          <w:sz w:val="24"/>
          <w:szCs w:val="24"/>
        </w:rPr>
      </w:pPr>
      <w:bookmarkStart w:id="0" w:name="DocumentFor"/>
      <w:bookmarkStart w:id="1" w:name="Title"/>
      <w:bookmarkEnd w:id="0"/>
      <w:bookmarkEnd w:id="1"/>
      <w:r>
        <w:rPr>
          <w:b/>
          <w:sz w:val="24"/>
          <w:szCs w:val="24"/>
          <w:lang w:val="en-US"/>
        </w:rPr>
        <w:t xml:space="preserve">3GPP TSG-RAN WG4 Meeting #114bis </w:t>
      </w:r>
      <w:r>
        <w:rPr>
          <w:b/>
          <w:sz w:val="24"/>
          <w:szCs w:val="24"/>
        </w:rPr>
        <w:tab/>
        <w:t xml:space="preserve">                                </w:t>
      </w:r>
      <w:r w:rsidR="00F23DEB" w:rsidRPr="00F23DEB">
        <w:rPr>
          <w:b/>
          <w:sz w:val="24"/>
          <w:szCs w:val="24"/>
        </w:rPr>
        <w:t>R4-2503299</w:t>
      </w:r>
    </w:p>
    <w:p w14:paraId="02011F26" w14:textId="77777777" w:rsidR="0084255A" w:rsidRDefault="0084255A" w:rsidP="0084255A">
      <w:pPr>
        <w:ind w:left="1988" w:hanging="1988"/>
        <w:jc w:val="both"/>
        <w:rPr>
          <w:b/>
          <w:bCs/>
          <w:sz w:val="24"/>
          <w:szCs w:val="24"/>
          <w:lang w:val="en-US"/>
        </w:rPr>
      </w:pPr>
      <w:r w:rsidRPr="366E2E41">
        <w:rPr>
          <w:b/>
          <w:bCs/>
          <w:sz w:val="24"/>
          <w:szCs w:val="24"/>
          <w:lang w:val="en-US"/>
        </w:rPr>
        <w:t>Wuhan, China, 07</w:t>
      </w:r>
      <w:r w:rsidRPr="366E2E41">
        <w:rPr>
          <w:b/>
          <w:bCs/>
          <w:sz w:val="24"/>
          <w:szCs w:val="24"/>
          <w:vertAlign w:val="superscript"/>
          <w:lang w:val="en-US"/>
        </w:rPr>
        <w:t>th</w:t>
      </w:r>
      <w:r w:rsidRPr="366E2E41">
        <w:rPr>
          <w:b/>
          <w:bCs/>
          <w:sz w:val="24"/>
          <w:szCs w:val="24"/>
          <w:lang w:val="en-US"/>
        </w:rPr>
        <w:t xml:space="preserve"> – 11</w:t>
      </w:r>
      <w:r w:rsidRPr="366E2E41">
        <w:rPr>
          <w:b/>
          <w:bCs/>
          <w:sz w:val="24"/>
          <w:szCs w:val="24"/>
          <w:vertAlign w:val="superscript"/>
          <w:lang w:val="en-US"/>
        </w:rPr>
        <w:t>th</w:t>
      </w:r>
      <w:r w:rsidRPr="366E2E41">
        <w:rPr>
          <w:b/>
          <w:bCs/>
          <w:sz w:val="24"/>
          <w:szCs w:val="24"/>
          <w:lang w:val="en-US"/>
        </w:rPr>
        <w:t xml:space="preserve"> </w:t>
      </w:r>
      <w:bookmarkStart w:id="2" w:name="_Int_y82Ws820"/>
      <w:r w:rsidRPr="366E2E41">
        <w:rPr>
          <w:b/>
          <w:bCs/>
          <w:sz w:val="24"/>
          <w:szCs w:val="24"/>
          <w:lang w:val="en-US"/>
        </w:rPr>
        <w:t>April,</w:t>
      </w:r>
      <w:bookmarkEnd w:id="2"/>
      <w:r w:rsidRPr="366E2E41">
        <w:rPr>
          <w:b/>
          <w:bCs/>
          <w:sz w:val="24"/>
          <w:szCs w:val="24"/>
          <w:lang w:val="en-US"/>
        </w:rPr>
        <w:t xml:space="preserve"> 2025</w:t>
      </w:r>
    </w:p>
    <w:p w14:paraId="64AEA4CF" w14:textId="255ADCFF" w:rsidR="00827396" w:rsidRPr="00647C00" w:rsidRDefault="00827396" w:rsidP="50C3DF1F">
      <w:pPr>
        <w:ind w:left="1988" w:hanging="1988"/>
        <w:jc w:val="both"/>
        <w:rPr>
          <w:b/>
          <w:bCs/>
          <w:sz w:val="22"/>
          <w:szCs w:val="22"/>
          <w:lang w:val="en-US"/>
        </w:rPr>
      </w:pPr>
    </w:p>
    <w:p w14:paraId="506B654E" w14:textId="6F120A42" w:rsidR="00420620" w:rsidRPr="00647C00" w:rsidRDefault="00420620" w:rsidP="001C37D1">
      <w:pPr>
        <w:spacing w:line="360" w:lineRule="auto"/>
        <w:ind w:left="1988" w:hanging="1988"/>
        <w:jc w:val="both"/>
        <w:rPr>
          <w:bCs/>
          <w:sz w:val="24"/>
          <w:lang w:val="en-US"/>
        </w:rPr>
      </w:pPr>
      <w:r w:rsidRPr="00647C00">
        <w:rPr>
          <w:b/>
          <w:sz w:val="24"/>
          <w:lang w:val="en-US"/>
        </w:rPr>
        <w:t xml:space="preserve">Source:                </w:t>
      </w:r>
      <w:r w:rsidRPr="00647C00">
        <w:rPr>
          <w:bCs/>
          <w:sz w:val="24"/>
          <w:lang w:val="en-US"/>
        </w:rPr>
        <w:t>Tejas Networks Pvt. Ltd.</w:t>
      </w:r>
    </w:p>
    <w:p w14:paraId="536F73FA" w14:textId="6AC6F0C5" w:rsidR="00847D95" w:rsidRPr="00647C00" w:rsidRDefault="00847D95" w:rsidP="00847D95">
      <w:pPr>
        <w:spacing w:line="360" w:lineRule="auto"/>
        <w:ind w:left="1988" w:hanging="1988"/>
        <w:jc w:val="both"/>
        <w:rPr>
          <w:bCs/>
          <w:sz w:val="24"/>
          <w:lang w:val="en-US"/>
        </w:rPr>
      </w:pPr>
      <w:bookmarkStart w:id="3" w:name="_Int_NN0XjMO4"/>
      <w:r w:rsidRPr="00647C00">
        <w:rPr>
          <w:b/>
          <w:sz w:val="24"/>
          <w:lang w:val="en-US"/>
        </w:rPr>
        <w:t xml:space="preserve">Title:                    </w:t>
      </w:r>
      <w:bookmarkEnd w:id="3"/>
      <w:r w:rsidR="001D472A" w:rsidRPr="001D472A">
        <w:rPr>
          <w:bCs/>
          <w:sz w:val="24"/>
          <w:lang w:val="en-US"/>
        </w:rPr>
        <w:t>Views on modification of existing Rx requirements for SBFD</w:t>
      </w:r>
    </w:p>
    <w:p w14:paraId="6006169F" w14:textId="6866A52A" w:rsidR="00792278" w:rsidRPr="00647C00" w:rsidRDefault="00792278" w:rsidP="001C37D1">
      <w:pPr>
        <w:spacing w:line="360" w:lineRule="auto"/>
        <w:ind w:left="1988" w:hanging="1988"/>
        <w:jc w:val="both"/>
        <w:rPr>
          <w:b/>
          <w:sz w:val="24"/>
          <w:lang w:val="en-US"/>
        </w:rPr>
      </w:pPr>
      <w:r w:rsidRPr="00647C00">
        <w:rPr>
          <w:b/>
          <w:sz w:val="24"/>
          <w:lang w:val="en-US"/>
        </w:rPr>
        <w:t xml:space="preserve">Agenda Item:       </w:t>
      </w:r>
      <w:r w:rsidR="00175723" w:rsidRPr="00E648A4">
        <w:rPr>
          <w:bCs/>
          <w:sz w:val="24"/>
          <w:lang w:val="en-US"/>
        </w:rPr>
        <w:t>7</w:t>
      </w:r>
      <w:r w:rsidR="00216F0A" w:rsidRPr="00E648A4">
        <w:rPr>
          <w:bCs/>
          <w:sz w:val="24"/>
          <w:lang w:val="en-US"/>
        </w:rPr>
        <w:t>.2</w:t>
      </w:r>
      <w:r w:rsidR="00E648A4" w:rsidRPr="00E648A4">
        <w:rPr>
          <w:bCs/>
          <w:sz w:val="24"/>
          <w:lang w:val="en-US"/>
        </w:rPr>
        <w:t>3</w:t>
      </w:r>
      <w:r w:rsidR="00216F0A" w:rsidRPr="00E648A4">
        <w:rPr>
          <w:bCs/>
          <w:sz w:val="24"/>
          <w:lang w:val="en-US"/>
        </w:rPr>
        <w:t>.2.3</w:t>
      </w:r>
    </w:p>
    <w:p w14:paraId="649EC1ED" w14:textId="385804EB" w:rsidR="00792278" w:rsidRPr="00647C00" w:rsidRDefault="00792278" w:rsidP="001C37D1">
      <w:pPr>
        <w:spacing w:line="360" w:lineRule="auto"/>
        <w:ind w:left="1988" w:hanging="1988"/>
        <w:jc w:val="both"/>
        <w:rPr>
          <w:bCs/>
          <w:sz w:val="24"/>
          <w:lang w:val="en-US"/>
        </w:rPr>
      </w:pPr>
      <w:r w:rsidRPr="00647C00">
        <w:rPr>
          <w:b/>
          <w:sz w:val="24"/>
          <w:lang w:val="en-US"/>
        </w:rPr>
        <w:t xml:space="preserve">Document for:     </w:t>
      </w:r>
      <w:r w:rsidRPr="00647C00">
        <w:rPr>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4" w:name="_Ref521334010"/>
      <w:bookmarkStart w:id="5" w:name="_Ref163021500"/>
      <w:r w:rsidRPr="006148EB">
        <w:rPr>
          <w:rFonts w:ascii="Times New Roman" w:hAnsi="Times New Roman"/>
          <w:b/>
          <w:bCs/>
        </w:rPr>
        <w:t>Introduction</w:t>
      </w:r>
      <w:bookmarkEnd w:id="4"/>
    </w:p>
    <w:p w14:paraId="5757D5AF" w14:textId="3208A035" w:rsidR="00847D95" w:rsidRPr="006F75D0" w:rsidRDefault="00847D95" w:rsidP="006C6637">
      <w:pPr>
        <w:spacing w:line="259" w:lineRule="auto"/>
        <w:jc w:val="both"/>
        <w:rPr>
          <w:rFonts w:eastAsia="Calibri"/>
          <w:color w:val="000000" w:themeColor="text1"/>
          <w:sz w:val="22"/>
          <w:szCs w:val="22"/>
          <w:lang w:val="en-US"/>
        </w:rPr>
      </w:pPr>
      <w:r w:rsidRPr="006F75D0">
        <w:rPr>
          <w:rFonts w:eastAsia="Calibri"/>
          <w:color w:val="000000" w:themeColor="text1"/>
          <w:sz w:val="22"/>
          <w:szCs w:val="22"/>
          <w:lang w:val="en-US"/>
        </w:rPr>
        <w:t>In the RAN4 #11</w:t>
      </w:r>
      <w:r w:rsidR="00F23DEB">
        <w:rPr>
          <w:rFonts w:eastAsia="Calibri"/>
          <w:color w:val="000000" w:themeColor="text1"/>
          <w:sz w:val="22"/>
          <w:szCs w:val="22"/>
          <w:lang w:val="en-US"/>
        </w:rPr>
        <w:t xml:space="preserve">4 </w:t>
      </w:r>
      <w:r w:rsidRPr="006F75D0">
        <w:rPr>
          <w:rFonts w:eastAsia="Calibri"/>
          <w:color w:val="000000" w:themeColor="text1"/>
          <w:sz w:val="22"/>
          <w:szCs w:val="22"/>
          <w:lang w:val="en-US"/>
        </w:rPr>
        <w:t>meeting</w:t>
      </w:r>
      <w:r w:rsidR="00AB545C" w:rsidRPr="006F75D0">
        <w:rPr>
          <w:rFonts w:eastAsia="Calibri"/>
          <w:color w:val="000000" w:themeColor="text1"/>
          <w:sz w:val="22"/>
          <w:szCs w:val="22"/>
          <w:lang w:val="en-US"/>
        </w:rPr>
        <w:t xml:space="preserve">, </w:t>
      </w:r>
      <w:r w:rsidRPr="006F75D0">
        <w:rPr>
          <w:rFonts w:eastAsia="Calibri"/>
          <w:color w:val="000000" w:themeColor="text1"/>
          <w:sz w:val="22"/>
          <w:szCs w:val="22"/>
          <w:lang w:val="en-US"/>
        </w:rPr>
        <w:t>RAN4 agreed to further study</w:t>
      </w:r>
      <w:r w:rsidR="00987D58" w:rsidRPr="006F75D0">
        <w:rPr>
          <w:rFonts w:eastAsia="Calibri"/>
          <w:color w:val="000000" w:themeColor="text1"/>
          <w:sz w:val="22"/>
          <w:szCs w:val="22"/>
          <w:lang w:val="en-US"/>
        </w:rPr>
        <w:t>, SBFD in-band blocking</w:t>
      </w:r>
      <w:r w:rsidR="00737AA6">
        <w:rPr>
          <w:rFonts w:eastAsia="Calibri"/>
          <w:color w:val="000000" w:themeColor="text1"/>
          <w:sz w:val="22"/>
          <w:szCs w:val="22"/>
          <w:lang w:val="en-US"/>
        </w:rPr>
        <w:t>.</w:t>
      </w:r>
      <w:r w:rsidR="00B15298">
        <w:rPr>
          <w:rFonts w:eastAsia="Calibri"/>
          <w:color w:val="000000" w:themeColor="text1"/>
          <w:sz w:val="22"/>
          <w:szCs w:val="22"/>
          <w:lang w:val="en-US"/>
        </w:rPr>
        <w:t xml:space="preserve"> </w:t>
      </w:r>
    </w:p>
    <w:p w14:paraId="3D187333" w14:textId="10D0B15E" w:rsidR="003A4B9D" w:rsidRPr="006148EB" w:rsidRDefault="008F508F" w:rsidP="003A4B9D">
      <w:pPr>
        <w:pStyle w:val="Heading1"/>
        <w:rPr>
          <w:rFonts w:ascii="Times New Roman" w:hAnsi="Times New Roman"/>
          <w:b/>
          <w:bCs/>
        </w:rPr>
      </w:pPr>
      <w:r w:rsidRPr="006148EB">
        <w:rPr>
          <w:rFonts w:ascii="Times New Roman" w:hAnsi="Times New Roman"/>
          <w:b/>
          <w:bCs/>
        </w:rPr>
        <w:t>Discussion</w:t>
      </w:r>
    </w:p>
    <w:p w14:paraId="63695277" w14:textId="77777777" w:rsidR="00243898" w:rsidRPr="006148EB" w:rsidRDefault="00243898" w:rsidP="00243898">
      <w:pPr>
        <w:pStyle w:val="Heading2"/>
        <w:spacing w:line="259" w:lineRule="auto"/>
        <w:ind w:left="1276" w:hanging="708"/>
        <w:jc w:val="left"/>
        <w:rPr>
          <w:rFonts w:ascii="Times New Roman" w:hAnsi="Times New Roman"/>
          <w:b/>
          <w:bCs/>
        </w:rPr>
      </w:pPr>
      <w:bookmarkStart w:id="6" w:name="_Hlk178587788"/>
      <w:r w:rsidRPr="006148EB">
        <w:rPr>
          <w:rFonts w:ascii="Times New Roman" w:hAnsi="Times New Roman"/>
          <w:b/>
          <w:bCs/>
        </w:rPr>
        <w:t>SBFD in-band blocking</w:t>
      </w:r>
    </w:p>
    <w:bookmarkEnd w:id="6"/>
    <w:p w14:paraId="1D97CB92" w14:textId="77777777" w:rsidR="00243898" w:rsidRPr="00647C00" w:rsidRDefault="00243898" w:rsidP="00243898"/>
    <w:p w14:paraId="7D12468A" w14:textId="34DA7449" w:rsidR="00A73EC8" w:rsidRPr="00647C00" w:rsidRDefault="00A73EC8" w:rsidP="00A73EC8">
      <w:pPr>
        <w:spacing w:line="256" w:lineRule="auto"/>
        <w:jc w:val="both"/>
        <w:rPr>
          <w:rFonts w:eastAsia="Calibri"/>
          <w:color w:val="000000" w:themeColor="text1"/>
          <w:sz w:val="22"/>
          <w:szCs w:val="22"/>
          <w:lang w:val="en-US"/>
        </w:rPr>
      </w:pPr>
      <w:r w:rsidRPr="00647C00">
        <w:rPr>
          <w:rFonts w:eastAsia="Calibri"/>
          <w:color w:val="000000" w:themeColor="text1"/>
          <w:sz w:val="22"/>
          <w:szCs w:val="22"/>
          <w:lang w:val="en-US"/>
        </w:rPr>
        <w:t>In the RAN4 #11</w:t>
      </w:r>
      <w:r w:rsidR="00F23DEB">
        <w:rPr>
          <w:rFonts w:eastAsia="Calibri"/>
          <w:color w:val="000000" w:themeColor="text1"/>
          <w:sz w:val="22"/>
          <w:szCs w:val="22"/>
          <w:lang w:val="en-US"/>
        </w:rPr>
        <w:t>4</w:t>
      </w:r>
      <w:r w:rsidRPr="00647C00">
        <w:rPr>
          <w:rFonts w:eastAsia="Calibri"/>
          <w:color w:val="000000" w:themeColor="text1"/>
          <w:sz w:val="22"/>
          <w:szCs w:val="22"/>
          <w:lang w:val="en-US"/>
        </w:rPr>
        <w:t xml:space="preserve"> agreed to further study BS receiver in-band blocking with following agreement and WF [1].</w:t>
      </w:r>
    </w:p>
    <w:p w14:paraId="41290C27" w14:textId="77777777" w:rsidR="00A73EC8" w:rsidRPr="00647C00" w:rsidRDefault="00A73EC8" w:rsidP="00A73EC8">
      <w:pPr>
        <w:spacing w:line="256" w:lineRule="auto"/>
        <w:jc w:val="both"/>
        <w:rPr>
          <w:rFonts w:eastAsia="Calibri"/>
          <w:color w:val="000000" w:themeColor="text1"/>
          <w:sz w:val="22"/>
          <w:szCs w:val="22"/>
          <w:lang w:val="en-US"/>
        </w:rPr>
      </w:pPr>
    </w:p>
    <w:tbl>
      <w:tblPr>
        <w:tblStyle w:val="TableGrid"/>
        <w:tblW w:w="9409" w:type="dxa"/>
        <w:tblLook w:val="04A0" w:firstRow="1" w:lastRow="0" w:firstColumn="1" w:lastColumn="0" w:noHBand="0" w:noVBand="1"/>
      </w:tblPr>
      <w:tblGrid>
        <w:gridCol w:w="9409"/>
      </w:tblGrid>
      <w:tr w:rsidR="00A73EC8" w:rsidRPr="00F23DEB" w14:paraId="7C487C6C" w14:textId="77777777" w:rsidTr="366E2E41">
        <w:trPr>
          <w:trHeight w:val="699"/>
        </w:trPr>
        <w:tc>
          <w:tcPr>
            <w:tcW w:w="9409" w:type="dxa"/>
            <w:tcBorders>
              <w:top w:val="single" w:sz="4" w:space="0" w:color="auto"/>
              <w:left w:val="single" w:sz="4" w:space="0" w:color="auto"/>
              <w:bottom w:val="single" w:sz="4" w:space="0" w:color="auto"/>
              <w:right w:val="single" w:sz="4" w:space="0" w:color="auto"/>
            </w:tcBorders>
          </w:tcPr>
          <w:p w14:paraId="7840E848" w14:textId="77777777" w:rsidR="00F23DEB" w:rsidRPr="00F23DEB" w:rsidRDefault="00F23DEB" w:rsidP="00F23DEB">
            <w:pPr>
              <w:rPr>
                <w:b/>
                <w:bCs/>
              </w:rPr>
            </w:pPr>
            <w:r w:rsidRPr="00F23DEB">
              <w:rPr>
                <w:b/>
                <w:bCs/>
              </w:rPr>
              <w:t xml:space="preserve">WF: </w:t>
            </w:r>
          </w:p>
          <w:p w14:paraId="6D1BFF66" w14:textId="77777777" w:rsidR="00F23DEB" w:rsidRPr="00F23DEB" w:rsidRDefault="00F23DEB" w:rsidP="004D47E6">
            <w:pPr>
              <w:pStyle w:val="ListParagraph"/>
              <w:numPr>
                <w:ilvl w:val="0"/>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hAnsi="Times New Roman"/>
              </w:rPr>
              <w:t>For FR2-1 WA SBFD BS, FFS re-use the current FR2-1 WA BS in-band blocking requirements.</w:t>
            </w:r>
          </w:p>
          <w:p w14:paraId="6621E5F6" w14:textId="77777777" w:rsidR="00F23DEB" w:rsidRPr="00F23DEB" w:rsidRDefault="00F23DEB" w:rsidP="004D47E6">
            <w:pPr>
              <w:pStyle w:val="ListParagraph"/>
              <w:numPr>
                <w:ilvl w:val="0"/>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hAnsi="Times New Roman"/>
              </w:rPr>
              <w:t xml:space="preserve">For FR1 WA BS, define </w:t>
            </w:r>
            <w:r w:rsidRPr="00F23DEB">
              <w:rPr>
                <w:rFonts w:ascii="Times New Roman" w:eastAsiaTheme="minorEastAsia" w:hAnsi="Times New Roman"/>
              </w:rPr>
              <w:t xml:space="preserve">the </w:t>
            </w:r>
            <w:r w:rsidRPr="00F23DEB">
              <w:rPr>
                <w:rFonts w:ascii="Times New Roman" w:hAnsi="Times New Roman"/>
              </w:rPr>
              <w:t>in-band blocking requirement, FFS on following options. Other options are not precluded.</w:t>
            </w:r>
          </w:p>
          <w:p w14:paraId="3D7FFC96" w14:textId="77777777" w:rsidR="00F23DEB" w:rsidRPr="00F23DEB" w:rsidRDefault="00F23DEB" w:rsidP="004D47E6">
            <w:pPr>
              <w:pStyle w:val="ListParagraph"/>
              <w:numPr>
                <w:ilvl w:val="1"/>
                <w:numId w:val="33"/>
              </w:numPr>
              <w:overflowPunct w:val="0"/>
              <w:autoSpaceDE w:val="0"/>
              <w:autoSpaceDN w:val="0"/>
              <w:adjustRightInd w:val="0"/>
              <w:spacing w:after="180"/>
              <w:jc w:val="both"/>
              <w:textAlignment w:val="baseline"/>
              <w:rPr>
                <w:rFonts w:ascii="Times New Roman" w:hAnsi="Times New Roman"/>
              </w:rPr>
            </w:pPr>
            <w:r w:rsidRPr="366E2E41">
              <w:rPr>
                <w:rFonts w:ascii="Times New Roman" w:hAnsi="Times New Roman"/>
              </w:rPr>
              <w:t xml:space="preserve">Option 1: Define the requirement by selecting one of the following grid-shift values. Additional </w:t>
            </w:r>
            <w:r w:rsidRPr="366E2E41">
              <w:rPr>
                <w:rFonts w:ascii="Times New Roman" w:eastAsia="SimSun" w:hAnsi="Times New Roman"/>
              </w:rPr>
              <w:t xml:space="preserve">emission </w:t>
            </w:r>
            <w:bookmarkStart w:id="7" w:name="_Int_TXik7csr"/>
            <w:r w:rsidRPr="366E2E41">
              <w:rPr>
                <w:rFonts w:ascii="Times New Roman" w:eastAsia="SimSun" w:hAnsi="Times New Roman"/>
              </w:rPr>
              <w:t>issue is</w:t>
            </w:r>
            <w:bookmarkEnd w:id="7"/>
            <w:r w:rsidRPr="366E2E41">
              <w:rPr>
                <w:rFonts w:ascii="Times New Roman" w:eastAsia="SimSun" w:hAnsi="Times New Roman"/>
              </w:rPr>
              <w:t xml:space="preserve"> not included in this release. If regulators </w:t>
            </w:r>
            <w:bookmarkStart w:id="8" w:name="_Int_WG0WrHam"/>
            <w:r w:rsidRPr="366E2E41">
              <w:rPr>
                <w:rFonts w:ascii="Times New Roman" w:eastAsia="SimSun" w:hAnsi="Times New Roman"/>
              </w:rPr>
              <w:t>make a decision</w:t>
            </w:r>
            <w:bookmarkEnd w:id="8"/>
            <w:r w:rsidRPr="366E2E41">
              <w:rPr>
                <w:rFonts w:ascii="Times New Roman" w:eastAsia="SimSun" w:hAnsi="Times New Roman"/>
              </w:rPr>
              <w:t xml:space="preserve"> to require SBFD on adjacent operators in a band, a future WI </w:t>
            </w:r>
            <w:bookmarkStart w:id="9" w:name="_Int_hKLRLDOM"/>
            <w:r w:rsidRPr="366E2E41">
              <w:rPr>
                <w:rFonts w:ascii="Times New Roman" w:eastAsia="SimSun" w:hAnsi="Times New Roman"/>
              </w:rPr>
              <w:t>would</w:t>
            </w:r>
            <w:bookmarkEnd w:id="9"/>
            <w:r w:rsidRPr="366E2E41">
              <w:rPr>
                <w:rFonts w:ascii="Times New Roman" w:eastAsia="SimSun" w:hAnsi="Times New Roman"/>
              </w:rPr>
              <w:t xml:space="preserve"> address necessary emissions and blocking requirements for the SBFD-SBFD adjacent operator scenario</w:t>
            </w:r>
            <w:r w:rsidRPr="366E2E41">
              <w:rPr>
                <w:rFonts w:ascii="Times New Roman" w:hAnsi="Times New Roman"/>
              </w:rPr>
              <w:t>.</w:t>
            </w:r>
          </w:p>
          <w:p w14:paraId="7209E7BF" w14:textId="77777777" w:rsidR="00F23DEB" w:rsidRPr="00F23DEB" w:rsidRDefault="00F23DEB" w:rsidP="004D47E6">
            <w:pPr>
              <w:pStyle w:val="ListParagraph"/>
              <w:numPr>
                <w:ilvl w:val="2"/>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eastAsiaTheme="minorEastAsia" w:hAnsi="Times New Roman"/>
              </w:rPr>
              <w:t>Option A: 20%</w:t>
            </w:r>
          </w:p>
          <w:p w14:paraId="010C81C0" w14:textId="77777777" w:rsidR="00F23DEB" w:rsidRPr="00F23DEB" w:rsidRDefault="00F23DEB" w:rsidP="004D47E6">
            <w:pPr>
              <w:pStyle w:val="ListParagraph"/>
              <w:numPr>
                <w:ilvl w:val="2"/>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eastAsiaTheme="minorEastAsia" w:hAnsi="Times New Roman"/>
              </w:rPr>
              <w:t>Option B: 50%</w:t>
            </w:r>
          </w:p>
          <w:p w14:paraId="57DA63DD" w14:textId="77777777" w:rsidR="00F23DEB" w:rsidRPr="00F23DEB" w:rsidRDefault="00F23DEB" w:rsidP="004D47E6">
            <w:pPr>
              <w:pStyle w:val="ListParagraph"/>
              <w:numPr>
                <w:ilvl w:val="1"/>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hAnsi="Times New Roman"/>
              </w:rPr>
              <w:t>Option 2: Define general requirements for SBFD-TDD adjacent operator scenario. Define a</w:t>
            </w:r>
            <w:r w:rsidRPr="00F23DEB">
              <w:rPr>
                <w:rFonts w:ascii="Times New Roman" w:eastAsiaTheme="minorEastAsia" w:hAnsi="Times New Roman"/>
              </w:rPr>
              <w:t>n</w:t>
            </w:r>
            <w:r w:rsidRPr="00F23DEB">
              <w:rPr>
                <w:rFonts w:ascii="Times New Roman" w:hAnsi="Times New Roman"/>
              </w:rPr>
              <w:t xml:space="preserve"> </w:t>
            </w:r>
            <w:r w:rsidRPr="00F23DEB">
              <w:rPr>
                <w:rFonts w:ascii="Times New Roman" w:eastAsiaTheme="minorEastAsia" w:hAnsi="Times New Roman"/>
              </w:rPr>
              <w:t>additional</w:t>
            </w:r>
            <w:r w:rsidRPr="00F23DEB">
              <w:rPr>
                <w:rFonts w:ascii="Times New Roman" w:hAnsi="Times New Roman"/>
              </w:rPr>
              <w:t xml:space="preserve"> in-band blocking requirement and additional emission to address SBFD-SBFD adjacent operator scenario.</w:t>
            </w:r>
          </w:p>
          <w:p w14:paraId="7035E934" w14:textId="77777777" w:rsidR="00F23DEB" w:rsidRPr="00F23DEB" w:rsidRDefault="00F23DEB" w:rsidP="004D47E6">
            <w:pPr>
              <w:pStyle w:val="ListParagraph"/>
              <w:numPr>
                <w:ilvl w:val="1"/>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hAnsi="Times New Roman"/>
              </w:rPr>
              <w:t>Option 3: Define in-band blocking requirements based on co-existence simulation results with grid-shift 5%.</w:t>
            </w:r>
          </w:p>
          <w:p w14:paraId="5F4065FA" w14:textId="77777777" w:rsidR="00F23DEB" w:rsidRPr="00F23DEB" w:rsidRDefault="00F23DEB" w:rsidP="004D47E6">
            <w:pPr>
              <w:pStyle w:val="ListParagraph"/>
              <w:numPr>
                <w:ilvl w:val="1"/>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eastAsiaTheme="minorEastAsia" w:hAnsi="Times New Roman"/>
              </w:rPr>
              <w:t xml:space="preserve">Option 4: </w:t>
            </w:r>
            <w:r w:rsidRPr="00F23DEB">
              <w:rPr>
                <w:rFonts w:ascii="Times New Roman" w:hAnsi="Times New Roman"/>
              </w:rPr>
              <w:t xml:space="preserve">Define in-band blocking requirements based on co-existence simulation results with grid-shift </w:t>
            </w:r>
            <w:r w:rsidRPr="00F23DEB">
              <w:rPr>
                <w:rFonts w:ascii="Times New Roman" w:eastAsiaTheme="minorEastAsia" w:hAnsi="Times New Roman"/>
              </w:rPr>
              <w:t>100</w:t>
            </w:r>
            <w:r w:rsidRPr="00F23DEB">
              <w:rPr>
                <w:rFonts w:ascii="Times New Roman" w:hAnsi="Times New Roman"/>
              </w:rPr>
              <w:t>%.</w:t>
            </w:r>
          </w:p>
          <w:p w14:paraId="387F0751" w14:textId="46609061" w:rsidR="00A73EC8" w:rsidRPr="00F23DEB" w:rsidRDefault="00F23DEB" w:rsidP="004D47E6">
            <w:pPr>
              <w:pStyle w:val="ListParagraph"/>
              <w:numPr>
                <w:ilvl w:val="0"/>
                <w:numId w:val="33"/>
              </w:numPr>
              <w:overflowPunct w:val="0"/>
              <w:autoSpaceDE w:val="0"/>
              <w:autoSpaceDN w:val="0"/>
              <w:adjustRightInd w:val="0"/>
              <w:spacing w:after="180"/>
              <w:jc w:val="both"/>
              <w:textAlignment w:val="baseline"/>
              <w:rPr>
                <w:rFonts w:ascii="Times New Roman" w:hAnsi="Times New Roman"/>
              </w:rPr>
            </w:pPr>
            <w:r w:rsidRPr="00F23DEB">
              <w:rPr>
                <w:rFonts w:ascii="Times New Roman" w:hAnsi="Times New Roman"/>
              </w:rPr>
              <w:t>For FR1 MR SBFD BS, FFS.</w:t>
            </w:r>
          </w:p>
        </w:tc>
      </w:tr>
    </w:tbl>
    <w:p w14:paraId="03DA3ED0" w14:textId="77777777" w:rsidR="00A73EC8" w:rsidRPr="008356EB" w:rsidRDefault="00A73EC8" w:rsidP="00A73EC8">
      <w:pPr>
        <w:spacing w:line="256" w:lineRule="auto"/>
        <w:jc w:val="both"/>
        <w:rPr>
          <w:rFonts w:eastAsia="Calibri"/>
          <w:color w:val="000000" w:themeColor="text1"/>
          <w:sz w:val="22"/>
          <w:szCs w:val="22"/>
          <w:lang w:val="en-US"/>
        </w:rPr>
      </w:pPr>
    </w:p>
    <w:p w14:paraId="66A8638A" w14:textId="694BC9EF" w:rsidR="00A73EC8" w:rsidRDefault="00353A8E" w:rsidP="00A73EC8">
      <w:pPr>
        <w:jc w:val="both"/>
        <w:rPr>
          <w:rFonts w:eastAsia="Times New Roman"/>
          <w:sz w:val="22"/>
          <w:szCs w:val="22"/>
        </w:rPr>
      </w:pPr>
      <w:r w:rsidRPr="00A63879">
        <w:rPr>
          <w:rFonts w:eastAsia="Times New Roman"/>
          <w:sz w:val="22"/>
          <w:szCs w:val="22"/>
        </w:rPr>
        <w:lastRenderedPageBreak/>
        <w:t xml:space="preserve">The </w:t>
      </w:r>
      <w:r w:rsidR="009274FB" w:rsidRPr="009274FB">
        <w:rPr>
          <w:rFonts w:eastAsia="Times New Roman"/>
          <w:sz w:val="22"/>
          <w:szCs w:val="22"/>
        </w:rPr>
        <w:t>For FR1 WA BS,</w:t>
      </w:r>
      <w:r w:rsidR="009274FB">
        <w:rPr>
          <w:rFonts w:eastAsia="Times New Roman"/>
          <w:sz w:val="22"/>
          <w:szCs w:val="22"/>
        </w:rPr>
        <w:t xml:space="preserve"> </w:t>
      </w:r>
      <w:r w:rsidRPr="00A63879">
        <w:rPr>
          <w:rFonts w:eastAsia="Times New Roman"/>
          <w:sz w:val="22"/>
          <w:szCs w:val="22"/>
        </w:rPr>
        <w:t xml:space="preserve">SBFD in-band blocking simulation findings from our company are included in this contribution, </w:t>
      </w:r>
      <w:r w:rsidR="009274FB" w:rsidRPr="009274FB">
        <w:rPr>
          <w:rFonts w:eastAsiaTheme="minorEastAsia"/>
        </w:rPr>
        <w:t>a unified blocking requirement to consider both scenarios</w:t>
      </w:r>
      <w:r w:rsidR="007E16D5">
        <w:rPr>
          <w:rFonts w:eastAsia="Times New Roman"/>
          <w:sz w:val="22"/>
          <w:szCs w:val="22"/>
        </w:rPr>
        <w:t xml:space="preserve"> </w:t>
      </w:r>
      <w:r w:rsidRPr="00A63879">
        <w:rPr>
          <w:rFonts w:eastAsia="Times New Roman"/>
          <w:sz w:val="22"/>
          <w:szCs w:val="22"/>
        </w:rPr>
        <w:t>and down-selected grid-shift values of 10% and 100%.</w:t>
      </w:r>
    </w:p>
    <w:p w14:paraId="0E65B148" w14:textId="77777777" w:rsidR="00243898" w:rsidRPr="0079524A" w:rsidRDefault="00243898" w:rsidP="00243898">
      <w:pPr>
        <w:jc w:val="both"/>
        <w:rPr>
          <w:sz w:val="2"/>
          <w:szCs w:val="10"/>
        </w:rPr>
      </w:pPr>
    </w:p>
    <w:p w14:paraId="3999FDEA" w14:textId="77777777" w:rsidR="00A73EC8" w:rsidRPr="00647C00" w:rsidRDefault="00A73EC8" w:rsidP="00013003">
      <w:pPr>
        <w:pStyle w:val="Heading3"/>
        <w:ind w:left="709"/>
        <w:rPr>
          <w:rFonts w:ascii="Times New Roman" w:hAnsi="Times New Roman"/>
          <w:b/>
          <w:bCs/>
        </w:rPr>
      </w:pPr>
      <w:r w:rsidRPr="00647C00">
        <w:rPr>
          <w:rFonts w:ascii="Times New Roman" w:hAnsi="Times New Roman"/>
          <w:b/>
          <w:bCs/>
        </w:rPr>
        <w:t>Simulation Assumptions</w:t>
      </w:r>
    </w:p>
    <w:p w14:paraId="4224FE7B" w14:textId="7AFDDC14" w:rsidR="00A73EC8" w:rsidRDefault="70ED7F5F" w:rsidP="003B1708">
      <w:pPr>
        <w:tabs>
          <w:tab w:val="left" w:pos="3969"/>
        </w:tabs>
        <w:jc w:val="both"/>
        <w:rPr>
          <w:sz w:val="22"/>
          <w:szCs w:val="22"/>
        </w:rPr>
      </w:pPr>
      <w:r w:rsidRPr="0CDA97C4">
        <w:rPr>
          <w:sz w:val="22"/>
          <w:szCs w:val="22"/>
        </w:rPr>
        <w:t>Based</w:t>
      </w:r>
      <w:r w:rsidR="2B1EE652" w:rsidRPr="0CDA97C4">
        <w:rPr>
          <w:sz w:val="22"/>
          <w:szCs w:val="22"/>
        </w:rPr>
        <w:t xml:space="preserve"> on the WF captured in [1], we have </w:t>
      </w:r>
      <w:r w:rsidR="003B4CFD" w:rsidRPr="0CDA97C4">
        <w:rPr>
          <w:sz w:val="22"/>
          <w:szCs w:val="22"/>
        </w:rPr>
        <w:t>analysed</w:t>
      </w:r>
      <w:r w:rsidR="2B1EE652" w:rsidRPr="0CDA97C4">
        <w:rPr>
          <w:sz w:val="22"/>
          <w:szCs w:val="22"/>
        </w:rPr>
        <w:t xml:space="preserve"> the following scenarios: TDD DL (aggressor) to SBFD UL </w:t>
      </w:r>
      <w:r w:rsidR="00EE5BB0" w:rsidRPr="0CDA97C4">
        <w:rPr>
          <w:sz w:val="22"/>
          <w:szCs w:val="22"/>
        </w:rPr>
        <w:t>sub band</w:t>
      </w:r>
      <w:r w:rsidR="2B1EE652" w:rsidRPr="0CDA97C4">
        <w:rPr>
          <w:sz w:val="22"/>
          <w:szCs w:val="22"/>
        </w:rPr>
        <w:t xml:space="preserve">, and SBFD DL (aggressor) to SBFD UL </w:t>
      </w:r>
      <w:r w:rsidR="00EE5BB0" w:rsidRPr="0CDA97C4">
        <w:rPr>
          <w:sz w:val="22"/>
          <w:szCs w:val="22"/>
        </w:rPr>
        <w:t>sub band</w:t>
      </w:r>
      <w:r w:rsidR="2B1EE652" w:rsidRPr="0CDA97C4">
        <w:rPr>
          <w:sz w:val="22"/>
          <w:szCs w:val="22"/>
        </w:rPr>
        <w:t>. The objective is to measure the in-band blocking power at the SBFD base stations.</w:t>
      </w:r>
      <w:r w:rsidR="559161D7" w:rsidRPr="0CDA97C4">
        <w:rPr>
          <w:sz w:val="22"/>
          <w:szCs w:val="22"/>
        </w:rPr>
        <w:t xml:space="preserve"> </w:t>
      </w:r>
      <w:r w:rsidR="2B1EE652" w:rsidRPr="0CDA97C4">
        <w:rPr>
          <w:sz w:val="22"/>
          <w:szCs w:val="22"/>
        </w:rPr>
        <w:t>Table 1 presents the co-existence scenarios considered, while Table 2 outlines the configuration used for the adjacent channel co-existence case in the simulation.</w:t>
      </w:r>
    </w:p>
    <w:p w14:paraId="4B8936C1" w14:textId="77777777" w:rsidR="005E5E3D" w:rsidRPr="0079524A" w:rsidRDefault="005E5E3D" w:rsidP="003B1708">
      <w:pPr>
        <w:tabs>
          <w:tab w:val="left" w:pos="3969"/>
        </w:tabs>
        <w:jc w:val="both"/>
        <w:rPr>
          <w:sz w:val="10"/>
          <w:szCs w:val="10"/>
        </w:rPr>
      </w:pPr>
    </w:p>
    <w:p w14:paraId="4E5C78BF" w14:textId="664BBCB4" w:rsidR="00E4647F" w:rsidRPr="00647C00" w:rsidRDefault="00E4647F" w:rsidP="00E4647F">
      <w:pPr>
        <w:pStyle w:val="TH"/>
        <w:rPr>
          <w:rFonts w:ascii="Times New Roman" w:hAnsi="Times New Roman"/>
        </w:rPr>
      </w:pPr>
      <w:r w:rsidRPr="00647C00">
        <w:rPr>
          <w:rFonts w:ascii="Times New Roman" w:hAnsi="Times New Roman"/>
        </w:rPr>
        <w:t xml:space="preserve">Table 1:  </w:t>
      </w:r>
      <w:r w:rsidR="0018341D">
        <w:rPr>
          <w:rFonts w:ascii="Times New Roman" w:hAnsi="Times New Roman"/>
        </w:rPr>
        <w:t>C</w:t>
      </w:r>
      <w:r w:rsidRPr="00647C00">
        <w:rPr>
          <w:rFonts w:ascii="Times New Roman" w:hAnsi="Times New Roman"/>
        </w:rPr>
        <w:t>o-existence Scenario considered for the simulation</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4"/>
        <w:gridCol w:w="1215"/>
        <w:gridCol w:w="1591"/>
        <w:gridCol w:w="1729"/>
        <w:gridCol w:w="3097"/>
      </w:tblGrid>
      <w:tr w:rsidR="00A73EC8" w:rsidRPr="00647C00" w14:paraId="38EBB258" w14:textId="77777777" w:rsidTr="00A73EC8">
        <w:trPr>
          <w:tblHeader/>
          <w:jc w:val="center"/>
        </w:trPr>
        <w:tc>
          <w:tcPr>
            <w:tcW w:w="917" w:type="pct"/>
            <w:tcBorders>
              <w:top w:val="single" w:sz="4" w:space="0" w:color="auto"/>
              <w:left w:val="single" w:sz="4" w:space="0" w:color="auto"/>
              <w:bottom w:val="single" w:sz="4" w:space="0" w:color="auto"/>
              <w:right w:val="single" w:sz="4" w:space="0" w:color="auto"/>
            </w:tcBorders>
            <w:hideMark/>
          </w:tcPr>
          <w:p w14:paraId="5CF00322" w14:textId="77777777" w:rsidR="00A73EC8" w:rsidRPr="00647C00" w:rsidRDefault="00A73EC8">
            <w:pPr>
              <w:pStyle w:val="TAH"/>
              <w:rPr>
                <w:rFonts w:ascii="Times New Roman" w:hAnsi="Times New Roman"/>
              </w:rPr>
            </w:pPr>
            <w:r w:rsidRPr="00647C00">
              <w:rPr>
                <w:rFonts w:ascii="Times New Roman" w:hAnsi="Times New Roman"/>
              </w:rPr>
              <w:t>Scenario</w:t>
            </w:r>
          </w:p>
        </w:tc>
        <w:tc>
          <w:tcPr>
            <w:tcW w:w="650" w:type="pct"/>
            <w:tcBorders>
              <w:top w:val="single" w:sz="4" w:space="0" w:color="auto"/>
              <w:left w:val="single" w:sz="4" w:space="0" w:color="auto"/>
              <w:bottom w:val="single" w:sz="4" w:space="0" w:color="auto"/>
              <w:right w:val="single" w:sz="4" w:space="0" w:color="auto"/>
            </w:tcBorders>
            <w:hideMark/>
          </w:tcPr>
          <w:p w14:paraId="7EB50AC3" w14:textId="77777777" w:rsidR="00A73EC8" w:rsidRPr="00647C00" w:rsidRDefault="00A73EC8">
            <w:pPr>
              <w:pStyle w:val="TAH"/>
              <w:rPr>
                <w:rFonts w:ascii="Times New Roman" w:hAnsi="Times New Roman"/>
              </w:rPr>
            </w:pPr>
            <w:r w:rsidRPr="00647C00">
              <w:rPr>
                <w:rFonts w:ascii="Times New Roman" w:hAnsi="Times New Roman"/>
              </w:rPr>
              <w:t>FR</w:t>
            </w:r>
          </w:p>
        </w:tc>
        <w:tc>
          <w:tcPr>
            <w:tcW w:w="851" w:type="pct"/>
            <w:tcBorders>
              <w:top w:val="single" w:sz="4" w:space="0" w:color="auto"/>
              <w:left w:val="single" w:sz="4" w:space="0" w:color="auto"/>
              <w:bottom w:val="single" w:sz="4" w:space="0" w:color="auto"/>
              <w:right w:val="single" w:sz="4" w:space="0" w:color="auto"/>
            </w:tcBorders>
            <w:hideMark/>
          </w:tcPr>
          <w:p w14:paraId="026ACBC3" w14:textId="77777777" w:rsidR="00A73EC8" w:rsidRPr="00647C00" w:rsidRDefault="00A73EC8">
            <w:pPr>
              <w:pStyle w:val="TAH"/>
              <w:rPr>
                <w:rFonts w:ascii="Times New Roman" w:hAnsi="Times New Roman"/>
              </w:rPr>
            </w:pPr>
            <w:r w:rsidRPr="00647C00">
              <w:rPr>
                <w:rFonts w:ascii="Times New Roman" w:hAnsi="Times New Roman"/>
              </w:rPr>
              <w:t>Aggressor</w:t>
            </w:r>
          </w:p>
        </w:tc>
        <w:tc>
          <w:tcPr>
            <w:tcW w:w="925" w:type="pct"/>
            <w:tcBorders>
              <w:top w:val="single" w:sz="4" w:space="0" w:color="auto"/>
              <w:left w:val="single" w:sz="4" w:space="0" w:color="auto"/>
              <w:bottom w:val="single" w:sz="4" w:space="0" w:color="auto"/>
              <w:right w:val="single" w:sz="4" w:space="0" w:color="auto"/>
            </w:tcBorders>
            <w:hideMark/>
          </w:tcPr>
          <w:p w14:paraId="5617A120" w14:textId="77777777" w:rsidR="00A73EC8" w:rsidRPr="00647C00" w:rsidRDefault="00A73EC8">
            <w:pPr>
              <w:pStyle w:val="TAH"/>
              <w:rPr>
                <w:rFonts w:ascii="Times New Roman" w:hAnsi="Times New Roman"/>
              </w:rPr>
            </w:pPr>
            <w:r w:rsidRPr="00647C00">
              <w:rPr>
                <w:rFonts w:ascii="Times New Roman" w:hAnsi="Times New Roman"/>
              </w:rPr>
              <w:t>Victim</w:t>
            </w:r>
          </w:p>
        </w:tc>
        <w:tc>
          <w:tcPr>
            <w:tcW w:w="1657" w:type="pct"/>
            <w:tcBorders>
              <w:top w:val="single" w:sz="4" w:space="0" w:color="auto"/>
              <w:left w:val="single" w:sz="4" w:space="0" w:color="auto"/>
              <w:bottom w:val="single" w:sz="4" w:space="0" w:color="auto"/>
              <w:right w:val="single" w:sz="4" w:space="0" w:color="auto"/>
            </w:tcBorders>
            <w:hideMark/>
          </w:tcPr>
          <w:p w14:paraId="638D25B0" w14:textId="77777777" w:rsidR="00A73EC8" w:rsidRPr="00647C00" w:rsidRDefault="00A73EC8">
            <w:pPr>
              <w:pStyle w:val="TAH"/>
              <w:rPr>
                <w:rFonts w:ascii="Times New Roman" w:hAnsi="Times New Roman"/>
              </w:rPr>
            </w:pPr>
            <w:r w:rsidRPr="00647C00">
              <w:rPr>
                <w:rFonts w:ascii="Times New Roman" w:hAnsi="Times New Roman"/>
              </w:rPr>
              <w:t>Corresponding BS class</w:t>
            </w:r>
          </w:p>
        </w:tc>
      </w:tr>
      <w:tr w:rsidR="00A73EC8" w:rsidRPr="00647C00" w14:paraId="122B355B" w14:textId="77777777" w:rsidTr="00A73EC8">
        <w:trPr>
          <w:jc w:val="center"/>
        </w:trPr>
        <w:tc>
          <w:tcPr>
            <w:tcW w:w="917" w:type="pct"/>
            <w:tcBorders>
              <w:top w:val="single" w:sz="4" w:space="0" w:color="auto"/>
              <w:left w:val="single" w:sz="4" w:space="0" w:color="auto"/>
              <w:bottom w:val="single" w:sz="4" w:space="0" w:color="auto"/>
              <w:right w:val="single" w:sz="4" w:space="0" w:color="auto"/>
            </w:tcBorders>
            <w:hideMark/>
          </w:tcPr>
          <w:p w14:paraId="4525B8E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1</w:t>
            </w:r>
          </w:p>
        </w:tc>
        <w:tc>
          <w:tcPr>
            <w:tcW w:w="650" w:type="pct"/>
            <w:tcBorders>
              <w:top w:val="single" w:sz="4" w:space="0" w:color="auto"/>
              <w:left w:val="single" w:sz="4" w:space="0" w:color="auto"/>
              <w:bottom w:val="single" w:sz="4" w:space="0" w:color="auto"/>
              <w:right w:val="single" w:sz="4" w:space="0" w:color="auto"/>
            </w:tcBorders>
            <w:hideMark/>
          </w:tcPr>
          <w:p w14:paraId="53335513"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FR1</w:t>
            </w:r>
          </w:p>
        </w:tc>
        <w:tc>
          <w:tcPr>
            <w:tcW w:w="851" w:type="pct"/>
            <w:tcBorders>
              <w:top w:val="single" w:sz="4" w:space="0" w:color="auto"/>
              <w:left w:val="single" w:sz="4" w:space="0" w:color="auto"/>
              <w:bottom w:val="single" w:sz="4" w:space="0" w:color="auto"/>
              <w:right w:val="single" w:sz="4" w:space="0" w:color="auto"/>
            </w:tcBorders>
            <w:hideMark/>
          </w:tcPr>
          <w:p w14:paraId="7353ADF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925" w:type="pct"/>
            <w:tcBorders>
              <w:top w:val="single" w:sz="4" w:space="0" w:color="auto"/>
              <w:left w:val="single" w:sz="4" w:space="0" w:color="auto"/>
              <w:bottom w:val="single" w:sz="4" w:space="0" w:color="auto"/>
              <w:right w:val="single" w:sz="4" w:space="0" w:color="auto"/>
            </w:tcBorders>
            <w:hideMark/>
          </w:tcPr>
          <w:p w14:paraId="6C45C46E"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1657" w:type="pct"/>
            <w:tcBorders>
              <w:top w:val="single" w:sz="4" w:space="0" w:color="auto"/>
              <w:left w:val="single" w:sz="4" w:space="0" w:color="auto"/>
              <w:bottom w:val="single" w:sz="4" w:space="0" w:color="auto"/>
              <w:right w:val="single" w:sz="4" w:space="0" w:color="auto"/>
            </w:tcBorders>
            <w:hideMark/>
          </w:tcPr>
          <w:p w14:paraId="4B8D98C9"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Wide area BS</w:t>
            </w:r>
          </w:p>
        </w:tc>
      </w:tr>
    </w:tbl>
    <w:p w14:paraId="1EAAB1D6" w14:textId="77777777" w:rsidR="00A73EC8" w:rsidRPr="0079524A" w:rsidRDefault="00A73EC8" w:rsidP="00A73EC8">
      <w:pPr>
        <w:jc w:val="both"/>
        <w:rPr>
          <w:sz w:val="14"/>
          <w:szCs w:val="14"/>
        </w:rPr>
      </w:pPr>
    </w:p>
    <w:p w14:paraId="1575270D" w14:textId="4D9CEBB4" w:rsidR="00A73EC8" w:rsidRPr="00647C00" w:rsidRDefault="00A73EC8" w:rsidP="00A73EC8">
      <w:pPr>
        <w:pStyle w:val="TH"/>
        <w:rPr>
          <w:rFonts w:ascii="Times New Roman" w:hAnsi="Times New Roman"/>
        </w:rPr>
      </w:pPr>
      <w:r w:rsidRPr="00647C00">
        <w:rPr>
          <w:rFonts w:ascii="Times New Roman" w:hAnsi="Times New Roman"/>
        </w:rPr>
        <w:t xml:space="preserve">Table </w:t>
      </w:r>
      <w:r w:rsidR="0023702D" w:rsidRPr="00647C00">
        <w:rPr>
          <w:rFonts w:ascii="Times New Roman" w:hAnsi="Times New Roman"/>
        </w:rPr>
        <w:t>2</w:t>
      </w:r>
      <w:r w:rsidR="008C2306" w:rsidRPr="00647C00">
        <w:rPr>
          <w:rFonts w:ascii="Times New Roman" w:hAnsi="Times New Roman"/>
        </w:rPr>
        <w:t xml:space="preserve">: </w:t>
      </w:r>
      <w:r w:rsidRPr="00647C00">
        <w:rPr>
          <w:rFonts w:ascii="Times New Roman" w:hAnsi="Times New Roman"/>
        </w:rPr>
        <w:t xml:space="preserve"> Adjacent channel co-existence case</w:t>
      </w:r>
      <w:r w:rsidR="008C2306" w:rsidRPr="00647C00">
        <w:rPr>
          <w:rFonts w:ascii="Times New Roman" w:hAnsi="Times New Roman"/>
        </w:rPr>
        <w:t xml:space="preserve"> considered for the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6"/>
        <w:gridCol w:w="656"/>
        <w:gridCol w:w="5276"/>
      </w:tblGrid>
      <w:tr w:rsidR="00A73EC8" w:rsidRPr="00647C00" w14:paraId="683F8D20" w14:textId="77777777" w:rsidTr="00A73EC8">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9D6C1"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8B4C" w14:textId="77777777" w:rsidR="00A73EC8" w:rsidRPr="00647C00" w:rsidRDefault="00A73EC8">
            <w:pPr>
              <w:pStyle w:val="TAH"/>
              <w:spacing w:line="254" w:lineRule="auto"/>
              <w:rPr>
                <w:rFonts w:ascii="Times New Roman" w:hAnsi="Times New Roman"/>
              </w:rPr>
            </w:pPr>
            <w:r w:rsidRPr="00647C00">
              <w:rPr>
                <w:rFonts w:ascii="Times New Roman" w:hAnsi="Times New Roman"/>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CACB6" w14:textId="77777777" w:rsidR="00A73EC8" w:rsidRPr="00647C00" w:rsidRDefault="00A73EC8">
            <w:pPr>
              <w:pStyle w:val="TAH"/>
              <w:spacing w:line="254" w:lineRule="auto"/>
              <w:rPr>
                <w:rFonts w:ascii="Times New Roman" w:hAnsi="Times New Roman"/>
              </w:rPr>
            </w:pPr>
            <w:r w:rsidRPr="00647C00">
              <w:rPr>
                <w:rFonts w:ascii="Times New Roman" w:hAnsi="Times New Roman"/>
              </w:rPr>
              <w:t>Slot allocation</w:t>
            </w:r>
          </w:p>
          <w:p w14:paraId="548AB49B"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                                        Victim</w:t>
            </w:r>
          </w:p>
        </w:tc>
      </w:tr>
      <w:tr w:rsidR="00A73EC8" w:rsidRPr="00647C00" w14:paraId="2D283F0B"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5F743"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BC219"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6011FD1E" w14:textId="477FE508" w:rsidR="00A73EC8" w:rsidRPr="00647C00" w:rsidRDefault="000009CE">
            <w:pPr>
              <w:keepNext/>
              <w:keepLines/>
              <w:jc w:val="center"/>
              <w:rPr>
                <w:lang w:eastAsia="zh-CN"/>
              </w:rPr>
            </w:pPr>
            <w:r w:rsidRPr="00647C00">
              <w:rPr>
                <w:noProof/>
              </w:rPr>
              <mc:AlternateContent>
                <mc:Choice Requires="wpg">
                  <w:drawing>
                    <wp:anchor distT="0" distB="0" distL="114300" distR="114300" simplePos="0" relativeHeight="251658240" behindDoc="0" locked="0" layoutInCell="1" allowOverlap="1" wp14:anchorId="7698140B" wp14:editId="0D9F6626">
                      <wp:simplePos x="0" y="0"/>
                      <wp:positionH relativeFrom="column">
                        <wp:posOffset>1796415</wp:posOffset>
                      </wp:positionH>
                      <wp:positionV relativeFrom="paragraph">
                        <wp:posOffset>-3810</wp:posOffset>
                      </wp:positionV>
                      <wp:extent cx="1457325" cy="266700"/>
                      <wp:effectExtent l="0" t="0" r="9525" b="0"/>
                      <wp:wrapNone/>
                      <wp:docPr id="5" name="Group 4">
                        <a:extLst xmlns:a="http://schemas.openxmlformats.org/drawingml/2006/main">
                          <a:ext uri="{FF2B5EF4-FFF2-40B4-BE49-F238E27FC236}">
                            <a16:creationId xmlns:a16="http://schemas.microsoft.com/office/drawing/2014/main" id="{D4A81C35-ABC2-4C8D-A69D-947CF58CDDDC}"/>
                          </a:ext>
                        </a:extLst>
                      </wp:docPr>
                      <wp:cNvGraphicFramePr/>
                      <a:graphic xmlns:a="http://schemas.openxmlformats.org/drawingml/2006/main">
                        <a:graphicData uri="http://schemas.microsoft.com/office/word/2010/wordprocessingGroup">
                          <wpg:wgp>
                            <wpg:cNvGrpSpPr/>
                            <wpg:grpSpPr>
                              <a:xfrm>
                                <a:off x="0" y="0"/>
                                <a:ext cx="1457325" cy="266700"/>
                                <a:chOff x="0" y="0"/>
                                <a:chExt cx="2600325" cy="266700"/>
                              </a:xfrm>
                            </wpg:grpSpPr>
                            <pic:pic xmlns:pic="http://schemas.openxmlformats.org/drawingml/2006/picture">
                              <pic:nvPicPr>
                                <pic:cNvPr id="2" name="Picture 2">
                                  <a:extLst>
                                    <a:ext uri="{FF2B5EF4-FFF2-40B4-BE49-F238E27FC236}">
                                      <a16:creationId xmlns:a16="http://schemas.microsoft.com/office/drawing/2014/main" id="{A31FC1E0-E1F2-4F13-94E1-8178802B968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152525" y="0"/>
                                  <a:ext cx="1447800" cy="2667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3">
                                  <a:extLst>
                                    <a:ext uri="{FF2B5EF4-FFF2-40B4-BE49-F238E27FC236}">
                                      <a16:creationId xmlns:a16="http://schemas.microsoft.com/office/drawing/2014/main" id="{896C0A42-7DE7-42EA-BA41-D89D75E770F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w:pict w14:anchorId="23DF2972">
                    <v:group id="Group 4" style="position:absolute;margin-left:141.45pt;margin-top:-.3pt;width:114.75pt;height:21pt;z-index:251659264;mso-width-relative:margin" coordsize="26003,2667" o:spid="_x0000_s1026" w14:anchorId="280B4F3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11525;width:14478;height:266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">
                        <v:imagedata o:title="" r:id="rId17"/>
                      </v:shape>
                      <v:shape id="Picture 3" style="position:absolute;width:14573;height:266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">
                        <v:imagedata o:title="" r:id="rId18"/>
                      </v:shape>
                    </v:group>
                  </w:pict>
                </mc:Fallback>
              </mc:AlternateContent>
            </w:r>
            <w:r w:rsidR="00A73EC8" w:rsidRPr="00647C00">
              <w:rPr>
                <w:noProof/>
                <w:lang w:eastAsia="zh-CN"/>
              </w:rPr>
              <w:drawing>
                <wp:inline distT="0" distB="0" distL="0" distR="0" wp14:anchorId="20F56B5A" wp14:editId="5155E8FF">
                  <wp:extent cx="1447800" cy="276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276225"/>
                          </a:xfrm>
                          <a:prstGeom prst="rect">
                            <a:avLst/>
                          </a:prstGeom>
                          <a:noFill/>
                          <a:ln>
                            <a:noFill/>
                          </a:ln>
                        </pic:spPr>
                      </pic:pic>
                    </a:graphicData>
                  </a:graphic>
                </wp:inline>
              </w:drawing>
            </w:r>
            <w:r w:rsidR="00A73EC8" w:rsidRPr="00647C00">
              <w:rPr>
                <w:lang w:eastAsia="zh-CN"/>
              </w:rPr>
              <w:t xml:space="preserve">           </w:t>
            </w:r>
            <w:r w:rsidR="00A73EC8" w:rsidRPr="00647C00">
              <w:rPr>
                <w:noProof/>
                <w:lang w:eastAsia="zh-CN"/>
              </w:rPr>
              <w:drawing>
                <wp:inline distT="0" distB="0" distL="0" distR="0" wp14:anchorId="02241E9C" wp14:editId="784146BF">
                  <wp:extent cx="1457325" cy="2667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ln>
                            <a:noFill/>
                          </a:ln>
                        </pic:spPr>
                      </pic:pic>
                    </a:graphicData>
                  </a:graphic>
                </wp:inline>
              </w:drawing>
            </w:r>
          </w:p>
        </w:tc>
      </w:tr>
      <w:tr w:rsidR="00331945" w:rsidRPr="00647C00" w14:paraId="0606A74D"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1F3F94" w14:textId="5D1A4922" w:rsidR="00331945" w:rsidRPr="00647C00" w:rsidRDefault="00331945">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vAlign w:val="center"/>
          </w:tcPr>
          <w:p w14:paraId="1BD7128B" w14:textId="48EE9BEA" w:rsidR="00331945" w:rsidRPr="00647C00" w:rsidRDefault="00331945">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tcPr>
          <w:p w14:paraId="24EF290D" w14:textId="6EC505FC" w:rsidR="00331945" w:rsidRPr="00647C00" w:rsidRDefault="00BE2958" w:rsidP="00BE2958">
            <w:pPr>
              <w:keepNext/>
              <w:keepLines/>
              <w:rPr>
                <w:noProof/>
              </w:rPr>
            </w:pPr>
            <w:r>
              <w:rPr>
                <w:noProof/>
              </w:rPr>
              <w:drawing>
                <wp:inline distT="0" distB="0" distL="0" distR="0" wp14:anchorId="4C7CA1E0" wp14:editId="4259073D">
                  <wp:extent cx="1447800" cy="172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898" cy="177265"/>
                          </a:xfrm>
                          <a:prstGeom prst="rect">
                            <a:avLst/>
                          </a:prstGeom>
                        </pic:spPr>
                      </pic:pic>
                    </a:graphicData>
                  </a:graphic>
                </wp:inline>
              </w:drawing>
            </w:r>
            <w:r>
              <w:rPr>
                <w:noProof/>
              </w:rPr>
              <w:t xml:space="preserve">           </w:t>
            </w:r>
            <w:r>
              <w:rPr>
                <w:noProof/>
              </w:rPr>
              <w:drawing>
                <wp:inline distT="0" distB="0" distL="0" distR="0" wp14:anchorId="17838910" wp14:editId="2C2DEFAC">
                  <wp:extent cx="1447800" cy="17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898" cy="177265"/>
                          </a:xfrm>
                          <a:prstGeom prst="rect">
                            <a:avLst/>
                          </a:prstGeom>
                        </pic:spPr>
                      </pic:pic>
                    </a:graphicData>
                  </a:graphic>
                </wp:inline>
              </w:drawing>
            </w:r>
          </w:p>
        </w:tc>
      </w:tr>
    </w:tbl>
    <w:p w14:paraId="7C0745FC" w14:textId="10484233" w:rsidR="00A73EC8" w:rsidRPr="00647C00" w:rsidRDefault="00A73EC8" w:rsidP="00A73EC8">
      <w:pPr>
        <w:jc w:val="both"/>
        <w:rPr>
          <w:sz w:val="22"/>
          <w:szCs w:val="22"/>
        </w:rPr>
      </w:pPr>
    </w:p>
    <w:p w14:paraId="3F5DE511" w14:textId="17623116" w:rsidR="00A73EC8" w:rsidRPr="00647C00" w:rsidRDefault="00A73EC8" w:rsidP="00A73EC8">
      <w:pPr>
        <w:jc w:val="both"/>
        <w:rPr>
          <w:sz w:val="22"/>
          <w:szCs w:val="22"/>
        </w:rPr>
      </w:pPr>
      <w:r w:rsidRPr="00647C00">
        <w:rPr>
          <w:sz w:val="22"/>
          <w:szCs w:val="22"/>
        </w:rPr>
        <w:t xml:space="preserve">Following simulation assumption have been selected from Annex E </w:t>
      </w:r>
      <w:r w:rsidR="00327D8F">
        <w:rPr>
          <w:sz w:val="22"/>
          <w:szCs w:val="22"/>
        </w:rPr>
        <w:t xml:space="preserve">for </w:t>
      </w:r>
      <w:r w:rsidR="002A2F8F">
        <w:rPr>
          <w:sz w:val="22"/>
          <w:szCs w:val="22"/>
        </w:rPr>
        <w:t>Scenario 1 (Urban Macro)</w:t>
      </w:r>
      <w:r w:rsidRPr="00647C00">
        <w:rPr>
          <w:sz w:val="22"/>
          <w:szCs w:val="22"/>
        </w:rPr>
        <w:t xml:space="preserve"> [2].</w:t>
      </w:r>
    </w:p>
    <w:p w14:paraId="10299B97" w14:textId="0CE56B23" w:rsidR="00A73EC8" w:rsidRPr="00647C00" w:rsidRDefault="00A73EC8" w:rsidP="00A73EC8">
      <w:pPr>
        <w:jc w:val="both"/>
        <w:rPr>
          <w:sz w:val="6"/>
          <w:szCs w:val="6"/>
        </w:rPr>
      </w:pPr>
    </w:p>
    <w:p w14:paraId="27429E3D" w14:textId="4701B441"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Grid shift:</w:t>
      </w:r>
      <w:r w:rsidRPr="00647C00">
        <w:rPr>
          <w:rFonts w:ascii="Times New Roman" w:hAnsi="Times New Roman"/>
        </w:rPr>
        <w:t xml:space="preserve"> We have selected the worst-case scenario with small grid-shift (10%) for uncoordinated deployments and best-case grid shift of 100%.</w:t>
      </w:r>
    </w:p>
    <w:p w14:paraId="41BD4E58" w14:textId="7E6008CD"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LOS probability:</w:t>
      </w:r>
      <w:r w:rsidRPr="00647C00">
        <w:rPr>
          <w:rFonts w:ascii="Times New Roman" w:hAnsi="Times New Roman"/>
        </w:rPr>
        <w:t xml:space="preserve"> Option 2: If the 2D distance between two BS is less than or equal to the ISD, set the LOS probability to X; X = 0.75. Otherwise, UMa (h_UT = 25 m).</w:t>
      </w:r>
    </w:p>
    <w:p w14:paraId="16736B0D" w14:textId="6D54E84A"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UE distribution</w:t>
      </w:r>
      <w:r w:rsidRPr="00647C00">
        <w:rPr>
          <w:rFonts w:ascii="Times New Roman" w:hAnsi="Times New Roman"/>
        </w:rPr>
        <w:t>: uniform, 20% indoor and 80% outdoor.</w:t>
      </w:r>
      <w:r w:rsidR="000009CE" w:rsidRPr="00647C00">
        <w:rPr>
          <w:rFonts w:ascii="Times New Roman" w:eastAsia="SimSun" w:hAnsi="Times New Roman"/>
          <w:noProof/>
          <w:sz w:val="20"/>
          <w:szCs w:val="20"/>
          <w:lang w:val="en-GB"/>
        </w:rPr>
        <w:t xml:space="preserve"> </w:t>
      </w:r>
    </w:p>
    <w:p w14:paraId="64DE8678" w14:textId="249DE280"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BS transmit power</w:t>
      </w:r>
      <w:r w:rsidRPr="00647C00">
        <w:rPr>
          <w:rFonts w:ascii="Times New Roman" w:hAnsi="Times New Roman"/>
        </w:rPr>
        <w:t>: TDD 49 dBm and SBFD 4</w:t>
      </w:r>
      <w:r w:rsidR="002A2F8F">
        <w:rPr>
          <w:rFonts w:ascii="Times New Roman" w:hAnsi="Times New Roman"/>
        </w:rPr>
        <w:t>6</w:t>
      </w:r>
      <w:r w:rsidRPr="00647C00">
        <w:rPr>
          <w:rFonts w:ascii="Times New Roman" w:hAnsi="Times New Roman"/>
        </w:rPr>
        <w:t xml:space="preserve"> dBm. </w:t>
      </w:r>
    </w:p>
    <w:p w14:paraId="47D9A500" w14:textId="77777777" w:rsidR="00A73EC8"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Antenna configuration</w:t>
      </w:r>
      <w:r w:rsidRPr="00647C00">
        <w:rPr>
          <w:rFonts w:ascii="Times New Roman" w:hAnsi="Times New Roman"/>
        </w:rPr>
        <w:t>: TDD 32×32, and SBFD config 32×32.</w:t>
      </w:r>
    </w:p>
    <w:p w14:paraId="01379F80" w14:textId="2D6D6FDA" w:rsidR="00462F3A" w:rsidRPr="00647C00" w:rsidRDefault="00073187" w:rsidP="004B5B4A">
      <w:pPr>
        <w:jc w:val="both"/>
        <w:rPr>
          <w:rFonts w:eastAsia="DengXian"/>
          <w:sz w:val="22"/>
          <w:szCs w:val="22"/>
        </w:rPr>
      </w:pPr>
      <w:r w:rsidRPr="00073187">
        <w:rPr>
          <w:rFonts w:eastAsia="DengXian"/>
          <w:sz w:val="22"/>
          <w:szCs w:val="22"/>
        </w:rPr>
        <w:t>Moreover, for the performance evaluation, RAN4 had only considered the case of {D, U} as an SBFD configuration as it is comparable to the {D, U, D} SBFD configuration. Throughput loss due to the adjacent channel CLI was studied, and Figs. 1 through Fig-3 are box plots that represent the summary of a median throughput loss from performance reports of the adjacent channel coexistence study [3]. Plots include the minimum, first (lower) quartile, median, third (upper) quartile, and maximum of the median throughput losses published in the coexistence study.</w:t>
      </w:r>
    </w:p>
    <w:p w14:paraId="6160CEB5" w14:textId="616031E6" w:rsidR="005804E5" w:rsidRPr="00647C00" w:rsidRDefault="005804E5" w:rsidP="006154DC">
      <w:pPr>
        <w:jc w:val="center"/>
        <w:rPr>
          <w:sz w:val="22"/>
          <w:szCs w:val="22"/>
        </w:rPr>
      </w:pPr>
      <w:r w:rsidRPr="00647C00">
        <w:rPr>
          <w:noProof/>
          <w:sz w:val="22"/>
          <w:szCs w:val="22"/>
        </w:rPr>
        <w:drawing>
          <wp:inline distT="0" distB="0" distL="0" distR="0" wp14:anchorId="569C54DF" wp14:editId="756C6554">
            <wp:extent cx="3614901" cy="2018805"/>
            <wp:effectExtent l="0" t="0" r="5080" b="635"/>
            <wp:docPr id="7" name="Picture 7" descr="A graph of different colored colum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graph of different colored columns&#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399" cy="2021317"/>
                    </a:xfrm>
                    <a:prstGeom prst="rect">
                      <a:avLst/>
                    </a:prstGeom>
                    <a:noFill/>
                    <a:ln>
                      <a:noFill/>
                    </a:ln>
                  </pic:spPr>
                </pic:pic>
              </a:graphicData>
            </a:graphic>
          </wp:inline>
        </w:drawing>
      </w:r>
    </w:p>
    <w:p w14:paraId="34E45775" w14:textId="2FC19CEE" w:rsidR="006154DC" w:rsidRPr="00647C00" w:rsidRDefault="006154DC" w:rsidP="00D84F18">
      <w:pPr>
        <w:jc w:val="both"/>
        <w:rPr>
          <w:b/>
          <w:bCs/>
          <w:sz w:val="22"/>
          <w:szCs w:val="22"/>
        </w:rPr>
      </w:pPr>
      <w:r w:rsidRPr="00647C00">
        <w:rPr>
          <w:b/>
          <w:bCs/>
          <w:sz w:val="22"/>
          <w:szCs w:val="22"/>
        </w:rPr>
        <w:t xml:space="preserve">Figure1: </w:t>
      </w:r>
      <w:r w:rsidR="00D84F18" w:rsidRPr="00647C00">
        <w:rPr>
          <w:b/>
          <w:bCs/>
          <w:sz w:val="22"/>
          <w:szCs w:val="22"/>
        </w:rPr>
        <w:t>Adjacent Channel CLI median throughput loss (%) summary for Scenario-1</w:t>
      </w:r>
      <w:r w:rsidR="00073187">
        <w:rPr>
          <w:b/>
          <w:bCs/>
          <w:sz w:val="22"/>
          <w:szCs w:val="22"/>
        </w:rPr>
        <w:t xml:space="preserve"> </w:t>
      </w:r>
      <w:r w:rsidR="00D84F18" w:rsidRPr="00647C00">
        <w:rPr>
          <w:b/>
          <w:bCs/>
          <w:sz w:val="22"/>
          <w:szCs w:val="22"/>
        </w:rPr>
        <w:t>(FR-1) concluded in Rel-18 CLI</w:t>
      </w:r>
    </w:p>
    <w:p w14:paraId="179500AB" w14:textId="26D19C60" w:rsidR="005804E5" w:rsidRPr="00647C00" w:rsidRDefault="005804E5" w:rsidP="00D84F18">
      <w:pPr>
        <w:keepNext/>
        <w:jc w:val="center"/>
        <w:rPr>
          <w:sz w:val="22"/>
          <w:szCs w:val="22"/>
        </w:rPr>
      </w:pPr>
      <w:r w:rsidRPr="00647C00">
        <w:rPr>
          <w:noProof/>
          <w:sz w:val="22"/>
          <w:szCs w:val="22"/>
        </w:rPr>
        <w:lastRenderedPageBreak/>
        <w:drawing>
          <wp:inline distT="0" distB="0" distL="0" distR="0" wp14:anchorId="4670C268" wp14:editId="5344CC99">
            <wp:extent cx="4535062" cy="3333750"/>
            <wp:effectExtent l="0" t="0" r="0" b="0"/>
            <wp:docPr id="6" name="Picture 6"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aph of a bar graph&#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56915" cy="3349814"/>
                    </a:xfrm>
                    <a:prstGeom prst="rect">
                      <a:avLst/>
                    </a:prstGeom>
                    <a:noFill/>
                    <a:ln>
                      <a:noFill/>
                    </a:ln>
                  </pic:spPr>
                </pic:pic>
              </a:graphicData>
            </a:graphic>
          </wp:inline>
        </w:drawing>
      </w:r>
    </w:p>
    <w:p w14:paraId="2789AC79" w14:textId="0A1A63D8" w:rsidR="00D84F18" w:rsidRPr="00647C00" w:rsidRDefault="00D84F18" w:rsidP="00D84F18">
      <w:pPr>
        <w:jc w:val="both"/>
        <w:rPr>
          <w:b/>
          <w:bCs/>
          <w:sz w:val="22"/>
          <w:szCs w:val="22"/>
        </w:rPr>
      </w:pPr>
      <w:r w:rsidRPr="00647C00">
        <w:rPr>
          <w:b/>
          <w:bCs/>
          <w:sz w:val="22"/>
          <w:szCs w:val="22"/>
        </w:rPr>
        <w:t>Figure</w:t>
      </w:r>
      <w:r w:rsidR="00E93130" w:rsidRPr="00647C00">
        <w:rPr>
          <w:b/>
          <w:bCs/>
          <w:sz w:val="22"/>
          <w:szCs w:val="22"/>
        </w:rPr>
        <w:t xml:space="preserve"> </w:t>
      </w:r>
      <w:r w:rsidRPr="00647C00">
        <w:rPr>
          <w:b/>
          <w:bCs/>
          <w:sz w:val="22"/>
          <w:szCs w:val="22"/>
        </w:rPr>
        <w:t>2: SBFD UL median throughput loss summary at cell edge and cell centre for Scenario-1</w:t>
      </w:r>
    </w:p>
    <w:p w14:paraId="2FC8EA73" w14:textId="77777777" w:rsidR="005804E5" w:rsidRPr="00647C00" w:rsidRDefault="005804E5" w:rsidP="005804E5">
      <w:pPr>
        <w:rPr>
          <w:sz w:val="22"/>
          <w:szCs w:val="22"/>
        </w:rPr>
      </w:pPr>
    </w:p>
    <w:p w14:paraId="49D7137F" w14:textId="63BC5331" w:rsidR="005804E5" w:rsidRPr="00647C00" w:rsidRDefault="005804E5" w:rsidP="005804E5">
      <w:pPr>
        <w:rPr>
          <w:sz w:val="22"/>
          <w:szCs w:val="22"/>
        </w:rPr>
      </w:pPr>
      <w:r w:rsidRPr="00647C00">
        <w:rPr>
          <w:noProof/>
          <w:sz w:val="22"/>
          <w:szCs w:val="22"/>
        </w:rPr>
        <w:drawing>
          <wp:inline distT="0" distB="0" distL="0" distR="0" wp14:anchorId="6EDEEFFD" wp14:editId="21393FF3">
            <wp:extent cx="2856859" cy="2579298"/>
            <wp:effectExtent l="0" t="0" r="1270" b="0"/>
            <wp:docPr id="4" name="Picture 4"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graph of different colored bar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179" cy="2585004"/>
                    </a:xfrm>
                    <a:prstGeom prst="rect">
                      <a:avLst/>
                    </a:prstGeom>
                    <a:noFill/>
                    <a:ln>
                      <a:noFill/>
                    </a:ln>
                  </pic:spPr>
                </pic:pic>
              </a:graphicData>
            </a:graphic>
          </wp:inline>
        </w:drawing>
      </w:r>
      <w:r w:rsidRPr="00647C00">
        <w:rPr>
          <w:sz w:val="22"/>
          <w:szCs w:val="22"/>
        </w:rPr>
        <w:t xml:space="preserve"> </w:t>
      </w:r>
      <w:r w:rsidRPr="00647C00">
        <w:rPr>
          <w:noProof/>
          <w:sz w:val="22"/>
          <w:szCs w:val="22"/>
        </w:rPr>
        <w:drawing>
          <wp:inline distT="0" distB="0" distL="0" distR="0" wp14:anchorId="79A99F70" wp14:editId="74D75880">
            <wp:extent cx="2838138" cy="2510287"/>
            <wp:effectExtent l="0" t="0" r="635" b="4445"/>
            <wp:docPr id="1"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aph of different colored bars&#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3960" cy="2515436"/>
                    </a:xfrm>
                    <a:prstGeom prst="rect">
                      <a:avLst/>
                    </a:prstGeom>
                    <a:noFill/>
                    <a:ln>
                      <a:noFill/>
                    </a:ln>
                  </pic:spPr>
                </pic:pic>
              </a:graphicData>
            </a:graphic>
          </wp:inline>
        </w:drawing>
      </w:r>
    </w:p>
    <w:p w14:paraId="1B675465" w14:textId="77777777" w:rsidR="008875CB" w:rsidRPr="008875CB" w:rsidRDefault="008875CB" w:rsidP="00E93130">
      <w:pPr>
        <w:jc w:val="both"/>
        <w:rPr>
          <w:b/>
          <w:bCs/>
          <w:sz w:val="8"/>
          <w:szCs w:val="8"/>
        </w:rPr>
      </w:pPr>
    </w:p>
    <w:p w14:paraId="18EAF374" w14:textId="25752DB6" w:rsidR="00E93130" w:rsidRPr="00647C00" w:rsidRDefault="00E93130" w:rsidP="00E93130">
      <w:pPr>
        <w:jc w:val="both"/>
        <w:rPr>
          <w:b/>
          <w:bCs/>
          <w:sz w:val="22"/>
          <w:szCs w:val="22"/>
        </w:rPr>
      </w:pPr>
      <w:r w:rsidRPr="00647C00">
        <w:rPr>
          <w:b/>
          <w:bCs/>
          <w:sz w:val="22"/>
          <w:szCs w:val="22"/>
        </w:rPr>
        <w:t>Figure 3: SBFD UL median throughput loss summary for Cell centre (Left) &amp; Cell edge (Right) users for varying ACIR for Scenario-1</w:t>
      </w:r>
    </w:p>
    <w:p w14:paraId="1FE6FDF2" w14:textId="77777777" w:rsidR="005804E5" w:rsidRPr="00647C00" w:rsidRDefault="005804E5" w:rsidP="005804E5">
      <w:pPr>
        <w:rPr>
          <w:sz w:val="22"/>
          <w:szCs w:val="22"/>
        </w:rPr>
      </w:pPr>
    </w:p>
    <w:p w14:paraId="7BA8E688" w14:textId="77777777" w:rsidR="005804E5" w:rsidRPr="00647C00" w:rsidRDefault="005804E5" w:rsidP="006B7E40">
      <w:pPr>
        <w:jc w:val="both"/>
        <w:rPr>
          <w:sz w:val="22"/>
          <w:szCs w:val="22"/>
        </w:rPr>
      </w:pPr>
      <w:r w:rsidRPr="00647C00">
        <w:rPr>
          <w:sz w:val="22"/>
          <w:szCs w:val="22"/>
        </w:rPr>
        <w:t>The following observations were made from the performance results with respect to both legacy TDD and SBFD as victims.</w:t>
      </w:r>
    </w:p>
    <w:p w14:paraId="19A0E366" w14:textId="77777777" w:rsidR="005804E5" w:rsidRPr="00013003" w:rsidRDefault="005804E5" w:rsidP="006B7E40">
      <w:pPr>
        <w:jc w:val="both"/>
        <w:rPr>
          <w:sz w:val="6"/>
          <w:szCs w:val="6"/>
        </w:rPr>
      </w:pPr>
    </w:p>
    <w:p w14:paraId="4C407A6C" w14:textId="77777777" w:rsidR="005804E5" w:rsidRPr="00647C00" w:rsidRDefault="005804E5" w:rsidP="00FD7CD6">
      <w:pPr>
        <w:pStyle w:val="ListParagraph"/>
        <w:numPr>
          <w:ilvl w:val="0"/>
          <w:numId w:val="16"/>
        </w:numPr>
        <w:spacing w:line="256" w:lineRule="auto"/>
        <w:contextualSpacing/>
        <w:jc w:val="both"/>
        <w:rPr>
          <w:rFonts w:ascii="Times New Roman" w:hAnsi="Times New Roman"/>
        </w:rPr>
      </w:pPr>
      <w:r w:rsidRPr="00647C00">
        <w:rPr>
          <w:rFonts w:ascii="Times New Roman" w:hAnsi="Times New Roman"/>
        </w:rPr>
        <w:t xml:space="preserve">The cell edge throughput degradation is worse than the average throughput degradation. </w:t>
      </w:r>
    </w:p>
    <w:p w14:paraId="60A56E2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The throughput degradation is due to the inter-BS ACI introduced by TDD-UL over SBFD, which increases as grid-shift (BS-to-BS distance) decreases in scenario 1.</w:t>
      </w:r>
    </w:p>
    <w:p w14:paraId="4580B899"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SBFD BS antenna configuration slightly impacts the throughput degradation.</w:t>
      </w:r>
    </w:p>
    <w:p w14:paraId="76368FE8"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Major SBFD UL throughput degradation is observed cell edge uplink.</w:t>
      </w:r>
    </w:p>
    <w:p w14:paraId="263BBEA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lastRenderedPageBreak/>
        <w:t>For higher BS Tx power and lower grid-shifts the degradation is increased for cell edge throughput and average throughput.</w:t>
      </w:r>
    </w:p>
    <w:p w14:paraId="5D0ED560"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No throughput degradation is observed on the SBFD DL for both average throughput and cell edge throughput, respectively, for different BS Tx powers (ranging from 46 dBm to 53 dBm for FR1 and 30 dBm for FR2-1), grid-shifts (5% to 100%), and SBFD BS antenna configurations.</w:t>
      </w:r>
    </w:p>
    <w:p w14:paraId="1D1CBE9C" w14:textId="77777777" w:rsidR="005804E5" w:rsidRPr="008875CB" w:rsidRDefault="005804E5" w:rsidP="005804E5">
      <w:pPr>
        <w:rPr>
          <w:rFonts w:eastAsia="Yu Mincho"/>
          <w:sz w:val="4"/>
          <w:szCs w:val="4"/>
        </w:rPr>
      </w:pPr>
    </w:p>
    <w:p w14:paraId="153CE9C4" w14:textId="032B1C2D" w:rsidR="00462F3A" w:rsidRPr="00013003" w:rsidRDefault="006B7E40" w:rsidP="00013003">
      <w:pPr>
        <w:jc w:val="both"/>
        <w:rPr>
          <w:rFonts w:eastAsia="DengXian"/>
          <w:sz w:val="22"/>
          <w:szCs w:val="22"/>
        </w:rPr>
      </w:pPr>
      <w:r w:rsidRPr="00647C00">
        <w:rPr>
          <w:rFonts w:eastAsia="DengXian"/>
          <w:sz w:val="22"/>
          <w:szCs w:val="22"/>
        </w:rPr>
        <w:t>RAN4 had considered the case of {D, U} as an SBFD configuration instead of {D, U, D} SBFD configuration. But when we consider {D, U, D} with {40MHz,20MHz,40MHz} bandwidth, there is an additional protection of 40MHz for the leakage from the adjacent channel CLI. The study done as part of TR 38.</w:t>
      </w:r>
      <w:r w:rsidRPr="001E594C">
        <w:rPr>
          <w:rFonts w:eastAsia="DengXian"/>
          <w:sz w:val="22"/>
          <w:szCs w:val="22"/>
        </w:rPr>
        <w:t>858</w:t>
      </w:r>
      <w:r w:rsidR="001D68F9" w:rsidRPr="001E594C">
        <w:rPr>
          <w:rFonts w:eastAsia="DengXian"/>
          <w:sz w:val="22"/>
          <w:szCs w:val="22"/>
        </w:rPr>
        <w:t xml:space="preserve"> [2]</w:t>
      </w:r>
      <w:r w:rsidR="001D68F9">
        <w:rPr>
          <w:rFonts w:eastAsia="DengXian"/>
          <w:sz w:val="22"/>
          <w:szCs w:val="22"/>
        </w:rPr>
        <w:t xml:space="preserve"> </w:t>
      </w:r>
      <w:r w:rsidRPr="00647C00">
        <w:rPr>
          <w:rFonts w:eastAsia="DengXian"/>
          <w:sz w:val="22"/>
          <w:szCs w:val="22"/>
        </w:rPr>
        <w:t xml:space="preserve">discussed the feasibility of analog filtering options for self-interference and co-channel interference due to co-site/co-sector in sections 9.3.1 and 9.3.2, respectively. It was dropped due to design complexity, other insertion loss due to a narrow roll-off from a few kHz to a few MHz, and limitations in supporting multi-carrier. However, this feasibility was not studied from an adjacent channel blocker perspective, considering the benefit of 40MHz filter roll-off due to {D, U, D} configuration for SBFD. </w:t>
      </w:r>
      <w:r w:rsidRPr="00647C00">
        <w:rPr>
          <w:sz w:val="22"/>
          <w:szCs w:val="22"/>
        </w:rPr>
        <w:t>For the SBFD symbol represented by {D, U, D}, Adjacent channel gNB-gNB CLI is seen in the UL sub-band of the SBFD symbol due to DL slots of legacy TDD from neighbouring gNBs overlapping with SBFD symbols.</w:t>
      </w:r>
      <w:r w:rsidR="00013003">
        <w:rPr>
          <w:rFonts w:eastAsia="DengXian"/>
          <w:sz w:val="22"/>
          <w:szCs w:val="22"/>
        </w:rPr>
        <w:t xml:space="preserve"> </w:t>
      </w:r>
      <w:r w:rsidRPr="00647C00">
        <w:rPr>
          <w:sz w:val="22"/>
          <w:szCs w:val="22"/>
        </w:rPr>
        <w:t>For the Legacy TDD symbols, the Adjacent channel gNB-gNB CLI is seen in UL symbols in the Flexible slot overlapping with the SBFD slot of neighbouring gNB. Since the configurations considered for the adjacent channel CLI for throughput analysis are different from what has been studied in TR 38.</w:t>
      </w:r>
      <w:r w:rsidRPr="001E594C">
        <w:rPr>
          <w:sz w:val="22"/>
          <w:szCs w:val="22"/>
        </w:rPr>
        <w:t>858</w:t>
      </w:r>
      <w:r w:rsidR="003A210E" w:rsidRPr="001E594C">
        <w:rPr>
          <w:sz w:val="22"/>
          <w:szCs w:val="22"/>
        </w:rPr>
        <w:t xml:space="preserve"> [2]</w:t>
      </w:r>
      <w:r w:rsidR="003A210E">
        <w:rPr>
          <w:sz w:val="22"/>
          <w:szCs w:val="22"/>
        </w:rPr>
        <w:t xml:space="preserve"> </w:t>
      </w:r>
      <w:r w:rsidRPr="00647C00">
        <w:rPr>
          <w:sz w:val="22"/>
          <w:szCs w:val="22"/>
        </w:rPr>
        <w:t>there is a need for further study on network throughput impact due to adjacent channel co-existence</w:t>
      </w:r>
      <w:r w:rsidRPr="00647C00">
        <w:t>.</w:t>
      </w:r>
    </w:p>
    <w:p w14:paraId="336C56A7" w14:textId="55608361" w:rsidR="00CB6E73" w:rsidRDefault="00CB6E73" w:rsidP="00CB6E73">
      <w:pPr>
        <w:jc w:val="both"/>
        <w:rPr>
          <w:b/>
          <w:bCs/>
          <w:sz w:val="22"/>
          <w:szCs w:val="22"/>
        </w:rPr>
      </w:pPr>
      <w:r>
        <w:br/>
      </w:r>
      <w:bookmarkStart w:id="10" w:name="_Hlk188364299"/>
      <w:r w:rsidR="00CF43A4" w:rsidRPr="00CF43A4">
        <w:rPr>
          <w:b/>
          <w:bCs/>
          <w:sz w:val="22"/>
          <w:szCs w:val="22"/>
        </w:rPr>
        <w:t>Proposal 1: For the in-band blocking requirement, adopt a unified blocking threshold for both scenarios. For the grid shift, consider 10% grid shift.</w:t>
      </w:r>
      <w:bookmarkEnd w:id="10"/>
    </w:p>
    <w:p w14:paraId="0BB0010C" w14:textId="39DF082E" w:rsidR="00A73EC8" w:rsidRPr="00647C00" w:rsidRDefault="00A73EC8" w:rsidP="00A73EC8">
      <w:pPr>
        <w:jc w:val="both"/>
        <w:rPr>
          <w:sz w:val="22"/>
          <w:szCs w:val="22"/>
        </w:rPr>
      </w:pPr>
      <w:r w:rsidRPr="00647C00">
        <w:rPr>
          <w:sz w:val="22"/>
          <w:szCs w:val="22"/>
        </w:rPr>
        <w:t>Following BS Receiver Blocker Models and Receiver noise figure models for FR1 wide area BS considered for simulation</w:t>
      </w:r>
      <w:r w:rsidR="004A58E4">
        <w:rPr>
          <w:sz w:val="22"/>
          <w:szCs w:val="22"/>
        </w:rPr>
        <w:t>.</w:t>
      </w:r>
    </w:p>
    <w:p w14:paraId="7A24DF9B" w14:textId="77777777" w:rsidR="00A73EC8" w:rsidRPr="00647C00" w:rsidRDefault="00A73EC8" w:rsidP="00A73EC8">
      <w:pPr>
        <w:rPr>
          <w:sz w:val="22"/>
          <w:szCs w:val="22"/>
        </w:rPr>
      </w:pPr>
    </w:p>
    <w:p w14:paraId="73A32AA0" w14:textId="292D242D" w:rsidR="00A73EC8" w:rsidRPr="00647C00" w:rsidRDefault="00641B25" w:rsidP="00FD7CD6">
      <w:pPr>
        <w:pStyle w:val="ListParagraph"/>
        <w:widowControl w:val="0"/>
        <w:numPr>
          <w:ilvl w:val="0"/>
          <w:numId w:val="13"/>
        </w:numPr>
        <w:ind w:left="360"/>
        <w:jc w:val="both"/>
        <w:rPr>
          <w:rFonts w:ascii="Times New Roman" w:hAnsi="Times New Roman"/>
        </w:rPr>
      </w:pPr>
      <w:r>
        <w:rPr>
          <w:rFonts w:ascii="Times New Roman" w:hAnsi="Times New Roman"/>
          <w:lang w:val="en-GB"/>
        </w:rPr>
        <w:t xml:space="preserve">(i) </w:t>
      </w:r>
      <w:r w:rsidR="00A73EC8" w:rsidRPr="00647C00">
        <w:rPr>
          <w:rFonts w:ascii="Times New Roman" w:hAnsi="Times New Roman"/>
          <w:lang w:val="en-GB"/>
        </w:rPr>
        <w:t xml:space="preserve">Baseline BS Receiver Blocking </w:t>
      </w:r>
      <w:r w:rsidR="00A73EC8" w:rsidRPr="00647C00">
        <w:rPr>
          <w:rFonts w:ascii="Times New Roman" w:hAnsi="Times New Roman"/>
        </w:rPr>
        <w:t>with baseline noise figure model for FR1 wide area BS: P</w:t>
      </w:r>
      <w:r w:rsidR="00A73EC8" w:rsidRPr="00647C00">
        <w:rPr>
          <w:rFonts w:ascii="Times New Roman" w:hAnsi="Times New Roman"/>
          <w:vertAlign w:val="subscript"/>
        </w:rPr>
        <w:t>1</w:t>
      </w:r>
      <w:r w:rsidR="00A73EC8" w:rsidRPr="00647C00">
        <w:rPr>
          <w:rFonts w:ascii="Times New Roman" w:hAnsi="Times New Roman"/>
        </w:rPr>
        <w:t>=-43 dBm, P</w:t>
      </w:r>
      <w:r w:rsidR="00A73EC8" w:rsidRPr="00647C00">
        <w:rPr>
          <w:rFonts w:ascii="Times New Roman" w:hAnsi="Times New Roman"/>
          <w:vertAlign w:val="subscript"/>
        </w:rPr>
        <w:t>2</w:t>
      </w:r>
      <w:r w:rsidR="00A73EC8" w:rsidRPr="00647C00">
        <w:rPr>
          <w:rFonts w:ascii="Times New Roman" w:hAnsi="Times New Roman"/>
        </w:rPr>
        <w:t>=-25 dBm, F</w:t>
      </w:r>
      <w:r w:rsidR="00A73EC8" w:rsidRPr="00647C00">
        <w:rPr>
          <w:rFonts w:ascii="Times New Roman" w:hAnsi="Times New Roman"/>
          <w:vertAlign w:val="subscript"/>
        </w:rPr>
        <w:t>1</w:t>
      </w:r>
      <w:r w:rsidR="00A73EC8" w:rsidRPr="00647C00">
        <w:rPr>
          <w:rFonts w:ascii="Times New Roman" w:hAnsi="Times New Roman"/>
        </w:rPr>
        <w:t>=5 dB, F</w:t>
      </w:r>
      <w:r w:rsidR="00A73EC8" w:rsidRPr="00647C00">
        <w:rPr>
          <w:rFonts w:ascii="Times New Roman" w:hAnsi="Times New Roman"/>
          <w:vertAlign w:val="subscript"/>
        </w:rPr>
        <w:t>2</w:t>
      </w:r>
      <w:r w:rsidR="00A73EC8" w:rsidRPr="00647C00">
        <w:rPr>
          <w:rFonts w:ascii="Times New Roman" w:hAnsi="Times New Roman"/>
        </w:rPr>
        <w:t>=14 dB (default option in 38.858 Annex E)</w:t>
      </w:r>
      <w:r>
        <w:rPr>
          <w:rFonts w:ascii="Times New Roman" w:hAnsi="Times New Roman"/>
        </w:rPr>
        <w:t>.</w:t>
      </w:r>
    </w:p>
    <w:p w14:paraId="6A59A4A3" w14:textId="28FE4AD3" w:rsidR="000525D4" w:rsidRPr="000525D4" w:rsidRDefault="00A050BB" w:rsidP="000525D4">
      <w:pPr>
        <w:pStyle w:val="ListParagraph"/>
        <w:widowControl w:val="0"/>
        <w:numPr>
          <w:ilvl w:val="0"/>
          <w:numId w:val="13"/>
        </w:numPr>
        <w:ind w:left="360"/>
        <w:jc w:val="both"/>
        <w:rPr>
          <w:rFonts w:ascii="Times New Roman" w:hAnsi="Times New Roman"/>
        </w:rPr>
      </w:pPr>
      <w:r>
        <w:rPr>
          <w:rFonts w:ascii="Times New Roman" w:hAnsi="Times New Roman"/>
          <w:lang w:val="en-GB"/>
        </w:rPr>
        <w:t>(i)</w:t>
      </w:r>
      <w:r w:rsidR="009D03A6">
        <w:rPr>
          <w:rFonts w:ascii="Times New Roman" w:hAnsi="Times New Roman"/>
          <w:lang w:val="en-GB"/>
        </w:rPr>
        <w:t xml:space="preserve"> </w:t>
      </w:r>
      <w:r w:rsidR="006E2E1B" w:rsidRPr="006E2E1B">
        <w:rPr>
          <w:rFonts w:ascii="Times New Roman" w:hAnsi="Times New Roman"/>
          <w:lang w:val="en-GB"/>
        </w:rPr>
        <w:t xml:space="preserve">Reduced blocker-based BS receiver blocking with </w:t>
      </w:r>
      <w:r w:rsidR="00EB4D59">
        <w:rPr>
          <w:rFonts w:ascii="Times New Roman" w:hAnsi="Times New Roman"/>
          <w:lang w:val="en-GB"/>
        </w:rPr>
        <w:t>modified</w:t>
      </w:r>
      <w:r w:rsidR="006E2E1B" w:rsidRPr="006E2E1B">
        <w:rPr>
          <w:rFonts w:ascii="Times New Roman" w:hAnsi="Times New Roman"/>
          <w:lang w:val="en-GB"/>
        </w:rPr>
        <w:t xml:space="preserve"> noise figure P1=-37 dBm, P2=-25 dBm, F1=8 dB, F2=14 dB</w:t>
      </w:r>
      <w:r w:rsidR="00694AA7" w:rsidRPr="00647C00">
        <w:rPr>
          <w:rFonts w:ascii="Times New Roman" w:hAnsi="Times New Roman"/>
        </w:rPr>
        <w:t>)</w:t>
      </w:r>
      <w:r w:rsidR="008875CB">
        <w:rPr>
          <w:rFonts w:ascii="Times New Roman" w:hAnsi="Times New Roman"/>
        </w:rPr>
        <w:t>.</w:t>
      </w:r>
    </w:p>
    <w:p w14:paraId="05341B60" w14:textId="6EB84A0F" w:rsidR="00CC5B67" w:rsidRPr="00647C00" w:rsidRDefault="30EFFE04" w:rsidP="00CC5B67">
      <w:pPr>
        <w:pStyle w:val="ListParagraph"/>
        <w:widowControl w:val="0"/>
        <w:ind w:left="360"/>
        <w:jc w:val="both"/>
        <w:rPr>
          <w:rFonts w:ascii="Times New Roman" w:eastAsia="DengXian" w:hAnsi="Times New Roman"/>
        </w:rPr>
      </w:pPr>
      <w:r w:rsidRPr="6C9906A2">
        <w:rPr>
          <w:rFonts w:ascii="Times New Roman" w:eastAsia="DengXian" w:hAnsi="Times New Roman"/>
        </w:rPr>
        <w:t xml:space="preserve">Since we have already considered {D, U, D} with {40MHz, 20MHz, 40MHz} bandwidth, there is an additional protection of 40MHz for the leakage from the adjacent channel CLI. Therefore, we have considered analog filtering options for adjacent interference reduction. Moreover, we have also considered an additional 3 dB noise figure to </w:t>
      </w:r>
      <w:r w:rsidR="05E214CA" w:rsidRPr="6C9906A2">
        <w:rPr>
          <w:rFonts w:ascii="Times New Roman" w:eastAsia="DengXian" w:hAnsi="Times New Roman"/>
        </w:rPr>
        <w:t>consider the noise introduced by this filter.</w:t>
      </w:r>
    </w:p>
    <w:p w14:paraId="3EC5DA8B" w14:textId="0E3C440A" w:rsidR="00AB545C" w:rsidRPr="00AB545C" w:rsidRDefault="00B316FA" w:rsidP="00AB545C">
      <w:pPr>
        <w:pStyle w:val="ListParagraph"/>
        <w:widowControl w:val="0"/>
        <w:numPr>
          <w:ilvl w:val="0"/>
          <w:numId w:val="13"/>
        </w:numPr>
        <w:ind w:left="360"/>
        <w:jc w:val="both"/>
        <w:rPr>
          <w:rFonts w:ascii="Times New Roman" w:hAnsi="Times New Roman"/>
          <w:lang w:val="en-GB"/>
        </w:rPr>
      </w:pPr>
      <w:r w:rsidRPr="00B316FA">
        <w:rPr>
          <w:rFonts w:ascii="Times New Roman" w:hAnsi="Times New Roman"/>
          <w:lang w:val="en-GB"/>
        </w:rPr>
        <w:t xml:space="preserve">Reduced blocker-based BS receiver blocking with </w:t>
      </w:r>
      <w:r w:rsidR="00EB4D59">
        <w:rPr>
          <w:rFonts w:ascii="Times New Roman" w:hAnsi="Times New Roman"/>
          <w:lang w:val="en-GB"/>
        </w:rPr>
        <w:t>modified</w:t>
      </w:r>
      <w:r w:rsidRPr="00B316FA">
        <w:rPr>
          <w:rFonts w:ascii="Times New Roman" w:hAnsi="Times New Roman"/>
          <w:lang w:val="en-GB"/>
        </w:rPr>
        <w:t xml:space="preserve"> noise figure, same simulation scenario as CASE-B above with additional beam nulling. Beam nulling is implemented at the co-channel gNBs </w:t>
      </w:r>
      <w:r w:rsidR="00CE0335">
        <w:rPr>
          <w:rFonts w:ascii="Times New Roman" w:hAnsi="Times New Roman"/>
          <w:lang w:val="en-GB"/>
        </w:rPr>
        <w:t>and/or adjacent-channel gNBs</w:t>
      </w:r>
      <w:r w:rsidRPr="00B316FA">
        <w:rPr>
          <w:rFonts w:ascii="Times New Roman" w:hAnsi="Times New Roman"/>
          <w:lang w:val="en-GB"/>
        </w:rPr>
        <w:t xml:space="preserve"> of the SBFD network as proposed in RAN1 discussions as one of the gNB-gNB CLI handling schemes.</w:t>
      </w:r>
      <w:r w:rsidR="003A2F15">
        <w:rPr>
          <w:rFonts w:ascii="Times New Roman" w:hAnsi="Times New Roman"/>
        </w:rPr>
        <w:t xml:space="preserve"> </w:t>
      </w:r>
    </w:p>
    <w:p w14:paraId="18800324" w14:textId="77777777" w:rsidR="00CB6E73" w:rsidRDefault="00CB6E73" w:rsidP="00CB6E73">
      <w:pPr>
        <w:widowControl w:val="0"/>
        <w:jc w:val="both"/>
      </w:pPr>
    </w:p>
    <w:p w14:paraId="3B066702" w14:textId="720B6F85" w:rsidR="00CB6E73" w:rsidRPr="004D6DFD" w:rsidRDefault="00CF43A4" w:rsidP="00CB6E73">
      <w:pPr>
        <w:widowControl w:val="0"/>
        <w:jc w:val="both"/>
        <w:rPr>
          <w:b/>
          <w:bCs/>
          <w:sz w:val="22"/>
          <w:szCs w:val="22"/>
        </w:rPr>
      </w:pPr>
      <w:bookmarkStart w:id="11" w:name="_Hlk188364326"/>
      <w:r w:rsidRPr="00CF43A4">
        <w:rPr>
          <w:b/>
          <w:bCs/>
          <w:sz w:val="22"/>
          <w:szCs w:val="22"/>
        </w:rPr>
        <w:t>Observation 1: In addition to the Baseline Blocker Model, the reduced blocker model with a {D, U, D} SBFD configuration, analog filtering of adjacent interference, and a modified noise figure along with the same model incorporating CLI handling schemes should be further studied for SBFD performance evaluations in FR1 scenarios.</w:t>
      </w:r>
      <w:r w:rsidR="00AE0416" w:rsidRPr="004D6DFD">
        <w:rPr>
          <w:b/>
          <w:bCs/>
          <w:sz w:val="22"/>
          <w:szCs w:val="22"/>
        </w:rPr>
        <w:t xml:space="preserve"> </w:t>
      </w:r>
    </w:p>
    <w:p w14:paraId="720DA146" w14:textId="77777777" w:rsidR="004C6B12" w:rsidRDefault="004C6B12" w:rsidP="00F40412">
      <w:pPr>
        <w:autoSpaceDN w:val="0"/>
        <w:spacing w:line="254" w:lineRule="auto"/>
        <w:jc w:val="both"/>
      </w:pPr>
    </w:p>
    <w:p w14:paraId="098AA730" w14:textId="783B9E19" w:rsidR="00CF43A4" w:rsidRDefault="00CF43A4" w:rsidP="00CF43A4">
      <w:pPr>
        <w:autoSpaceDN w:val="0"/>
        <w:spacing w:line="254" w:lineRule="auto"/>
        <w:jc w:val="both"/>
        <w:rPr>
          <w:b/>
          <w:bCs/>
          <w:sz w:val="22"/>
          <w:szCs w:val="22"/>
        </w:rPr>
      </w:pPr>
      <w:r w:rsidRPr="00CF43A4">
        <w:rPr>
          <w:b/>
          <w:bCs/>
          <w:sz w:val="22"/>
          <w:szCs w:val="22"/>
        </w:rPr>
        <w:t xml:space="preserve">Proposal 2: For in-band blocking simulations, investigate both the reduced blocker model and the reduced blocker model with CLI handling mechanisms. Specifically, for UMa with a modified noise figure, use P1 = -37 dBm, P2 = -25 dBm, F1 = 8 dB, and F2 = 14 dB. </w:t>
      </w:r>
    </w:p>
    <w:p w14:paraId="222D24B0" w14:textId="77777777" w:rsidR="00CF43A4" w:rsidRPr="00CF43A4" w:rsidRDefault="00CF43A4" w:rsidP="00CF43A4">
      <w:pPr>
        <w:autoSpaceDN w:val="0"/>
        <w:spacing w:line="254" w:lineRule="auto"/>
        <w:jc w:val="both"/>
        <w:rPr>
          <w:b/>
          <w:bCs/>
          <w:sz w:val="22"/>
          <w:szCs w:val="22"/>
        </w:rPr>
      </w:pPr>
    </w:p>
    <w:p w14:paraId="60FE9556" w14:textId="2371F3BF" w:rsidR="00560E6F" w:rsidRDefault="00CF43A4" w:rsidP="00CF43A4">
      <w:pPr>
        <w:autoSpaceDN w:val="0"/>
        <w:spacing w:line="254" w:lineRule="auto"/>
        <w:jc w:val="both"/>
      </w:pPr>
      <w:r w:rsidRPr="00CF43A4">
        <w:rPr>
          <w:b/>
          <w:bCs/>
          <w:sz w:val="22"/>
          <w:szCs w:val="22"/>
        </w:rPr>
        <w:t xml:space="preserve">Proposal 3: </w:t>
      </w:r>
      <w:r w:rsidR="00AF534C" w:rsidRPr="00AF534C">
        <w:rPr>
          <w:b/>
          <w:bCs/>
          <w:sz w:val="22"/>
          <w:szCs w:val="22"/>
        </w:rPr>
        <w:t xml:space="preserve">Consider a 3 dB degradation in noise figure when using the reduced blocker model with additional filtering. </w:t>
      </w:r>
    </w:p>
    <w:bookmarkEnd w:id="11"/>
    <w:p w14:paraId="154C04C3" w14:textId="05BF2194" w:rsidR="00F40412" w:rsidRDefault="00F40412" w:rsidP="00F40412">
      <w:pPr>
        <w:autoSpaceDN w:val="0"/>
        <w:spacing w:line="254" w:lineRule="auto"/>
        <w:jc w:val="both"/>
      </w:pPr>
      <w:r w:rsidRPr="00647C00">
        <w:t xml:space="preserve"> </w:t>
      </w:r>
    </w:p>
    <w:p w14:paraId="4AD9F416" w14:textId="77777777" w:rsidR="00647C00" w:rsidRPr="00647C00" w:rsidRDefault="00647C00" w:rsidP="000E0A21">
      <w:pPr>
        <w:pStyle w:val="Heading3"/>
        <w:ind w:left="709"/>
        <w:rPr>
          <w:rFonts w:ascii="Times New Roman" w:hAnsi="Times New Roman"/>
          <w:b/>
          <w:bCs/>
        </w:rPr>
      </w:pPr>
      <w:r w:rsidRPr="00647C00">
        <w:rPr>
          <w:rFonts w:ascii="Times New Roman" w:hAnsi="Times New Roman"/>
          <w:b/>
          <w:bCs/>
        </w:rPr>
        <w:lastRenderedPageBreak/>
        <w:t>S</w:t>
      </w:r>
      <w:r w:rsidR="00A73EC8" w:rsidRPr="00647C00">
        <w:rPr>
          <w:rFonts w:ascii="Times New Roman" w:hAnsi="Times New Roman"/>
          <w:b/>
          <w:bCs/>
        </w:rPr>
        <w:t>imulation results</w:t>
      </w:r>
    </w:p>
    <w:p w14:paraId="215D7D8B" w14:textId="64E1E490" w:rsidR="00B85685" w:rsidRDefault="00AB3B90" w:rsidP="007F7C26">
      <w:pPr>
        <w:pStyle w:val="Heading4"/>
        <w:ind w:left="851"/>
        <w:jc w:val="both"/>
        <w:rPr>
          <w:rFonts w:ascii="Times New Roman" w:hAnsi="Times New Roman" w:cs="Times New Roman"/>
          <w:b/>
          <w:bCs/>
          <w:szCs w:val="28"/>
        </w:rPr>
      </w:pPr>
      <w:r w:rsidRPr="00AB3B90">
        <w:rPr>
          <w:rFonts w:ascii="Times New Roman" w:hAnsi="Times New Roman" w:cs="Times New Roman"/>
          <w:b/>
          <w:bCs/>
          <w:szCs w:val="28"/>
        </w:rPr>
        <w:t>In-band Blocking Results for Baseline BS Rx Model</w:t>
      </w:r>
      <w:r>
        <w:rPr>
          <w:rFonts w:ascii="Times New Roman" w:hAnsi="Times New Roman" w:cs="Times New Roman"/>
          <w:b/>
          <w:bCs/>
          <w:szCs w:val="28"/>
        </w:rPr>
        <w:t xml:space="preserve"> </w:t>
      </w:r>
      <w:r w:rsidR="00B719D3">
        <w:rPr>
          <w:rFonts w:ascii="Times New Roman" w:hAnsi="Times New Roman" w:cs="Times New Roman"/>
          <w:b/>
          <w:bCs/>
          <w:szCs w:val="28"/>
        </w:rPr>
        <w:t>[CASE-A]</w:t>
      </w:r>
    </w:p>
    <w:p w14:paraId="020B30E3" w14:textId="0ED13DA9" w:rsidR="007241CA" w:rsidRPr="007F7C26" w:rsidRDefault="007241CA" w:rsidP="007F7C26">
      <w:pPr>
        <w:pStyle w:val="Heading5"/>
        <w:rPr>
          <w:rFonts w:ascii="Times New Roman" w:hAnsi="Times New Roman" w:cs="Times New Roman"/>
          <w:b/>
          <w:bCs/>
          <w:color w:val="auto"/>
          <w:sz w:val="26"/>
          <w:szCs w:val="26"/>
        </w:rPr>
      </w:pPr>
      <w:bookmarkStart w:id="12" w:name="_Hlk181783239"/>
      <w:r w:rsidRPr="007F7C26">
        <w:rPr>
          <w:rFonts w:ascii="Times New Roman" w:hAnsi="Times New Roman" w:cs="Times New Roman"/>
          <w:b/>
          <w:bCs/>
          <w:color w:val="auto"/>
          <w:sz w:val="26"/>
          <w:szCs w:val="26"/>
          <w:lang w:eastAsia="ja-JP"/>
        </w:rPr>
        <w:t xml:space="preserve">SBFD Aggressor </w:t>
      </w:r>
    </w:p>
    <w:bookmarkEnd w:id="12"/>
    <w:p w14:paraId="575EF7F7" w14:textId="21B5202E" w:rsidR="0040104A" w:rsidRDefault="0040104A" w:rsidP="00A73EC8">
      <w:pPr>
        <w:jc w:val="both"/>
        <w:rPr>
          <w:sz w:val="22"/>
          <w:szCs w:val="22"/>
          <w:lang w:eastAsia="ja-JP"/>
        </w:rPr>
      </w:pPr>
    </w:p>
    <w:p w14:paraId="18676D65" w14:textId="45DF0079" w:rsidR="00A73EC8" w:rsidRDefault="00A73EC8" w:rsidP="00A73EC8">
      <w:pPr>
        <w:jc w:val="both"/>
        <w:rPr>
          <w:sz w:val="22"/>
          <w:szCs w:val="22"/>
          <w:lang w:eastAsia="ja-JP"/>
        </w:rPr>
      </w:pPr>
      <w:r w:rsidRPr="00647C00">
        <w:rPr>
          <w:sz w:val="22"/>
          <w:szCs w:val="22"/>
          <w:lang w:eastAsia="ja-JP"/>
        </w:rPr>
        <w:t xml:space="preserve">We consider a coexistence scenario where UMa deployments of two different operators are deployed in the same area and in adjacent channels. The first operator (victim) deploys a SBFD network, while the second operator (aggressor) </w:t>
      </w:r>
      <w:r w:rsidR="00BC1E61">
        <w:rPr>
          <w:sz w:val="22"/>
          <w:szCs w:val="22"/>
          <w:lang w:eastAsia="ja-JP"/>
        </w:rPr>
        <w:t>also</w:t>
      </w:r>
      <w:r w:rsidRPr="00647C00">
        <w:rPr>
          <w:sz w:val="22"/>
          <w:szCs w:val="22"/>
          <w:lang w:eastAsia="ja-JP"/>
        </w:rPr>
        <w:t xml:space="preserve"> deploys a </w:t>
      </w:r>
      <w:r w:rsidR="00777D67">
        <w:rPr>
          <w:sz w:val="22"/>
          <w:szCs w:val="22"/>
          <w:lang w:eastAsia="ja-JP"/>
        </w:rPr>
        <w:t>SBFD</w:t>
      </w:r>
      <w:r w:rsidRPr="00647C00">
        <w:rPr>
          <w:sz w:val="22"/>
          <w:szCs w:val="22"/>
          <w:lang w:eastAsia="ja-JP"/>
        </w:rPr>
        <w:t xml:space="preserve"> network. We are interested in evaluating the wideband interference power received by the UL of the SBFD operator from the DL of the </w:t>
      </w:r>
      <w:r w:rsidR="0040104A">
        <w:rPr>
          <w:sz w:val="22"/>
          <w:szCs w:val="22"/>
          <w:lang w:eastAsia="ja-JP"/>
        </w:rPr>
        <w:t>SBFD</w:t>
      </w:r>
      <w:r w:rsidRPr="00647C00">
        <w:rPr>
          <w:sz w:val="22"/>
          <w:szCs w:val="22"/>
          <w:lang w:eastAsia="ja-JP"/>
        </w:rPr>
        <w:t xml:space="preserve"> </w:t>
      </w:r>
      <w:r w:rsidR="00BC1E61">
        <w:rPr>
          <w:sz w:val="22"/>
          <w:szCs w:val="22"/>
          <w:lang w:eastAsia="ja-JP"/>
        </w:rPr>
        <w:t>aggressor</w:t>
      </w:r>
      <w:r w:rsidRPr="00647C00">
        <w:rPr>
          <w:sz w:val="22"/>
          <w:szCs w:val="22"/>
          <w:lang w:eastAsia="ja-JP"/>
        </w:rPr>
        <w:t xml:space="preserve">. The default noise figure model defined in the 38.858 Annex </w:t>
      </w:r>
      <w:r w:rsidRPr="001E594C">
        <w:rPr>
          <w:sz w:val="22"/>
          <w:szCs w:val="22"/>
          <w:lang w:eastAsia="ja-JP"/>
        </w:rPr>
        <w:t xml:space="preserve">E </w:t>
      </w:r>
      <w:r w:rsidR="00AF55A7" w:rsidRPr="001E594C">
        <w:rPr>
          <w:sz w:val="22"/>
          <w:szCs w:val="22"/>
          <w:lang w:eastAsia="ja-JP"/>
        </w:rPr>
        <w:t>[2]</w:t>
      </w:r>
      <w:r w:rsidR="00AF55A7">
        <w:rPr>
          <w:sz w:val="22"/>
          <w:szCs w:val="22"/>
          <w:lang w:eastAsia="ja-JP"/>
        </w:rPr>
        <w:t xml:space="preserve"> </w:t>
      </w:r>
      <w:r w:rsidRPr="00647C00">
        <w:rPr>
          <w:sz w:val="22"/>
          <w:szCs w:val="22"/>
          <w:lang w:eastAsia="ja-JP"/>
        </w:rPr>
        <w:t xml:space="preserve">is considered as baseline. </w:t>
      </w:r>
    </w:p>
    <w:p w14:paraId="5D6CB22A" w14:textId="4CA0BF1E" w:rsidR="00CD0B02" w:rsidRPr="00647C00" w:rsidRDefault="00503122" w:rsidP="00E4634D">
      <w:pPr>
        <w:jc w:val="center"/>
        <w:rPr>
          <w:sz w:val="22"/>
          <w:szCs w:val="22"/>
        </w:rPr>
      </w:pPr>
      <w:r w:rsidRPr="00503122">
        <w:rPr>
          <w:noProof/>
          <w:sz w:val="22"/>
          <w:szCs w:val="22"/>
        </w:rPr>
        <w:drawing>
          <wp:inline distT="0" distB="0" distL="0" distR="0" wp14:anchorId="4DD0AD0D" wp14:editId="7B881441">
            <wp:extent cx="5104737" cy="2240556"/>
            <wp:effectExtent l="0" t="0" r="127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4864" r="4615"/>
                    <a:stretch/>
                  </pic:blipFill>
                  <pic:spPr bwMode="auto">
                    <a:xfrm>
                      <a:off x="0" y="0"/>
                      <a:ext cx="5110844" cy="2243236"/>
                    </a:xfrm>
                    <a:prstGeom prst="rect">
                      <a:avLst/>
                    </a:prstGeom>
                    <a:ln>
                      <a:noFill/>
                    </a:ln>
                    <a:extLst>
                      <a:ext uri="{53640926-AAD7-44D8-BBD7-CCE9431645EC}">
                        <a14:shadowObscured xmlns:a14="http://schemas.microsoft.com/office/drawing/2010/main"/>
                      </a:ext>
                    </a:extLst>
                  </pic:spPr>
                </pic:pic>
              </a:graphicData>
            </a:graphic>
          </wp:inline>
        </w:drawing>
      </w:r>
    </w:p>
    <w:p w14:paraId="52DC7097" w14:textId="2FF6BD04" w:rsidR="00A73EC8" w:rsidRPr="00647C00" w:rsidRDefault="00A73EC8" w:rsidP="00A73EC8">
      <w:pPr>
        <w:keepNext/>
        <w:jc w:val="center"/>
      </w:pPr>
    </w:p>
    <w:p w14:paraId="56F55786" w14:textId="77777777" w:rsidR="000C4A75" w:rsidRPr="000C4A75" w:rsidRDefault="000C4A75" w:rsidP="00A73EC8">
      <w:pPr>
        <w:jc w:val="center"/>
        <w:rPr>
          <w:b/>
          <w:bCs/>
          <w:sz w:val="6"/>
          <w:szCs w:val="6"/>
        </w:rPr>
      </w:pPr>
    </w:p>
    <w:p w14:paraId="6DD833D5" w14:textId="0B39470A" w:rsidR="00A73EC8" w:rsidRPr="00647C00" w:rsidRDefault="00A73EC8" w:rsidP="00A73EC8">
      <w:pPr>
        <w:jc w:val="center"/>
        <w:rPr>
          <w:b/>
          <w:bCs/>
        </w:rPr>
      </w:pPr>
      <w:r w:rsidRPr="00647C00">
        <w:rPr>
          <w:b/>
          <w:bCs/>
        </w:rPr>
        <w:t>Figure</w:t>
      </w:r>
      <w:r w:rsidR="00EF431B">
        <w:rPr>
          <w:b/>
          <w:bCs/>
        </w:rPr>
        <w:t xml:space="preserve"> </w:t>
      </w:r>
      <w:r w:rsidR="006528DF">
        <w:rPr>
          <w:b/>
          <w:bCs/>
        </w:rPr>
        <w:t>4</w:t>
      </w:r>
      <w:r w:rsidRPr="00647C00">
        <w:rPr>
          <w:b/>
          <w:bCs/>
        </w:rPr>
        <w:t>: FR1, UMa</w:t>
      </w:r>
      <w:r w:rsidR="001858E7">
        <w:rPr>
          <w:b/>
          <w:bCs/>
        </w:rPr>
        <w:t xml:space="preserve"> </w:t>
      </w:r>
      <w:r w:rsidR="001858E7">
        <w:rPr>
          <w:rFonts w:eastAsia="Wingdings"/>
          <w:b/>
          <w:bCs/>
        </w:rPr>
        <w:t xml:space="preserve">-&gt; </w:t>
      </w:r>
      <w:r w:rsidRPr="00647C00">
        <w:rPr>
          <w:b/>
          <w:bCs/>
        </w:rPr>
        <w:t>UMa, in-band blocking</w:t>
      </w:r>
      <w:r w:rsidR="00F92075">
        <w:rPr>
          <w:b/>
          <w:bCs/>
        </w:rPr>
        <w:t>, SBFD Aggressor</w:t>
      </w:r>
    </w:p>
    <w:p w14:paraId="1A497090" w14:textId="77777777" w:rsidR="00A73EC8" w:rsidRPr="00647C00" w:rsidRDefault="00A73EC8" w:rsidP="00A73EC8">
      <w:pPr>
        <w:rPr>
          <w:sz w:val="4"/>
          <w:szCs w:val="4"/>
          <w:lang w:eastAsia="ja-JP"/>
        </w:rPr>
      </w:pPr>
    </w:p>
    <w:p w14:paraId="0E6FF34C" w14:textId="77777777" w:rsidR="00A73EC8" w:rsidRPr="00647C00" w:rsidRDefault="00A73EC8" w:rsidP="00A73EC8">
      <w:pPr>
        <w:rPr>
          <w:color w:val="000000" w:themeColor="text1"/>
          <w:sz w:val="22"/>
          <w:szCs w:val="22"/>
          <w:lang w:eastAsia="ja-JP"/>
        </w:rPr>
      </w:pPr>
    </w:p>
    <w:p w14:paraId="77D559D0" w14:textId="49755269" w:rsidR="00A73EC8" w:rsidRPr="00647C00" w:rsidRDefault="00A73EC8" w:rsidP="00A73EC8">
      <w:pPr>
        <w:jc w:val="center"/>
        <w:rPr>
          <w:b/>
        </w:rPr>
      </w:pPr>
      <w:r w:rsidRPr="00647C00">
        <w:rPr>
          <w:b/>
        </w:rPr>
        <w:t xml:space="preserve">Table </w:t>
      </w:r>
      <w:r w:rsidR="009C12B5">
        <w:rPr>
          <w:b/>
        </w:rPr>
        <w:t>3</w:t>
      </w:r>
      <w:r w:rsidRPr="00647C00">
        <w:rPr>
          <w:b/>
        </w:rPr>
        <w:t>: FR1 SBFD UMa</w:t>
      </w:r>
      <w:r w:rsidR="001858E7">
        <w:rPr>
          <w:b/>
        </w:rPr>
        <w:t xml:space="preserve"> </w:t>
      </w:r>
      <w:r w:rsidR="001858E7">
        <w:rPr>
          <w:rFonts w:eastAsia="Wingdings"/>
          <w:b/>
        </w:rPr>
        <w:t xml:space="preserve">-&gt; </w:t>
      </w:r>
      <w:r w:rsidRPr="00647C00">
        <w:rPr>
          <w:b/>
        </w:rPr>
        <w:t>UMa conducted in-band blocking simulation results</w:t>
      </w:r>
    </w:p>
    <w:p w14:paraId="4EE36B09" w14:textId="77777777" w:rsidR="00A73EC8" w:rsidRPr="00647C00" w:rsidRDefault="00A73EC8" w:rsidP="00A73EC8">
      <w:pPr>
        <w:jc w:val="center"/>
        <w:rPr>
          <w:sz w:val="10"/>
          <w:szCs w:val="10"/>
        </w:rPr>
      </w:pPr>
    </w:p>
    <w:tbl>
      <w:tblPr>
        <w:tblW w:w="7095" w:type="dxa"/>
        <w:jc w:val="center"/>
        <w:tblLayout w:type="fixed"/>
        <w:tblLook w:val="04A0" w:firstRow="1" w:lastRow="0" w:firstColumn="1" w:lastColumn="0" w:noHBand="0" w:noVBand="1"/>
      </w:tblPr>
      <w:tblGrid>
        <w:gridCol w:w="3253"/>
        <w:gridCol w:w="1671"/>
        <w:gridCol w:w="2171"/>
      </w:tblGrid>
      <w:tr w:rsidR="00A73EC8" w:rsidRPr="00647C00" w14:paraId="6C77A1E8" w14:textId="77777777" w:rsidTr="00A73EC8">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058E1675" w14:textId="77777777" w:rsidR="00A73EC8" w:rsidRPr="00647C00" w:rsidRDefault="00A73EC8">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37004658" w14:textId="77777777" w:rsidR="00A73EC8" w:rsidRPr="00B22E2E" w:rsidRDefault="00A73EC8">
            <w:pPr>
              <w:jc w:val="center"/>
              <w:rPr>
                <w:rFonts w:eastAsia="DengXian"/>
                <w:b/>
                <w:bCs/>
                <w:color w:val="000000"/>
                <w:lang w:val="en-US"/>
              </w:rPr>
            </w:pPr>
            <w:r w:rsidRPr="00B22E2E">
              <w:rPr>
                <w:rFonts w:eastAsia="DengXian"/>
                <w:b/>
                <w:bCs/>
                <w:color w:val="000000"/>
                <w:lang w:val="en-US"/>
              </w:rPr>
              <w:t>100% grid-shift</w:t>
            </w:r>
          </w:p>
        </w:tc>
        <w:tc>
          <w:tcPr>
            <w:tcW w:w="2173" w:type="dxa"/>
            <w:tcBorders>
              <w:top w:val="single" w:sz="4" w:space="0" w:color="auto"/>
              <w:left w:val="nil"/>
              <w:bottom w:val="single" w:sz="4" w:space="0" w:color="auto"/>
              <w:right w:val="single" w:sz="4" w:space="0" w:color="auto"/>
            </w:tcBorders>
            <w:vAlign w:val="center"/>
            <w:hideMark/>
          </w:tcPr>
          <w:p w14:paraId="20976E85" w14:textId="77777777" w:rsidR="00A73EC8" w:rsidRPr="00B22E2E" w:rsidRDefault="00A73EC8">
            <w:pPr>
              <w:jc w:val="center"/>
              <w:rPr>
                <w:rFonts w:eastAsia="DengXian"/>
                <w:b/>
                <w:bCs/>
                <w:color w:val="000000"/>
                <w:lang w:val="en-US"/>
              </w:rPr>
            </w:pPr>
            <w:r w:rsidRPr="00B22E2E">
              <w:rPr>
                <w:rFonts w:eastAsia="DengXian"/>
                <w:b/>
                <w:bCs/>
                <w:color w:val="000000"/>
                <w:lang w:val="en-US"/>
              </w:rPr>
              <w:t>10% grid-shift</w:t>
            </w:r>
          </w:p>
        </w:tc>
      </w:tr>
      <w:tr w:rsidR="00A73EC8" w:rsidRPr="00647C00" w14:paraId="2001E523" w14:textId="77777777" w:rsidTr="00A73EC8">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48B26F6" w14:textId="77777777" w:rsidR="00A73EC8" w:rsidRPr="00647C00" w:rsidRDefault="00A73EC8">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29627194" w14:textId="77777777" w:rsidR="00A73EC8" w:rsidRPr="00647C00" w:rsidRDefault="00A73EC8">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40ABF5CF" w14:textId="77777777" w:rsidR="00A73EC8" w:rsidRPr="00647C00" w:rsidRDefault="00A73EC8">
            <w:pPr>
              <w:jc w:val="center"/>
              <w:rPr>
                <w:rFonts w:eastAsia="DengXian"/>
                <w:color w:val="000000"/>
                <w:lang w:val="en-US"/>
              </w:rPr>
            </w:pPr>
            <w:r w:rsidRPr="00647C00">
              <w:rPr>
                <w:rFonts w:eastAsia="DengXian"/>
                <w:color w:val="000000"/>
                <w:lang w:val="en-US"/>
              </w:rPr>
              <w:t>99% CDF</w:t>
            </w:r>
          </w:p>
        </w:tc>
      </w:tr>
      <w:tr w:rsidR="00A73EC8" w:rsidRPr="00647C00" w14:paraId="3BF971F4" w14:textId="77777777" w:rsidTr="00A73EC8">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03C02884" w14:textId="77777777" w:rsidR="00A73EC8" w:rsidRPr="00647C00" w:rsidRDefault="00A73EC8">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7DDEF749" w14:textId="3B9D54DC" w:rsidR="00A73EC8" w:rsidRPr="00647C00" w:rsidRDefault="00A73EC8">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30</w:t>
            </w:r>
            <w:r w:rsidRPr="00647C00">
              <w:rPr>
                <w:rFonts w:eastAsia="DengXian"/>
                <w:color w:val="000000"/>
                <w:lang w:val="en-US"/>
              </w:rPr>
              <w:t>.4</w:t>
            </w:r>
            <w:r w:rsidR="00BC6B59">
              <w:rPr>
                <w:rFonts w:eastAsia="DengXian"/>
                <w:color w:val="000000"/>
                <w:lang w:val="en-US"/>
              </w:rPr>
              <w:t>7</w:t>
            </w:r>
          </w:p>
        </w:tc>
        <w:tc>
          <w:tcPr>
            <w:tcW w:w="2173" w:type="dxa"/>
            <w:tcBorders>
              <w:top w:val="nil"/>
              <w:left w:val="nil"/>
              <w:bottom w:val="single" w:sz="4" w:space="0" w:color="auto"/>
              <w:right w:val="single" w:sz="4" w:space="0" w:color="auto"/>
            </w:tcBorders>
            <w:vAlign w:val="center"/>
            <w:hideMark/>
          </w:tcPr>
          <w:p w14:paraId="6DC1B995" w14:textId="338A4B6A" w:rsidR="00A73EC8" w:rsidRPr="00647C00" w:rsidRDefault="00A73EC8">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w:t>
            </w:r>
            <w:r w:rsidRPr="00647C00">
              <w:rPr>
                <w:rFonts w:eastAsia="DengXian"/>
                <w:color w:val="000000"/>
                <w:lang w:val="en-US"/>
              </w:rPr>
              <w:t>.82</w:t>
            </w:r>
          </w:p>
        </w:tc>
      </w:tr>
    </w:tbl>
    <w:p w14:paraId="6B957BF9" w14:textId="77777777" w:rsidR="00A73EC8" w:rsidRPr="00647C00" w:rsidRDefault="00A73EC8" w:rsidP="00A73EC8">
      <w:pPr>
        <w:jc w:val="both"/>
        <w:rPr>
          <w:sz w:val="22"/>
          <w:szCs w:val="22"/>
          <w:lang w:eastAsia="ja-JP"/>
        </w:rPr>
      </w:pPr>
    </w:p>
    <w:p w14:paraId="60C1F398" w14:textId="52563CE4" w:rsidR="00A73EC8" w:rsidRPr="00647C00" w:rsidRDefault="06B204F2" w:rsidP="00A73EC8">
      <w:pPr>
        <w:jc w:val="both"/>
        <w:rPr>
          <w:b/>
          <w:bCs/>
          <w:sz w:val="22"/>
          <w:szCs w:val="22"/>
          <w:highlight w:val="yellow"/>
        </w:rPr>
      </w:pPr>
      <w:r w:rsidRPr="6C9906A2">
        <w:rPr>
          <w:sz w:val="22"/>
          <w:szCs w:val="22"/>
          <w:lang w:eastAsia="ja-JP"/>
        </w:rPr>
        <w:t>T</w:t>
      </w:r>
      <w:r w:rsidR="00A73EC8" w:rsidRPr="6C9906A2">
        <w:rPr>
          <w:sz w:val="22"/>
          <w:szCs w:val="22"/>
          <w:lang w:eastAsia="ja-JP"/>
        </w:rPr>
        <w:t xml:space="preserve">he in-band blocking requirement is defined for the 99%-tile of the CDF of the received UL wideband interference power. From Figure </w:t>
      </w:r>
      <w:r w:rsidR="3263009A" w:rsidRPr="6C9906A2">
        <w:rPr>
          <w:sz w:val="22"/>
          <w:szCs w:val="22"/>
          <w:lang w:eastAsia="ja-JP"/>
        </w:rPr>
        <w:t>4</w:t>
      </w:r>
      <w:r w:rsidR="00A73EC8" w:rsidRPr="6C9906A2">
        <w:rPr>
          <w:sz w:val="22"/>
          <w:szCs w:val="22"/>
          <w:lang w:eastAsia="ja-JP"/>
        </w:rPr>
        <w:t>, it can be observed that the in-band blocking requirement is higher as the grid shift decreases. It can also be observed that for the 100% grid shift case, the 99 percentile of the in-band blocking power is 1</w:t>
      </w:r>
      <w:r w:rsidR="00A22097">
        <w:rPr>
          <w:sz w:val="22"/>
          <w:szCs w:val="22"/>
          <w:lang w:eastAsia="ja-JP"/>
        </w:rPr>
        <w:t>3</w:t>
      </w:r>
      <w:r w:rsidR="00A73EC8" w:rsidRPr="6C9906A2">
        <w:rPr>
          <w:sz w:val="22"/>
          <w:szCs w:val="22"/>
          <w:lang w:eastAsia="ja-JP"/>
        </w:rPr>
        <w:t>.54 dBm, and for the 10% grid shift case, it is approximately 4</w:t>
      </w:r>
      <w:r w:rsidR="00A22097">
        <w:rPr>
          <w:sz w:val="22"/>
          <w:szCs w:val="22"/>
          <w:lang w:eastAsia="ja-JP"/>
        </w:rPr>
        <w:t>0</w:t>
      </w:r>
      <w:r w:rsidR="00A73EC8" w:rsidRPr="6C9906A2">
        <w:rPr>
          <w:sz w:val="22"/>
          <w:szCs w:val="22"/>
          <w:lang w:eastAsia="ja-JP"/>
        </w:rPr>
        <w:t>.18 dB above the currently specified in-band blocking requirement (-43 dBm) for Wide Area BS, respectively.</w:t>
      </w:r>
    </w:p>
    <w:p w14:paraId="0BAAFD0B" w14:textId="77777777" w:rsidR="00A73EC8" w:rsidRPr="00647C00" w:rsidRDefault="00A73EC8" w:rsidP="00A73EC8">
      <w:pPr>
        <w:jc w:val="both"/>
        <w:rPr>
          <w:b/>
          <w:bCs/>
          <w:sz w:val="22"/>
          <w:szCs w:val="22"/>
          <w:highlight w:val="yellow"/>
        </w:rPr>
      </w:pPr>
    </w:p>
    <w:p w14:paraId="39BA34E9" w14:textId="55E974CD" w:rsidR="00A73EC8" w:rsidRDefault="00CF43A4" w:rsidP="00A73EC8">
      <w:pPr>
        <w:jc w:val="both"/>
        <w:rPr>
          <w:b/>
          <w:sz w:val="22"/>
          <w:szCs w:val="22"/>
          <w:lang w:eastAsia="ja-JP"/>
        </w:rPr>
      </w:pPr>
      <w:bookmarkStart w:id="13" w:name="_Hlk188364354"/>
      <w:r w:rsidRPr="00CF43A4">
        <w:rPr>
          <w:b/>
          <w:bCs/>
          <w:sz w:val="22"/>
          <w:szCs w:val="22"/>
          <w:lang w:eastAsia="ja-JP"/>
        </w:rPr>
        <w:t>Observation 2: For UMa deployments with SBFD as the aggressor network and a 100% grid shift, the 99th percentile of in-band blocking power is 13.54 dBm. With a 10% grid shift, the in-band blocking power is approximately 40.18 dB above the current threshold of -43 dBm.</w:t>
      </w:r>
    </w:p>
    <w:bookmarkEnd w:id="13"/>
    <w:p w14:paraId="39D098EF" w14:textId="77777777" w:rsidR="007C1F65" w:rsidRPr="00647C00" w:rsidRDefault="007C1F65" w:rsidP="00A73EC8">
      <w:pPr>
        <w:jc w:val="both"/>
        <w:rPr>
          <w:b/>
          <w:bCs/>
          <w:sz w:val="22"/>
          <w:szCs w:val="22"/>
        </w:rPr>
      </w:pPr>
    </w:p>
    <w:p w14:paraId="378CA50A" w14:textId="1B693AEB" w:rsidR="00A73EC8" w:rsidRPr="00647C00" w:rsidRDefault="00C7062E" w:rsidP="00A73EC8">
      <w:pPr>
        <w:jc w:val="center"/>
      </w:pPr>
      <w:r w:rsidRPr="00647C00">
        <w:rPr>
          <w:noProof/>
        </w:rPr>
        <w:lastRenderedPageBreak/>
        <w:drawing>
          <wp:inline distT="0" distB="0" distL="0" distR="0" wp14:anchorId="2F061799" wp14:editId="60AD3330">
            <wp:extent cx="4079019" cy="2152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t="4742" r="2826"/>
                    <a:stretch>
                      <a:fillRect/>
                    </a:stretch>
                  </pic:blipFill>
                  <pic:spPr bwMode="auto">
                    <a:xfrm>
                      <a:off x="0" y="0"/>
                      <a:ext cx="4081090" cy="2153743"/>
                    </a:xfrm>
                    <a:prstGeom prst="rect">
                      <a:avLst/>
                    </a:prstGeom>
                    <a:noFill/>
                    <a:ln>
                      <a:noFill/>
                    </a:ln>
                  </pic:spPr>
                </pic:pic>
              </a:graphicData>
            </a:graphic>
          </wp:inline>
        </w:drawing>
      </w:r>
    </w:p>
    <w:p w14:paraId="29A434AB" w14:textId="6503B2A9" w:rsidR="00A73EC8" w:rsidRPr="00647C00" w:rsidRDefault="00A73EC8" w:rsidP="00A73EC8">
      <w:pPr>
        <w:keepNext/>
        <w:jc w:val="center"/>
      </w:pPr>
    </w:p>
    <w:p w14:paraId="1B855B44" w14:textId="23F78B0E" w:rsidR="00A73EC8" w:rsidRPr="00E17E26" w:rsidRDefault="00A73EC8" w:rsidP="00A73EC8">
      <w:pPr>
        <w:rPr>
          <w:b/>
          <w:bCs/>
        </w:rPr>
      </w:pPr>
      <w:r w:rsidRPr="00E17E26">
        <w:rPr>
          <w:b/>
          <w:bCs/>
        </w:rPr>
        <w:t xml:space="preserve">                                                               Figure </w:t>
      </w:r>
      <w:r w:rsidR="006528DF" w:rsidRPr="00E17E26">
        <w:rPr>
          <w:b/>
          <w:bCs/>
        </w:rPr>
        <w:t>5</w:t>
      </w:r>
      <w:r w:rsidRPr="00E17E26">
        <w:rPr>
          <w:b/>
          <w:bCs/>
        </w:rPr>
        <w:t>: FR1, UMa</w:t>
      </w:r>
      <w:r w:rsidR="002751E1">
        <w:rPr>
          <w:b/>
          <w:bCs/>
        </w:rPr>
        <w:t>—different power levels</w:t>
      </w:r>
      <w:r w:rsidR="00E4634D">
        <w:rPr>
          <w:b/>
          <w:bCs/>
        </w:rPr>
        <w:t>,</w:t>
      </w:r>
      <w:r w:rsidR="00F746E7">
        <w:rPr>
          <w:b/>
          <w:bCs/>
        </w:rPr>
        <w:t xml:space="preserve"> SBFD Aggressor</w:t>
      </w:r>
    </w:p>
    <w:p w14:paraId="660AFCB1" w14:textId="77777777" w:rsidR="00A73EC8" w:rsidRPr="00647C00" w:rsidRDefault="00A73EC8" w:rsidP="00A73EC8">
      <w:pPr>
        <w:rPr>
          <w:color w:val="000000" w:themeColor="text1"/>
          <w:sz w:val="12"/>
          <w:szCs w:val="12"/>
          <w:lang w:eastAsia="ja-JP"/>
        </w:rPr>
      </w:pPr>
    </w:p>
    <w:p w14:paraId="4E8D0CF5" w14:textId="0B484E4C" w:rsidR="00A73EC8" w:rsidRDefault="00A73EC8" w:rsidP="006528DF">
      <w:pPr>
        <w:jc w:val="both"/>
        <w:rPr>
          <w:color w:val="000000" w:themeColor="text1"/>
          <w:sz w:val="22"/>
          <w:szCs w:val="22"/>
          <w:lang w:eastAsia="ja-JP"/>
        </w:rPr>
      </w:pPr>
      <w:r w:rsidRPr="00647C00">
        <w:rPr>
          <w:color w:val="000000" w:themeColor="text1"/>
          <w:sz w:val="22"/>
          <w:szCs w:val="22"/>
          <w:lang w:eastAsia="ja-JP"/>
        </w:rPr>
        <w:t xml:space="preserve">In Figure </w:t>
      </w:r>
      <w:r w:rsidR="006528DF">
        <w:rPr>
          <w:color w:val="000000" w:themeColor="text1"/>
          <w:sz w:val="22"/>
          <w:szCs w:val="22"/>
          <w:lang w:eastAsia="ja-JP"/>
        </w:rPr>
        <w:t>5</w:t>
      </w:r>
      <w:r w:rsidRPr="00647C00">
        <w:rPr>
          <w:color w:val="000000" w:themeColor="text1"/>
          <w:sz w:val="22"/>
          <w:szCs w:val="22"/>
          <w:lang w:eastAsia="ja-JP"/>
        </w:rPr>
        <w:t>, we have plotted the distributions of received power levels, considering 10% grid shift for this simulation scenario. We have captured adjacent channel gNB DL power level, co-channel gNB DL power level, co-channel UE</w:t>
      </w:r>
      <w:r w:rsidR="00E17E26">
        <w:rPr>
          <w:color w:val="000000" w:themeColor="text1"/>
          <w:sz w:val="22"/>
          <w:szCs w:val="22"/>
          <w:lang w:eastAsia="ja-JP"/>
        </w:rPr>
        <w:t>-</w:t>
      </w:r>
      <w:r w:rsidRPr="00647C00">
        <w:rPr>
          <w:color w:val="000000" w:themeColor="text1"/>
          <w:sz w:val="22"/>
          <w:szCs w:val="22"/>
          <w:lang w:eastAsia="ja-JP"/>
        </w:rPr>
        <w:t>UL power level, and wanted signal level. The results show that for 10% grid shift, adjacent channel interference power is dominating the total interference.</w:t>
      </w:r>
      <w:r w:rsidR="00C85900">
        <w:rPr>
          <w:color w:val="000000" w:themeColor="text1"/>
          <w:sz w:val="22"/>
          <w:szCs w:val="22"/>
          <w:lang w:eastAsia="ja-JP"/>
        </w:rPr>
        <w:t xml:space="preserve"> This study is also </w:t>
      </w:r>
      <w:r w:rsidR="00A7265F">
        <w:rPr>
          <w:color w:val="000000" w:themeColor="text1"/>
          <w:sz w:val="22"/>
          <w:szCs w:val="22"/>
          <w:lang w:eastAsia="ja-JP"/>
        </w:rPr>
        <w:t>available</w:t>
      </w:r>
      <w:r w:rsidR="00C85900">
        <w:rPr>
          <w:color w:val="000000" w:themeColor="text1"/>
          <w:sz w:val="22"/>
          <w:szCs w:val="22"/>
          <w:lang w:eastAsia="ja-JP"/>
        </w:rPr>
        <w:t xml:space="preserve"> in </w:t>
      </w:r>
      <w:r w:rsidR="00A7265F">
        <w:rPr>
          <w:color w:val="000000" w:themeColor="text1"/>
          <w:sz w:val="22"/>
          <w:szCs w:val="22"/>
          <w:lang w:eastAsia="ja-JP"/>
        </w:rPr>
        <w:t xml:space="preserve">our previous </w:t>
      </w:r>
      <w:r w:rsidR="00733682" w:rsidRPr="001E594C">
        <w:rPr>
          <w:color w:val="000000" w:themeColor="text1"/>
          <w:sz w:val="22"/>
          <w:szCs w:val="22"/>
          <w:lang w:eastAsia="ja-JP"/>
        </w:rPr>
        <w:t>contribution [</w:t>
      </w:r>
      <w:r w:rsidR="00A7265F" w:rsidRPr="001E594C">
        <w:rPr>
          <w:color w:val="000000" w:themeColor="text1"/>
          <w:sz w:val="22"/>
          <w:szCs w:val="22"/>
          <w:lang w:eastAsia="ja-JP"/>
        </w:rPr>
        <w:t>4].</w:t>
      </w:r>
      <w:r w:rsidR="00C85900">
        <w:rPr>
          <w:color w:val="000000" w:themeColor="text1"/>
          <w:sz w:val="22"/>
          <w:szCs w:val="22"/>
          <w:lang w:eastAsia="ja-JP"/>
        </w:rPr>
        <w:t xml:space="preserve"> </w:t>
      </w:r>
    </w:p>
    <w:p w14:paraId="1652AEB9" w14:textId="77777777" w:rsidR="00E1433F" w:rsidRPr="00647C00" w:rsidRDefault="00E1433F" w:rsidP="006528DF">
      <w:pPr>
        <w:jc w:val="both"/>
      </w:pPr>
    </w:p>
    <w:p w14:paraId="1436FA1C" w14:textId="475C498C" w:rsidR="00A73EC8" w:rsidRPr="00647C00" w:rsidRDefault="00CF43A4" w:rsidP="00A73EC8">
      <w:pPr>
        <w:jc w:val="both"/>
        <w:rPr>
          <w:b/>
          <w:bCs/>
          <w:sz w:val="22"/>
          <w:szCs w:val="22"/>
          <w:lang w:val="en-US"/>
        </w:rPr>
      </w:pPr>
      <w:bookmarkStart w:id="14" w:name="_Hlk188364375"/>
      <w:r w:rsidRPr="00CF43A4">
        <w:rPr>
          <w:b/>
          <w:bCs/>
          <w:sz w:val="22"/>
          <w:szCs w:val="22"/>
          <w:lang w:val="en-US"/>
        </w:rPr>
        <w:t>Observation 3: For a 10% grid shift, adjacent channel CLI power dominates the total in-band blocking power. gNB-to-gNB CLI handling schemes or deployment restrictions are required to mitigate this impact.</w:t>
      </w:r>
    </w:p>
    <w:bookmarkEnd w:id="14"/>
    <w:p w14:paraId="1C25B541" w14:textId="0B0B289D" w:rsidR="00A73EC8" w:rsidRPr="00647C00" w:rsidRDefault="00A73EC8" w:rsidP="00A73EC8">
      <w:pPr>
        <w:rPr>
          <w:sz w:val="22"/>
          <w:szCs w:val="22"/>
          <w:lang w:val="en-US"/>
        </w:rPr>
      </w:pPr>
    </w:p>
    <w:p w14:paraId="2F8B839D" w14:textId="09B7958E" w:rsidR="00BC31DB" w:rsidRDefault="00BC31DB" w:rsidP="00A73EC8">
      <w:pPr>
        <w:rPr>
          <w:b/>
          <w:bCs/>
          <w:sz w:val="24"/>
          <w:szCs w:val="24"/>
          <w:u w:val="single"/>
          <w:lang w:val="en-US"/>
        </w:rPr>
      </w:pPr>
      <w:r w:rsidRPr="0032013F">
        <w:rPr>
          <w:b/>
          <w:bCs/>
          <w:sz w:val="24"/>
          <w:szCs w:val="24"/>
          <w:u w:val="single"/>
          <w:lang w:val="en-US"/>
        </w:rPr>
        <w:t>Performance Comparison Between Different Grid Shifts</w:t>
      </w:r>
    </w:p>
    <w:p w14:paraId="4FE503EC" w14:textId="77777777" w:rsidR="0032013F" w:rsidRPr="0032013F" w:rsidRDefault="0032013F" w:rsidP="00A73EC8">
      <w:pPr>
        <w:rPr>
          <w:b/>
          <w:bCs/>
          <w:sz w:val="24"/>
          <w:szCs w:val="24"/>
          <w:u w:val="single"/>
          <w:lang w:val="en-US"/>
        </w:rPr>
      </w:pPr>
    </w:p>
    <w:p w14:paraId="6DA7311D" w14:textId="2735E240" w:rsidR="00A73EC8" w:rsidRPr="00647C00" w:rsidRDefault="00A73EC8" w:rsidP="00A73EC8">
      <w:pPr>
        <w:keepNext/>
      </w:pPr>
      <w:r w:rsidRPr="00647C00">
        <w:rPr>
          <w:noProof/>
        </w:rPr>
        <w:drawing>
          <wp:inline distT="0" distB="0" distL="0" distR="0" wp14:anchorId="4568883B" wp14:editId="34F59CC9">
            <wp:extent cx="3057525" cy="23907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7525" cy="2390775"/>
                    </a:xfrm>
                    <a:prstGeom prst="rect">
                      <a:avLst/>
                    </a:prstGeom>
                    <a:noFill/>
                    <a:ln>
                      <a:noFill/>
                    </a:ln>
                  </pic:spPr>
                </pic:pic>
              </a:graphicData>
            </a:graphic>
          </wp:inline>
        </w:drawing>
      </w:r>
      <w:r w:rsidRPr="00647C00">
        <w:t xml:space="preserve"> </w:t>
      </w:r>
      <w:r w:rsidRPr="00647C00">
        <w:rPr>
          <w:noProof/>
        </w:rPr>
        <w:t xml:space="preserve"> </w:t>
      </w:r>
      <w:r w:rsidRPr="00647C00">
        <w:rPr>
          <w:noProof/>
        </w:rPr>
        <w:drawing>
          <wp:inline distT="0" distB="0" distL="0" distR="0" wp14:anchorId="563F2BEE" wp14:editId="5121E003">
            <wp:extent cx="2762250" cy="2457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0" cy="2457450"/>
                    </a:xfrm>
                    <a:prstGeom prst="rect">
                      <a:avLst/>
                    </a:prstGeom>
                    <a:noFill/>
                    <a:ln>
                      <a:noFill/>
                    </a:ln>
                  </pic:spPr>
                </pic:pic>
              </a:graphicData>
            </a:graphic>
          </wp:inline>
        </w:drawing>
      </w:r>
    </w:p>
    <w:p w14:paraId="42140FB5" w14:textId="77777777" w:rsidR="00A73EC8" w:rsidRPr="00647C00" w:rsidRDefault="00A73EC8" w:rsidP="00A73EC8">
      <w:pPr>
        <w:keepNext/>
      </w:pPr>
    </w:p>
    <w:p w14:paraId="16AB7B6E" w14:textId="77777777" w:rsidR="00A73EC8" w:rsidRPr="008F511F" w:rsidRDefault="00A73EC8" w:rsidP="00FD7CD6">
      <w:pPr>
        <w:pStyle w:val="ListParagraph"/>
        <w:keepNext/>
        <w:numPr>
          <w:ilvl w:val="0"/>
          <w:numId w:val="14"/>
        </w:numPr>
        <w:jc w:val="center"/>
        <w:rPr>
          <w:rFonts w:ascii="Times New Roman" w:hAnsi="Times New Roman"/>
          <w:b/>
          <w:bCs/>
        </w:rPr>
      </w:pPr>
      <w:r w:rsidRPr="008F511F">
        <w:rPr>
          <w:rFonts w:ascii="Times New Roman" w:hAnsi="Times New Roman"/>
          <w:b/>
          <w:bCs/>
        </w:rPr>
        <w:t xml:space="preserve">                                                                 (b)</w:t>
      </w:r>
    </w:p>
    <w:p w14:paraId="4BAAFB49" w14:textId="77777777" w:rsidR="00A73EC8" w:rsidRPr="00647C00" w:rsidRDefault="00A73EC8" w:rsidP="008F511F">
      <w:pPr>
        <w:pStyle w:val="ListParagraph"/>
        <w:keepNext/>
        <w:rPr>
          <w:rFonts w:ascii="Times New Roman" w:hAnsi="Times New Roman"/>
        </w:rPr>
      </w:pPr>
    </w:p>
    <w:p w14:paraId="7976EE91" w14:textId="67F2C3EF" w:rsidR="00A73EC8" w:rsidRPr="008F511F" w:rsidRDefault="00A73EC8" w:rsidP="00A73EC8">
      <w:pPr>
        <w:keepNext/>
        <w:jc w:val="center"/>
        <w:rPr>
          <w:b/>
          <w:bCs/>
        </w:rPr>
      </w:pPr>
      <w:r w:rsidRPr="008F511F">
        <w:rPr>
          <w:b/>
          <w:bCs/>
        </w:rPr>
        <w:t xml:space="preserve">Figure </w:t>
      </w:r>
      <w:r w:rsidR="006528DF" w:rsidRPr="008F511F">
        <w:rPr>
          <w:b/>
          <w:bCs/>
        </w:rPr>
        <w:t>6</w:t>
      </w:r>
      <w:r w:rsidRPr="008F511F">
        <w:rPr>
          <w:b/>
          <w:bCs/>
        </w:rPr>
        <w:t>: CDF of (a) SINR (b)Spectral Efficiency</w:t>
      </w:r>
    </w:p>
    <w:p w14:paraId="62AB22B7" w14:textId="77777777" w:rsidR="00A73EC8" w:rsidRPr="00647C00" w:rsidRDefault="00A73EC8" w:rsidP="00A73EC8">
      <w:pPr>
        <w:jc w:val="both"/>
        <w:rPr>
          <w:sz w:val="22"/>
          <w:szCs w:val="22"/>
        </w:rPr>
      </w:pPr>
    </w:p>
    <w:p w14:paraId="15D296C7" w14:textId="22341C8D" w:rsidR="00461151" w:rsidRDefault="4C9E4A0C" w:rsidP="00A73EC8">
      <w:pPr>
        <w:jc w:val="both"/>
        <w:rPr>
          <w:rFonts w:eastAsia="Times New Roman"/>
          <w:sz w:val="22"/>
          <w:szCs w:val="22"/>
          <w:lang w:val="en-IN" w:eastAsia="en-IN"/>
        </w:rPr>
      </w:pPr>
      <w:r w:rsidRPr="6C9906A2">
        <w:rPr>
          <w:rFonts w:eastAsia="Times New Roman"/>
          <w:sz w:val="22"/>
          <w:szCs w:val="22"/>
          <w:lang w:val="en-IN" w:eastAsia="en-IN"/>
        </w:rPr>
        <w:t>Figures 6</w:t>
      </w:r>
      <w:r w:rsidR="007C675A">
        <w:rPr>
          <w:rFonts w:eastAsia="Times New Roman"/>
          <w:sz w:val="22"/>
          <w:szCs w:val="22"/>
          <w:lang w:val="en-IN" w:eastAsia="en-IN"/>
        </w:rPr>
        <w:t xml:space="preserve"> </w:t>
      </w:r>
      <w:r w:rsidRPr="6C9906A2">
        <w:rPr>
          <w:rFonts w:eastAsia="Times New Roman"/>
          <w:sz w:val="22"/>
          <w:szCs w:val="22"/>
          <w:lang w:val="en-IN" w:eastAsia="en-IN"/>
        </w:rPr>
        <w:t>(a) and 6</w:t>
      </w:r>
      <w:r w:rsidR="007C675A">
        <w:rPr>
          <w:rFonts w:eastAsia="Times New Roman"/>
          <w:sz w:val="22"/>
          <w:szCs w:val="22"/>
          <w:lang w:val="en-IN" w:eastAsia="en-IN"/>
        </w:rPr>
        <w:t xml:space="preserve"> </w:t>
      </w:r>
      <w:r w:rsidRPr="6C9906A2">
        <w:rPr>
          <w:rFonts w:eastAsia="Times New Roman"/>
          <w:sz w:val="22"/>
          <w:szCs w:val="22"/>
          <w:lang w:val="en-IN" w:eastAsia="en-IN"/>
        </w:rPr>
        <w:t xml:space="preserve">(b) show the comparison of the SINR CDFs and spectral efficiency, respectively, at the victim receiver, including total noise and total interference (38.858 Annex E, E. 2.3.2.1) between the 10% and 100% grid shift scenarios. Figure 6(a) shows that at the 40 percentiles of SINR CDF, 100% </w:t>
      </w:r>
      <w:r w:rsidR="038561B6" w:rsidRPr="6C9906A2">
        <w:rPr>
          <w:rFonts w:eastAsia="Times New Roman"/>
          <w:sz w:val="22"/>
          <w:szCs w:val="22"/>
          <w:lang w:val="en-IN" w:eastAsia="en-IN"/>
        </w:rPr>
        <w:t>grid shift</w:t>
      </w:r>
      <w:r w:rsidRPr="6C9906A2">
        <w:rPr>
          <w:rFonts w:eastAsia="Times New Roman"/>
          <w:sz w:val="22"/>
          <w:szCs w:val="22"/>
          <w:lang w:val="en-IN" w:eastAsia="en-IN"/>
        </w:rPr>
        <w:t xml:space="preserve"> </w:t>
      </w:r>
      <w:r w:rsidRPr="6C9906A2">
        <w:rPr>
          <w:rFonts w:eastAsia="Times New Roman"/>
          <w:sz w:val="22"/>
          <w:szCs w:val="22"/>
          <w:lang w:val="en-IN" w:eastAsia="en-IN"/>
        </w:rPr>
        <w:lastRenderedPageBreak/>
        <w:t xml:space="preserve">shows a better SINR compared to 10% of </w:t>
      </w:r>
      <w:r w:rsidR="292F0830" w:rsidRPr="6C9906A2">
        <w:rPr>
          <w:rFonts w:eastAsia="Times New Roman"/>
          <w:sz w:val="22"/>
          <w:szCs w:val="22"/>
          <w:lang w:val="en-IN" w:eastAsia="en-IN"/>
        </w:rPr>
        <w:t>grid shift</w:t>
      </w:r>
      <w:r w:rsidRPr="6C9906A2">
        <w:rPr>
          <w:rFonts w:eastAsia="Times New Roman"/>
          <w:sz w:val="22"/>
          <w:szCs w:val="22"/>
          <w:lang w:val="en-IN" w:eastAsia="en-IN"/>
        </w:rPr>
        <w:t xml:space="preserve"> by 16 dB. Similarly, Figure 6 (b) shows that for the 10% grid shift, only 2</w:t>
      </w:r>
      <w:r w:rsidR="00D45D89">
        <w:rPr>
          <w:rFonts w:eastAsia="Times New Roman"/>
          <w:sz w:val="22"/>
          <w:szCs w:val="22"/>
          <w:lang w:val="en-IN" w:eastAsia="en-IN"/>
        </w:rPr>
        <w:t>6</w:t>
      </w:r>
      <w:r w:rsidRPr="6C9906A2">
        <w:rPr>
          <w:rFonts w:eastAsia="Times New Roman"/>
          <w:sz w:val="22"/>
          <w:szCs w:val="22"/>
          <w:lang w:val="en-IN" w:eastAsia="en-IN"/>
        </w:rPr>
        <w:t>% of UEs have a spectral efficiency above 0.5 compared to the 51% of UEs for the 100% grid shift.</w:t>
      </w:r>
    </w:p>
    <w:p w14:paraId="243C9CF1" w14:textId="77777777" w:rsidR="00A73EC8" w:rsidRPr="00647C00" w:rsidRDefault="00A73EC8" w:rsidP="00A73EC8">
      <w:pPr>
        <w:jc w:val="both"/>
        <w:rPr>
          <w:sz w:val="22"/>
          <w:szCs w:val="22"/>
          <w:lang w:val="en-US"/>
        </w:rPr>
      </w:pPr>
    </w:p>
    <w:p w14:paraId="445D9574" w14:textId="2B485F3C" w:rsidR="00A73EC8" w:rsidRPr="00647C00" w:rsidRDefault="00CF43A4" w:rsidP="00A73EC8">
      <w:pPr>
        <w:jc w:val="both"/>
        <w:rPr>
          <w:b/>
          <w:bCs/>
          <w:sz w:val="22"/>
          <w:szCs w:val="22"/>
          <w:lang w:val="en-US"/>
        </w:rPr>
      </w:pPr>
      <w:bookmarkStart w:id="15" w:name="_Hlk188364407"/>
      <w:r w:rsidRPr="00CF43A4">
        <w:rPr>
          <w:b/>
          <w:bCs/>
          <w:sz w:val="22"/>
          <w:szCs w:val="22"/>
          <w:lang w:val="en-US"/>
        </w:rPr>
        <w:t>Observation 4: The SINR and spectral efficiency of the SBFD system decrease with an increasing grid shift percentage. For 10% grid shift cases, adjacent channel in-band interference significantly dominates, leading to performance degradation of the victim SBFD gNBs.</w:t>
      </w:r>
    </w:p>
    <w:p w14:paraId="49A146D7" w14:textId="2DE1D66B" w:rsidR="00A73EC8" w:rsidRPr="00647C00" w:rsidRDefault="00A73EC8" w:rsidP="6C9906A2">
      <w:pPr>
        <w:jc w:val="both"/>
        <w:rPr>
          <w:b/>
          <w:bCs/>
          <w:sz w:val="22"/>
          <w:szCs w:val="22"/>
          <w:lang w:val="en-US"/>
        </w:rPr>
      </w:pPr>
    </w:p>
    <w:p w14:paraId="39CA1D47" w14:textId="17DB4E71" w:rsidR="009621AC" w:rsidRDefault="00CF43A4" w:rsidP="00544EEC">
      <w:pPr>
        <w:jc w:val="both"/>
        <w:rPr>
          <w:b/>
          <w:bCs/>
          <w:sz w:val="22"/>
          <w:szCs w:val="22"/>
        </w:rPr>
      </w:pPr>
      <w:r w:rsidRPr="00CF43A4">
        <w:rPr>
          <w:b/>
          <w:bCs/>
          <w:sz w:val="22"/>
          <w:szCs w:val="22"/>
        </w:rPr>
        <w:t>Proposal 4: For the FR1 Urban Macro scenario, increase the in-band blocking requirement (currently -43 dBm) for SBFD wide-area BSs to accommodate elevated levels of in-band blocking power.</w:t>
      </w:r>
      <w:r w:rsidR="00732AAD" w:rsidRPr="00732AAD">
        <w:rPr>
          <w:b/>
          <w:bCs/>
          <w:sz w:val="22"/>
          <w:szCs w:val="22"/>
        </w:rPr>
        <w:t xml:space="preserve"> </w:t>
      </w:r>
    </w:p>
    <w:p w14:paraId="43B50BFC" w14:textId="77777777" w:rsidR="00A73EC8" w:rsidRPr="00647C00" w:rsidRDefault="00A73EC8" w:rsidP="00A73EC8">
      <w:pPr>
        <w:rPr>
          <w:b/>
          <w:sz w:val="22"/>
          <w:szCs w:val="22"/>
        </w:rPr>
      </w:pPr>
    </w:p>
    <w:p w14:paraId="1399A049" w14:textId="165C3459" w:rsidR="00A73EC8" w:rsidRDefault="00A73EC8" w:rsidP="0CDA97C4">
      <w:pPr>
        <w:jc w:val="both"/>
        <w:rPr>
          <w:b/>
          <w:bCs/>
          <w:sz w:val="22"/>
          <w:szCs w:val="22"/>
          <w:lang w:val="en-US"/>
        </w:rPr>
      </w:pPr>
      <w:r w:rsidRPr="0CDA97C4">
        <w:rPr>
          <w:b/>
          <w:bCs/>
          <w:sz w:val="22"/>
          <w:szCs w:val="22"/>
        </w:rPr>
        <w:t xml:space="preserve">Proposal </w:t>
      </w:r>
      <w:r w:rsidR="3B808974" w:rsidRPr="0CDA97C4">
        <w:rPr>
          <w:b/>
          <w:bCs/>
          <w:sz w:val="22"/>
          <w:szCs w:val="22"/>
        </w:rPr>
        <w:t>5</w:t>
      </w:r>
      <w:r w:rsidR="04DC987E" w:rsidRPr="0CDA97C4">
        <w:rPr>
          <w:b/>
          <w:bCs/>
          <w:sz w:val="22"/>
          <w:szCs w:val="22"/>
        </w:rPr>
        <w:t>:</w:t>
      </w:r>
      <w:r w:rsidRPr="0CDA97C4">
        <w:rPr>
          <w:b/>
          <w:bCs/>
          <w:sz w:val="22"/>
          <w:szCs w:val="22"/>
        </w:rPr>
        <w:t xml:space="preserve">  </w:t>
      </w:r>
      <w:r w:rsidR="5C705935" w:rsidRPr="0CDA97C4">
        <w:rPr>
          <w:b/>
          <w:bCs/>
          <w:sz w:val="22"/>
          <w:szCs w:val="22"/>
        </w:rPr>
        <w:t xml:space="preserve">For the 10% grid shift requirement, the interference power level and in-band blocking requirement should be evaluated after RAN1 studies the applicability of the CLI handling mechanism for adjacent </w:t>
      </w:r>
      <w:r w:rsidR="52D62067" w:rsidRPr="0CDA97C4">
        <w:rPr>
          <w:b/>
          <w:bCs/>
          <w:sz w:val="22"/>
          <w:szCs w:val="22"/>
        </w:rPr>
        <w:t>channels or</w:t>
      </w:r>
      <w:r w:rsidR="5C705935" w:rsidRPr="0CDA97C4">
        <w:rPr>
          <w:b/>
          <w:bCs/>
          <w:sz w:val="22"/>
          <w:szCs w:val="22"/>
        </w:rPr>
        <w:t xml:space="preserve"> considers any relevant deployment restrictions</w:t>
      </w:r>
      <w:r w:rsidR="420B4EF2" w:rsidRPr="0CDA97C4">
        <w:rPr>
          <w:b/>
          <w:bCs/>
          <w:sz w:val="22"/>
          <w:szCs w:val="22"/>
          <w:lang w:val="en-US"/>
        </w:rPr>
        <w:t>.</w:t>
      </w:r>
    </w:p>
    <w:p w14:paraId="773A0F94" w14:textId="77777777" w:rsidR="00E1433F" w:rsidRDefault="00E1433F" w:rsidP="00A73EC8">
      <w:pPr>
        <w:jc w:val="both"/>
        <w:rPr>
          <w:b/>
          <w:sz w:val="22"/>
          <w:szCs w:val="22"/>
          <w:lang w:val="en-US"/>
        </w:rPr>
      </w:pPr>
    </w:p>
    <w:bookmarkEnd w:id="15"/>
    <w:p w14:paraId="62D88FCF" w14:textId="4B65789F" w:rsidR="00E1433F" w:rsidRPr="00D54C17" w:rsidRDefault="00E1433F" w:rsidP="00E1433F">
      <w:pPr>
        <w:pStyle w:val="Heading5"/>
        <w:ind w:hanging="866"/>
        <w:rPr>
          <w:rFonts w:ascii="Times New Roman" w:eastAsia="Times New Roman" w:hAnsi="Times New Roman" w:cs="Times New Roman"/>
          <w:b/>
          <w:bCs/>
          <w:color w:val="auto"/>
          <w:sz w:val="26"/>
          <w:szCs w:val="26"/>
          <w:lang w:val="en-IN" w:eastAsia="en-IN"/>
        </w:rPr>
      </w:pPr>
      <w:r w:rsidRPr="00D54C17">
        <w:rPr>
          <w:rFonts w:ascii="Times New Roman" w:eastAsia="Times New Roman" w:hAnsi="Times New Roman" w:cs="Times New Roman"/>
          <w:b/>
          <w:bCs/>
          <w:color w:val="auto"/>
          <w:sz w:val="26"/>
          <w:szCs w:val="26"/>
          <w:lang w:val="en-IN" w:eastAsia="en-IN"/>
        </w:rPr>
        <w:t xml:space="preserve">TDD Aggressor </w:t>
      </w:r>
    </w:p>
    <w:p w14:paraId="2911EAC4" w14:textId="12D8FD1D" w:rsidR="00E1433F" w:rsidRDefault="00E1433F" w:rsidP="00335A58">
      <w:pPr>
        <w:ind w:firstLine="142"/>
        <w:jc w:val="both"/>
        <w:rPr>
          <w:sz w:val="22"/>
          <w:szCs w:val="22"/>
          <w:lang w:eastAsia="ja-JP"/>
        </w:rPr>
      </w:pPr>
      <w:r w:rsidRPr="00647C00">
        <w:rPr>
          <w:sz w:val="22"/>
          <w:szCs w:val="22"/>
          <w:lang w:eastAsia="ja-JP"/>
        </w:rPr>
        <w:t xml:space="preserve">We consider a coexistence scenario where UMa deployments of two different operators are deployed in the same area and in adjacent channels. The first operator (victim) deploys a SBFD network, while the second operator (aggressor) deploys a TDD network. We are interested in evaluating the wideband interference power received by the UL of the SBFD operator from the DL of the TDD operator. The default noise figure model defined in the 38.858 Annex </w:t>
      </w:r>
      <w:r w:rsidRPr="00BC7995">
        <w:rPr>
          <w:sz w:val="22"/>
          <w:szCs w:val="22"/>
          <w:lang w:eastAsia="ja-JP"/>
        </w:rPr>
        <w:t>E [2]</w:t>
      </w:r>
      <w:r>
        <w:rPr>
          <w:sz w:val="22"/>
          <w:szCs w:val="22"/>
          <w:lang w:eastAsia="ja-JP"/>
        </w:rPr>
        <w:t xml:space="preserve"> </w:t>
      </w:r>
      <w:r w:rsidRPr="00647C00">
        <w:rPr>
          <w:sz w:val="22"/>
          <w:szCs w:val="22"/>
          <w:lang w:eastAsia="ja-JP"/>
        </w:rPr>
        <w:t>is considered as baseline</w:t>
      </w:r>
      <w:r w:rsidR="00FB57A6">
        <w:rPr>
          <w:sz w:val="22"/>
          <w:szCs w:val="22"/>
          <w:lang w:eastAsia="ja-JP"/>
        </w:rPr>
        <w:t>.</w:t>
      </w:r>
    </w:p>
    <w:p w14:paraId="0D22AA7F" w14:textId="77777777" w:rsidR="002751E1" w:rsidRDefault="002751E1" w:rsidP="00FB57A6">
      <w:pPr>
        <w:keepNext/>
        <w:jc w:val="center"/>
        <w:rPr>
          <w:b/>
          <w:bCs/>
          <w:highlight w:val="yellow"/>
        </w:rPr>
      </w:pPr>
    </w:p>
    <w:p w14:paraId="68F8C3C6" w14:textId="2FFF1FF5" w:rsidR="002751E1" w:rsidRDefault="000A0026" w:rsidP="00FB57A6">
      <w:pPr>
        <w:keepNext/>
        <w:jc w:val="center"/>
        <w:rPr>
          <w:b/>
          <w:bCs/>
          <w:highlight w:val="yellow"/>
        </w:rPr>
      </w:pPr>
      <w:r w:rsidRPr="000A0026">
        <w:rPr>
          <w:b/>
          <w:bCs/>
          <w:noProof/>
        </w:rPr>
        <w:drawing>
          <wp:inline distT="0" distB="0" distL="0" distR="0" wp14:anchorId="6979D0D8" wp14:editId="184B9021">
            <wp:extent cx="5629275" cy="2471420"/>
            <wp:effectExtent l="0" t="0" r="952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4067" r="5289"/>
                    <a:stretch/>
                  </pic:blipFill>
                  <pic:spPr bwMode="auto">
                    <a:xfrm>
                      <a:off x="0" y="0"/>
                      <a:ext cx="5629275" cy="2471420"/>
                    </a:xfrm>
                    <a:prstGeom prst="rect">
                      <a:avLst/>
                    </a:prstGeom>
                    <a:ln>
                      <a:noFill/>
                    </a:ln>
                    <a:extLst>
                      <a:ext uri="{53640926-AAD7-44D8-BBD7-CCE9431645EC}">
                        <a14:shadowObscured xmlns:a14="http://schemas.microsoft.com/office/drawing/2010/main"/>
                      </a:ext>
                    </a:extLst>
                  </pic:spPr>
                </pic:pic>
              </a:graphicData>
            </a:graphic>
          </wp:inline>
        </w:drawing>
      </w:r>
    </w:p>
    <w:p w14:paraId="2F5B28FA" w14:textId="05F37C6B" w:rsidR="00FB57A6" w:rsidRPr="008F511F" w:rsidRDefault="00FB57A6" w:rsidP="00FB57A6">
      <w:pPr>
        <w:keepNext/>
        <w:jc w:val="center"/>
        <w:rPr>
          <w:b/>
          <w:bCs/>
        </w:rPr>
      </w:pPr>
      <w:r w:rsidRPr="000A0026">
        <w:rPr>
          <w:b/>
          <w:bCs/>
        </w:rPr>
        <w:t xml:space="preserve">Figure 7: </w:t>
      </w:r>
      <w:r w:rsidR="002751E1" w:rsidRPr="000A0026">
        <w:rPr>
          <w:b/>
          <w:bCs/>
        </w:rPr>
        <w:t xml:space="preserve">FR1, UMa </w:t>
      </w:r>
      <w:r w:rsidR="002751E1" w:rsidRPr="000A0026">
        <w:rPr>
          <w:rFonts w:eastAsia="Wingdings"/>
          <w:b/>
          <w:bCs/>
        </w:rPr>
        <w:t xml:space="preserve">-&gt; </w:t>
      </w:r>
      <w:r w:rsidR="002751E1" w:rsidRPr="000A0026">
        <w:rPr>
          <w:b/>
          <w:bCs/>
        </w:rPr>
        <w:t>UMa, in-band blocking, TDD Aggressor</w:t>
      </w:r>
    </w:p>
    <w:p w14:paraId="3D7E3F9C" w14:textId="77777777" w:rsidR="00FB57A6" w:rsidRDefault="00FB57A6" w:rsidP="00335A58">
      <w:pPr>
        <w:ind w:firstLine="142"/>
        <w:jc w:val="both"/>
        <w:rPr>
          <w:sz w:val="22"/>
          <w:szCs w:val="22"/>
          <w:lang w:eastAsia="ja-JP"/>
        </w:rPr>
      </w:pPr>
    </w:p>
    <w:p w14:paraId="23B4200A" w14:textId="77777777" w:rsidR="007C7728" w:rsidRDefault="007C7728" w:rsidP="00335A58">
      <w:pPr>
        <w:ind w:firstLine="142"/>
        <w:jc w:val="both"/>
        <w:rPr>
          <w:sz w:val="22"/>
          <w:szCs w:val="22"/>
          <w:lang w:eastAsia="ja-JP"/>
        </w:rPr>
      </w:pPr>
    </w:p>
    <w:p w14:paraId="73E91084" w14:textId="4370FFDB" w:rsidR="007C7728" w:rsidRPr="00647C00" w:rsidRDefault="007C7728" w:rsidP="007C7728">
      <w:pPr>
        <w:jc w:val="center"/>
        <w:rPr>
          <w:b/>
        </w:rPr>
      </w:pPr>
      <w:r w:rsidRPr="000A0026">
        <w:rPr>
          <w:b/>
        </w:rPr>
        <w:t xml:space="preserve">Table 4: FR1 SBFD UMa </w:t>
      </w:r>
      <w:r w:rsidRPr="000A0026">
        <w:rPr>
          <w:rFonts w:eastAsia="Wingdings"/>
          <w:b/>
        </w:rPr>
        <w:t xml:space="preserve">-&gt; </w:t>
      </w:r>
      <w:r w:rsidRPr="000A0026">
        <w:rPr>
          <w:b/>
        </w:rPr>
        <w:t>UMa conducted in-band blocking simulation results</w:t>
      </w:r>
    </w:p>
    <w:p w14:paraId="2F6830A1" w14:textId="77777777" w:rsidR="00E1433F" w:rsidRDefault="00E1433F" w:rsidP="00E1433F">
      <w:pPr>
        <w:jc w:val="both"/>
        <w:rPr>
          <w:rFonts w:eastAsia="Times New Roman"/>
          <w:b/>
          <w:bCs/>
          <w:sz w:val="22"/>
          <w:szCs w:val="22"/>
          <w:lang w:val="en-IN" w:eastAsia="en-IN"/>
        </w:rPr>
      </w:pPr>
    </w:p>
    <w:tbl>
      <w:tblPr>
        <w:tblW w:w="7095" w:type="dxa"/>
        <w:jc w:val="center"/>
        <w:tblLayout w:type="fixed"/>
        <w:tblLook w:val="04A0" w:firstRow="1" w:lastRow="0" w:firstColumn="1" w:lastColumn="0" w:noHBand="0" w:noVBand="1"/>
      </w:tblPr>
      <w:tblGrid>
        <w:gridCol w:w="3253"/>
        <w:gridCol w:w="1671"/>
        <w:gridCol w:w="2171"/>
      </w:tblGrid>
      <w:tr w:rsidR="00E1433F" w:rsidRPr="00FB57A6" w14:paraId="196C66DA" w14:textId="77777777" w:rsidTr="007C7728">
        <w:trPr>
          <w:trHeight w:val="309"/>
          <w:jc w:val="center"/>
        </w:trPr>
        <w:tc>
          <w:tcPr>
            <w:tcW w:w="3253" w:type="dxa"/>
            <w:vMerge w:val="restart"/>
            <w:tcBorders>
              <w:top w:val="single" w:sz="4" w:space="0" w:color="auto"/>
              <w:left w:val="single" w:sz="4" w:space="0" w:color="auto"/>
              <w:bottom w:val="single" w:sz="4" w:space="0" w:color="auto"/>
              <w:right w:val="single" w:sz="4" w:space="0" w:color="auto"/>
            </w:tcBorders>
            <w:noWrap/>
            <w:vAlign w:val="bottom"/>
            <w:hideMark/>
          </w:tcPr>
          <w:p w14:paraId="14F86EA2" w14:textId="77777777" w:rsidR="00E1433F" w:rsidRPr="00647C00" w:rsidRDefault="00E1433F" w:rsidP="00496AE1">
            <w:pPr>
              <w:rPr>
                <w:rFonts w:eastAsia="DengXian"/>
                <w:color w:val="000000"/>
                <w:lang w:val="en-US"/>
              </w:rPr>
            </w:pPr>
            <w:r w:rsidRPr="00647C00">
              <w:rPr>
                <w:rFonts w:eastAsia="DengXian"/>
                <w:color w:val="000000"/>
                <w:lang w:val="en-US"/>
              </w:rPr>
              <w:t xml:space="preserve">　</w:t>
            </w:r>
          </w:p>
        </w:tc>
        <w:tc>
          <w:tcPr>
            <w:tcW w:w="1671" w:type="dxa"/>
            <w:tcBorders>
              <w:top w:val="single" w:sz="4" w:space="0" w:color="auto"/>
              <w:left w:val="nil"/>
              <w:bottom w:val="single" w:sz="4" w:space="0" w:color="auto"/>
              <w:right w:val="single" w:sz="4" w:space="0" w:color="auto"/>
            </w:tcBorders>
            <w:noWrap/>
            <w:vAlign w:val="center"/>
            <w:hideMark/>
          </w:tcPr>
          <w:p w14:paraId="19B8FF64" w14:textId="77777777" w:rsidR="00E1433F" w:rsidRPr="000A0026" w:rsidRDefault="00E1433F" w:rsidP="00496AE1">
            <w:pPr>
              <w:jc w:val="center"/>
              <w:rPr>
                <w:rFonts w:eastAsia="DengXian"/>
                <w:b/>
                <w:color w:val="000000"/>
                <w:lang w:val="en-US"/>
              </w:rPr>
            </w:pPr>
            <w:r w:rsidRPr="000A0026">
              <w:rPr>
                <w:rFonts w:eastAsia="DengXian"/>
                <w:b/>
                <w:color w:val="000000"/>
                <w:lang w:val="en-US"/>
              </w:rPr>
              <w:t>100% grid-shift</w:t>
            </w:r>
          </w:p>
        </w:tc>
        <w:tc>
          <w:tcPr>
            <w:tcW w:w="2171" w:type="dxa"/>
            <w:tcBorders>
              <w:top w:val="single" w:sz="4" w:space="0" w:color="auto"/>
              <w:left w:val="nil"/>
              <w:bottom w:val="single" w:sz="4" w:space="0" w:color="auto"/>
              <w:right w:val="single" w:sz="4" w:space="0" w:color="auto"/>
            </w:tcBorders>
            <w:vAlign w:val="center"/>
            <w:hideMark/>
          </w:tcPr>
          <w:p w14:paraId="692A5E31" w14:textId="77777777" w:rsidR="00E1433F" w:rsidRPr="000A0026" w:rsidRDefault="00E1433F" w:rsidP="00496AE1">
            <w:pPr>
              <w:jc w:val="center"/>
              <w:rPr>
                <w:rFonts w:eastAsia="DengXian"/>
                <w:b/>
                <w:color w:val="000000"/>
                <w:lang w:val="en-US"/>
              </w:rPr>
            </w:pPr>
            <w:r w:rsidRPr="000A0026">
              <w:rPr>
                <w:rFonts w:eastAsia="DengXian"/>
                <w:b/>
                <w:color w:val="000000"/>
                <w:lang w:val="en-US"/>
              </w:rPr>
              <w:t>10% grid-shift</w:t>
            </w:r>
          </w:p>
        </w:tc>
      </w:tr>
      <w:tr w:rsidR="00E1433F" w:rsidRPr="00FB57A6" w14:paraId="61159F7E" w14:textId="77777777" w:rsidTr="007C7728">
        <w:trPr>
          <w:trHeight w:val="313"/>
          <w:jc w:val="center"/>
        </w:trPr>
        <w:tc>
          <w:tcPr>
            <w:tcW w:w="3253" w:type="dxa"/>
            <w:vMerge/>
            <w:tcBorders>
              <w:top w:val="single" w:sz="4" w:space="0" w:color="auto"/>
              <w:left w:val="single" w:sz="4" w:space="0" w:color="auto"/>
              <w:bottom w:val="single" w:sz="4" w:space="0" w:color="auto"/>
              <w:right w:val="single" w:sz="4" w:space="0" w:color="auto"/>
            </w:tcBorders>
            <w:vAlign w:val="center"/>
            <w:hideMark/>
          </w:tcPr>
          <w:p w14:paraId="6EB285FF" w14:textId="77777777" w:rsidR="00E1433F" w:rsidRPr="000A0026" w:rsidRDefault="00E1433F" w:rsidP="00496AE1">
            <w:pPr>
              <w:rPr>
                <w:rFonts w:eastAsia="DengXian"/>
                <w:color w:val="000000"/>
                <w:lang w:val="en-US"/>
              </w:rPr>
            </w:pPr>
          </w:p>
        </w:tc>
        <w:tc>
          <w:tcPr>
            <w:tcW w:w="1671" w:type="dxa"/>
            <w:tcBorders>
              <w:top w:val="nil"/>
              <w:left w:val="nil"/>
              <w:bottom w:val="single" w:sz="4" w:space="0" w:color="auto"/>
              <w:right w:val="single" w:sz="4" w:space="0" w:color="auto"/>
            </w:tcBorders>
            <w:noWrap/>
            <w:vAlign w:val="center"/>
            <w:hideMark/>
          </w:tcPr>
          <w:p w14:paraId="51CB6871" w14:textId="77777777" w:rsidR="00E1433F" w:rsidRPr="000A0026" w:rsidRDefault="00E1433F" w:rsidP="00496AE1">
            <w:pPr>
              <w:jc w:val="center"/>
              <w:rPr>
                <w:rFonts w:eastAsia="DengXian"/>
                <w:color w:val="000000"/>
                <w:lang w:val="en-US"/>
              </w:rPr>
            </w:pPr>
            <w:r w:rsidRPr="000A0026">
              <w:rPr>
                <w:rFonts w:eastAsia="DengXian"/>
                <w:color w:val="000000"/>
                <w:lang w:val="en-US"/>
              </w:rPr>
              <w:t>99% CDF</w:t>
            </w:r>
          </w:p>
        </w:tc>
        <w:tc>
          <w:tcPr>
            <w:tcW w:w="2171" w:type="dxa"/>
            <w:tcBorders>
              <w:top w:val="nil"/>
              <w:left w:val="nil"/>
              <w:bottom w:val="single" w:sz="4" w:space="0" w:color="auto"/>
              <w:right w:val="single" w:sz="4" w:space="0" w:color="auto"/>
            </w:tcBorders>
            <w:vAlign w:val="center"/>
            <w:hideMark/>
          </w:tcPr>
          <w:p w14:paraId="0372AAF8" w14:textId="77777777" w:rsidR="00E1433F" w:rsidRPr="000A0026" w:rsidRDefault="00E1433F" w:rsidP="00496AE1">
            <w:pPr>
              <w:jc w:val="center"/>
              <w:rPr>
                <w:rFonts w:eastAsia="DengXian"/>
                <w:color w:val="000000"/>
                <w:lang w:val="en-US"/>
              </w:rPr>
            </w:pPr>
            <w:r w:rsidRPr="000A0026">
              <w:rPr>
                <w:rFonts w:eastAsia="DengXian"/>
                <w:color w:val="000000"/>
                <w:lang w:val="en-US"/>
              </w:rPr>
              <w:t>99% CDF</w:t>
            </w:r>
          </w:p>
        </w:tc>
      </w:tr>
      <w:tr w:rsidR="00E1433F" w:rsidRPr="00647C00" w14:paraId="7ACE7B86" w14:textId="77777777" w:rsidTr="007C7728">
        <w:trPr>
          <w:trHeight w:val="307"/>
          <w:jc w:val="center"/>
        </w:trPr>
        <w:tc>
          <w:tcPr>
            <w:tcW w:w="3253" w:type="dxa"/>
            <w:tcBorders>
              <w:top w:val="nil"/>
              <w:left w:val="single" w:sz="4" w:space="0" w:color="auto"/>
              <w:bottom w:val="single" w:sz="4" w:space="0" w:color="auto"/>
              <w:right w:val="single" w:sz="4" w:space="0" w:color="auto"/>
            </w:tcBorders>
            <w:noWrap/>
            <w:vAlign w:val="center"/>
            <w:hideMark/>
          </w:tcPr>
          <w:p w14:paraId="159495D8" w14:textId="77777777" w:rsidR="00E1433F" w:rsidRPr="000A0026" w:rsidRDefault="00E1433F" w:rsidP="00496AE1">
            <w:pPr>
              <w:rPr>
                <w:rFonts w:eastAsia="DengXian"/>
                <w:color w:val="000000"/>
                <w:lang w:val="en-US"/>
              </w:rPr>
            </w:pPr>
            <w:r w:rsidRPr="000A0026">
              <w:t>Conducted</w:t>
            </w:r>
            <w:r w:rsidRPr="000A0026">
              <w:rPr>
                <w:rFonts w:eastAsia="DengXian"/>
                <w:color w:val="000000"/>
                <w:lang w:val="en-US"/>
              </w:rPr>
              <w:t xml:space="preserve"> in-band blocking (dBm)</w:t>
            </w:r>
          </w:p>
        </w:tc>
        <w:tc>
          <w:tcPr>
            <w:tcW w:w="1671" w:type="dxa"/>
            <w:tcBorders>
              <w:top w:val="nil"/>
              <w:left w:val="nil"/>
              <w:bottom w:val="single" w:sz="4" w:space="0" w:color="auto"/>
              <w:right w:val="single" w:sz="4" w:space="0" w:color="auto"/>
            </w:tcBorders>
            <w:noWrap/>
            <w:vAlign w:val="center"/>
            <w:hideMark/>
          </w:tcPr>
          <w:p w14:paraId="0045369F" w14:textId="6EE19A56" w:rsidR="00E1433F" w:rsidRPr="000A0026" w:rsidRDefault="00E1433F" w:rsidP="00496AE1">
            <w:pPr>
              <w:jc w:val="center"/>
              <w:rPr>
                <w:rFonts w:eastAsia="DengXian"/>
                <w:color w:val="000000"/>
                <w:lang w:val="en-US"/>
              </w:rPr>
            </w:pPr>
            <w:r w:rsidRPr="000A0026">
              <w:rPr>
                <w:rFonts w:eastAsia="DengXian"/>
                <w:color w:val="000000"/>
                <w:lang w:val="en-US"/>
              </w:rPr>
              <w:t>-2</w:t>
            </w:r>
            <w:r w:rsidR="001448B0" w:rsidRPr="000A0026">
              <w:rPr>
                <w:rFonts w:eastAsia="DengXian"/>
                <w:color w:val="000000"/>
                <w:lang w:val="en-US"/>
              </w:rPr>
              <w:t>8</w:t>
            </w:r>
            <w:r w:rsidRPr="000A0026">
              <w:rPr>
                <w:rFonts w:eastAsia="DengXian"/>
                <w:color w:val="000000"/>
                <w:lang w:val="en-US"/>
              </w:rPr>
              <w:t>.</w:t>
            </w:r>
            <w:r w:rsidR="001448B0" w:rsidRPr="000A0026">
              <w:rPr>
                <w:rFonts w:eastAsia="DengXian"/>
                <w:color w:val="000000"/>
                <w:lang w:val="en-US"/>
              </w:rPr>
              <w:t>05</w:t>
            </w:r>
          </w:p>
        </w:tc>
        <w:tc>
          <w:tcPr>
            <w:tcW w:w="2171" w:type="dxa"/>
            <w:tcBorders>
              <w:top w:val="nil"/>
              <w:left w:val="nil"/>
              <w:bottom w:val="single" w:sz="4" w:space="0" w:color="auto"/>
              <w:right w:val="single" w:sz="4" w:space="0" w:color="auto"/>
            </w:tcBorders>
            <w:vAlign w:val="center"/>
            <w:hideMark/>
          </w:tcPr>
          <w:p w14:paraId="7A4D193F" w14:textId="77777777" w:rsidR="00E1433F" w:rsidRPr="00647C00" w:rsidRDefault="00E1433F" w:rsidP="00496AE1">
            <w:pPr>
              <w:jc w:val="center"/>
              <w:rPr>
                <w:rFonts w:eastAsia="DengXian"/>
                <w:color w:val="000000"/>
                <w:lang w:val="en-US"/>
              </w:rPr>
            </w:pPr>
            <w:r w:rsidRPr="000A0026">
              <w:rPr>
                <w:rFonts w:eastAsia="DengXian"/>
                <w:color w:val="000000"/>
                <w:lang w:val="en-US"/>
              </w:rPr>
              <w:t>-0.78</w:t>
            </w:r>
          </w:p>
        </w:tc>
      </w:tr>
    </w:tbl>
    <w:p w14:paraId="5E65B2A6" w14:textId="77777777" w:rsidR="00E1433F" w:rsidRDefault="00E1433F" w:rsidP="00E1433F">
      <w:pPr>
        <w:jc w:val="both"/>
        <w:rPr>
          <w:rFonts w:eastAsia="Times New Roman"/>
          <w:b/>
          <w:bCs/>
          <w:sz w:val="22"/>
          <w:szCs w:val="22"/>
          <w:lang w:val="en-IN" w:eastAsia="en-IN"/>
        </w:rPr>
      </w:pPr>
    </w:p>
    <w:p w14:paraId="7E836497" w14:textId="77777777" w:rsidR="00E1433F" w:rsidRDefault="00E1433F" w:rsidP="00E1433F">
      <w:pPr>
        <w:jc w:val="both"/>
        <w:rPr>
          <w:rFonts w:eastAsia="Times New Roman"/>
          <w:b/>
          <w:bCs/>
          <w:sz w:val="22"/>
          <w:szCs w:val="22"/>
          <w:lang w:val="en-IN" w:eastAsia="en-IN"/>
        </w:rPr>
      </w:pPr>
    </w:p>
    <w:p w14:paraId="11B6F057" w14:textId="43EEDA1B" w:rsidR="00E1433F" w:rsidRPr="000A0026" w:rsidRDefault="00E1433F" w:rsidP="00E1433F">
      <w:pPr>
        <w:jc w:val="both"/>
        <w:rPr>
          <w:b/>
          <w:sz w:val="22"/>
          <w:szCs w:val="22"/>
        </w:rPr>
      </w:pPr>
      <w:r w:rsidRPr="000A0026">
        <w:rPr>
          <w:sz w:val="22"/>
          <w:szCs w:val="22"/>
          <w:lang w:eastAsia="ja-JP"/>
        </w:rPr>
        <w:lastRenderedPageBreak/>
        <w:t>The in-band blocking requirement is defined for the 99%-tile of the CDF of the received UL wideband interference power. From Figure 4, it can be observed that the in-band blocking requirement is higher as the grid shift decreases. It can also be observed that for the 100% grid shift case, the 99 percentile of the in-band blocking power is 1</w:t>
      </w:r>
      <w:r w:rsidR="002751E1" w:rsidRPr="000A0026">
        <w:rPr>
          <w:sz w:val="22"/>
          <w:szCs w:val="22"/>
          <w:lang w:eastAsia="ja-JP"/>
        </w:rPr>
        <w:t>4</w:t>
      </w:r>
      <w:r w:rsidRPr="000A0026">
        <w:rPr>
          <w:sz w:val="22"/>
          <w:szCs w:val="22"/>
          <w:lang w:eastAsia="ja-JP"/>
        </w:rPr>
        <w:t>.</w:t>
      </w:r>
      <w:r w:rsidR="002751E1" w:rsidRPr="000A0026">
        <w:rPr>
          <w:sz w:val="22"/>
          <w:szCs w:val="22"/>
          <w:lang w:eastAsia="ja-JP"/>
        </w:rPr>
        <w:t>95</w:t>
      </w:r>
      <w:r w:rsidRPr="000A0026">
        <w:rPr>
          <w:sz w:val="22"/>
          <w:szCs w:val="22"/>
          <w:lang w:eastAsia="ja-JP"/>
        </w:rPr>
        <w:t xml:space="preserve"> dBm, and for the 10% grid shift case, it is approximately 42.22 dB above the currently specified in-band blocking requirement (-43 dBm) for Wide Area BS, respectively.</w:t>
      </w:r>
    </w:p>
    <w:p w14:paraId="322EFA45" w14:textId="77777777" w:rsidR="00E1433F" w:rsidRPr="000A0026" w:rsidRDefault="00E1433F" w:rsidP="00E1433F">
      <w:pPr>
        <w:jc w:val="both"/>
        <w:rPr>
          <w:b/>
          <w:sz w:val="22"/>
          <w:szCs w:val="22"/>
        </w:rPr>
      </w:pPr>
    </w:p>
    <w:p w14:paraId="4F43F98A" w14:textId="47E818FD" w:rsidR="00E1433F" w:rsidRDefault="00E1433F" w:rsidP="00E1433F">
      <w:pPr>
        <w:jc w:val="both"/>
        <w:rPr>
          <w:b/>
          <w:bCs/>
          <w:sz w:val="22"/>
          <w:szCs w:val="22"/>
          <w:lang w:eastAsia="ja-JP"/>
        </w:rPr>
      </w:pPr>
      <w:bookmarkStart w:id="16" w:name="_Hlk188364426"/>
      <w:r w:rsidRPr="000A0026">
        <w:rPr>
          <w:b/>
          <w:sz w:val="22"/>
          <w:szCs w:val="22"/>
        </w:rPr>
        <w:t xml:space="preserve">Observation </w:t>
      </w:r>
      <w:r w:rsidR="008D0DC6" w:rsidRPr="000A0026">
        <w:rPr>
          <w:b/>
          <w:sz w:val="22"/>
          <w:szCs w:val="22"/>
        </w:rPr>
        <w:t>5</w:t>
      </w:r>
      <w:r w:rsidRPr="000A0026">
        <w:rPr>
          <w:b/>
          <w:sz w:val="22"/>
          <w:szCs w:val="22"/>
        </w:rPr>
        <w:t xml:space="preserve">: </w:t>
      </w:r>
      <w:r w:rsidR="00AB214A" w:rsidRPr="00AB214A">
        <w:rPr>
          <w:b/>
          <w:sz w:val="22"/>
          <w:szCs w:val="22"/>
        </w:rPr>
        <w:t>For UMa deployments with a TDD operator as the adjacent network, in the 100% grid shift case, the 99th percentile of the in-band blocking power is 14.95 dBm. In the 10% grid shift case, it is approximately 42.22 dB above the currently specified in-band blocking requirement of -43 dBm</w:t>
      </w:r>
      <w:r w:rsidRPr="000A0026">
        <w:rPr>
          <w:b/>
          <w:sz w:val="22"/>
          <w:szCs w:val="22"/>
          <w:lang w:eastAsia="ja-JP"/>
        </w:rPr>
        <w:t>.</w:t>
      </w:r>
    </w:p>
    <w:bookmarkEnd w:id="16"/>
    <w:p w14:paraId="7DC9001E" w14:textId="77777777" w:rsidR="00E1433F" w:rsidRPr="00925B26" w:rsidRDefault="00E1433F" w:rsidP="00E1433F">
      <w:pPr>
        <w:rPr>
          <w:b/>
        </w:rPr>
      </w:pPr>
    </w:p>
    <w:p w14:paraId="7539FD97" w14:textId="4971DF8E" w:rsidR="00E1433F" w:rsidRPr="00E776C7" w:rsidRDefault="78976AA2" w:rsidP="00E776C7">
      <w:pPr>
        <w:jc w:val="both"/>
        <w:rPr>
          <w:rFonts w:eastAsia="Times New Roman"/>
          <w:b/>
          <w:bCs/>
          <w:sz w:val="26"/>
          <w:szCs w:val="26"/>
          <w:u w:val="single"/>
          <w:lang w:val="en-IN" w:eastAsia="en-IN"/>
        </w:rPr>
      </w:pPr>
      <w:r w:rsidRPr="366E2E41">
        <w:rPr>
          <w:b/>
          <w:bCs/>
          <w:sz w:val="26"/>
          <w:szCs w:val="26"/>
          <w:u w:val="single"/>
          <w:lang w:eastAsia="ja-JP"/>
        </w:rPr>
        <w:t>Comparison</w:t>
      </w:r>
      <w:r w:rsidRPr="366E2E41">
        <w:rPr>
          <w:rFonts w:eastAsia="Times New Roman"/>
          <w:b/>
          <w:bCs/>
          <w:sz w:val="26"/>
          <w:szCs w:val="26"/>
          <w:u w:val="single"/>
          <w:lang w:val="en-IN" w:eastAsia="en-IN"/>
        </w:rPr>
        <w:t xml:space="preserve"> of Inband Blocking Results </w:t>
      </w:r>
      <w:r w:rsidR="036B73A0" w:rsidRPr="366E2E41">
        <w:rPr>
          <w:rFonts w:eastAsia="Times New Roman"/>
          <w:b/>
          <w:bCs/>
          <w:sz w:val="26"/>
          <w:szCs w:val="26"/>
          <w:u w:val="single"/>
          <w:lang w:val="en-IN" w:eastAsia="en-IN"/>
        </w:rPr>
        <w:t xml:space="preserve">for </w:t>
      </w:r>
      <w:r w:rsidRPr="366E2E41">
        <w:rPr>
          <w:rFonts w:eastAsia="Times New Roman"/>
          <w:b/>
          <w:bCs/>
          <w:sz w:val="26"/>
          <w:szCs w:val="26"/>
          <w:u w:val="single"/>
          <w:lang w:val="en-IN" w:eastAsia="en-IN"/>
        </w:rPr>
        <w:t xml:space="preserve">TDD </w:t>
      </w:r>
      <w:r w:rsidR="036B73A0" w:rsidRPr="366E2E41">
        <w:rPr>
          <w:rFonts w:eastAsia="Times New Roman"/>
          <w:b/>
          <w:bCs/>
          <w:sz w:val="26"/>
          <w:szCs w:val="26"/>
          <w:u w:val="single"/>
          <w:lang w:val="en-IN" w:eastAsia="en-IN"/>
        </w:rPr>
        <w:t xml:space="preserve">as </w:t>
      </w:r>
      <w:r w:rsidRPr="366E2E41">
        <w:rPr>
          <w:rFonts w:eastAsia="Times New Roman"/>
          <w:b/>
          <w:bCs/>
          <w:sz w:val="26"/>
          <w:szCs w:val="26"/>
          <w:u w:val="single"/>
          <w:lang w:val="en-IN" w:eastAsia="en-IN"/>
        </w:rPr>
        <w:t xml:space="preserve">Aggressor vs SBFD </w:t>
      </w:r>
      <w:r w:rsidR="036B73A0" w:rsidRPr="366E2E41">
        <w:rPr>
          <w:rFonts w:eastAsia="Times New Roman"/>
          <w:b/>
          <w:bCs/>
          <w:sz w:val="26"/>
          <w:szCs w:val="26"/>
          <w:u w:val="single"/>
          <w:lang w:val="en-IN" w:eastAsia="en-IN"/>
        </w:rPr>
        <w:t xml:space="preserve">as </w:t>
      </w:r>
      <w:r w:rsidRPr="366E2E41">
        <w:rPr>
          <w:rFonts w:eastAsia="Times New Roman"/>
          <w:b/>
          <w:bCs/>
          <w:sz w:val="26"/>
          <w:szCs w:val="26"/>
          <w:u w:val="single"/>
          <w:lang w:val="en-IN" w:eastAsia="en-IN"/>
        </w:rPr>
        <w:t xml:space="preserve">Aggressor </w:t>
      </w:r>
    </w:p>
    <w:p w14:paraId="4CC2930C" w14:textId="77777777" w:rsidR="00E1433F" w:rsidRDefault="00E1433F" w:rsidP="00E1433F">
      <w:pPr>
        <w:jc w:val="both"/>
        <w:rPr>
          <w:rFonts w:eastAsia="Times New Roman"/>
          <w:b/>
          <w:bCs/>
          <w:sz w:val="22"/>
          <w:szCs w:val="22"/>
          <w:lang w:val="en-IN" w:eastAsia="en-IN"/>
        </w:rPr>
      </w:pPr>
    </w:p>
    <w:p w14:paraId="5F9023AD" w14:textId="77777777" w:rsidR="00E1433F" w:rsidRPr="006513F2" w:rsidRDefault="00E1433F" w:rsidP="00E1433F">
      <w:pPr>
        <w:jc w:val="both"/>
        <w:rPr>
          <w:rFonts w:eastAsia="Times New Roman"/>
          <w:sz w:val="22"/>
          <w:szCs w:val="22"/>
          <w:lang w:val="en-IN" w:eastAsia="en-IN"/>
        </w:rPr>
      </w:pPr>
      <w:r w:rsidRPr="006513F2">
        <w:rPr>
          <w:rFonts w:eastAsia="Times New Roman"/>
          <w:sz w:val="22"/>
          <w:szCs w:val="22"/>
          <w:lang w:val="en-IN" w:eastAsia="en-IN"/>
        </w:rPr>
        <w:t xml:space="preserve">In the below results </w:t>
      </w:r>
      <w:r>
        <w:rPr>
          <w:rFonts w:eastAsia="Times New Roman"/>
          <w:sz w:val="22"/>
          <w:szCs w:val="22"/>
          <w:lang w:val="en-IN" w:eastAsia="en-IN"/>
        </w:rPr>
        <w:t>we show the comparison of in-band blocking power and performance metrics between simulation scenarios where TDD as aggressor adjacent network vs SBFD as aggressor adjacent network.</w:t>
      </w:r>
    </w:p>
    <w:p w14:paraId="37B58867" w14:textId="77777777" w:rsidR="00E1433F" w:rsidRDefault="00E1433F" w:rsidP="00E1433F">
      <w:pPr>
        <w:jc w:val="both"/>
        <w:rPr>
          <w:rFonts w:eastAsia="Times New Roman"/>
          <w:b/>
          <w:bCs/>
          <w:sz w:val="22"/>
          <w:szCs w:val="22"/>
          <w:lang w:val="en-IN" w:eastAsia="en-IN"/>
        </w:rPr>
      </w:pPr>
    </w:p>
    <w:p w14:paraId="4A3EA81E" w14:textId="58AAB19E" w:rsidR="00E1433F" w:rsidRDefault="00E1433F" w:rsidP="00E1433F">
      <w:pPr>
        <w:jc w:val="center"/>
        <w:rPr>
          <w:rFonts w:eastAsia="Times New Roman"/>
          <w:b/>
          <w:bCs/>
          <w:sz w:val="22"/>
          <w:szCs w:val="22"/>
          <w:lang w:val="en-IN" w:eastAsia="en-IN"/>
        </w:rPr>
      </w:pPr>
      <w:r w:rsidRPr="002D7B83">
        <w:rPr>
          <w:rFonts w:eastAsia="Times New Roman"/>
          <w:b/>
          <w:bCs/>
          <w:noProof/>
          <w:sz w:val="22"/>
          <w:szCs w:val="22"/>
          <w:lang w:eastAsia="en-IN"/>
        </w:rPr>
        <w:drawing>
          <wp:inline distT="0" distB="0" distL="0" distR="0" wp14:anchorId="7774816C" wp14:editId="71154952">
            <wp:extent cx="4260850" cy="3181350"/>
            <wp:effectExtent l="0" t="0" r="6350" b="0"/>
            <wp:docPr id="18" name="Picture 3">
              <a:extLst xmlns:a="http://schemas.openxmlformats.org/drawingml/2006/main">
                <a:ext uri="{FF2B5EF4-FFF2-40B4-BE49-F238E27FC236}">
                  <a16:creationId xmlns:a16="http://schemas.microsoft.com/office/drawing/2014/main" id="{245A0135-78D5-44D9-9997-3FECB7E2A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45A0135-78D5-44D9-9997-3FECB7E2A713}"/>
                        </a:ext>
                      </a:extLst>
                    </pic:cNvPr>
                    <pic:cNvPicPr>
                      <a:picLocks noChangeAspect="1"/>
                    </pic:cNvPicPr>
                  </pic:nvPicPr>
                  <pic:blipFill rotWithShape="1">
                    <a:blip r:embed="rId29"/>
                    <a:srcRect t="5999" r="18098"/>
                    <a:stretch/>
                  </pic:blipFill>
                  <pic:spPr bwMode="auto">
                    <a:xfrm>
                      <a:off x="0" y="0"/>
                      <a:ext cx="4269909" cy="3188114"/>
                    </a:xfrm>
                    <a:prstGeom prst="rect">
                      <a:avLst/>
                    </a:prstGeom>
                    <a:ln>
                      <a:noFill/>
                    </a:ln>
                    <a:extLst>
                      <a:ext uri="{53640926-AAD7-44D8-BBD7-CCE9431645EC}">
                        <a14:shadowObscured xmlns:a14="http://schemas.microsoft.com/office/drawing/2010/main"/>
                      </a:ext>
                    </a:extLst>
                  </pic:spPr>
                </pic:pic>
              </a:graphicData>
            </a:graphic>
          </wp:inline>
        </w:drawing>
      </w:r>
    </w:p>
    <w:p w14:paraId="276CEAB8" w14:textId="77777777" w:rsidR="00013003" w:rsidRDefault="00013003" w:rsidP="00E1433F">
      <w:pPr>
        <w:jc w:val="center"/>
        <w:rPr>
          <w:rFonts w:eastAsia="Times New Roman"/>
          <w:b/>
          <w:bCs/>
          <w:sz w:val="22"/>
          <w:szCs w:val="22"/>
          <w:lang w:val="en-IN" w:eastAsia="en-IN"/>
        </w:rPr>
      </w:pPr>
    </w:p>
    <w:p w14:paraId="01910A04" w14:textId="12E3E63F" w:rsidR="00AD4E0E" w:rsidRPr="008F511F" w:rsidRDefault="00AD4E0E" w:rsidP="00AD4E0E">
      <w:pPr>
        <w:keepNext/>
        <w:jc w:val="center"/>
        <w:rPr>
          <w:b/>
          <w:bCs/>
        </w:rPr>
      </w:pPr>
      <w:r w:rsidRPr="00795BE7">
        <w:rPr>
          <w:b/>
          <w:bCs/>
        </w:rPr>
        <w:t xml:space="preserve">Figure 8: </w:t>
      </w:r>
      <w:r w:rsidR="00795BE7" w:rsidRPr="00795BE7">
        <w:rPr>
          <w:b/>
          <w:bCs/>
        </w:rPr>
        <w:t>Comparison</w:t>
      </w:r>
      <w:r w:rsidR="00795BE7">
        <w:rPr>
          <w:b/>
          <w:bCs/>
        </w:rPr>
        <w:t xml:space="preserve"> of in-band blocking power in case of SBFD vs TDD as aggressor. </w:t>
      </w:r>
    </w:p>
    <w:p w14:paraId="5C58ABE7" w14:textId="77777777" w:rsidR="008D0DC6" w:rsidRDefault="008D0DC6" w:rsidP="00594041">
      <w:pPr>
        <w:jc w:val="center"/>
        <w:rPr>
          <w:b/>
          <w:highlight w:val="yellow"/>
        </w:rPr>
      </w:pPr>
    </w:p>
    <w:p w14:paraId="700725CD" w14:textId="68714191" w:rsidR="00594041" w:rsidRPr="00647C00" w:rsidRDefault="00594041" w:rsidP="00594041">
      <w:pPr>
        <w:jc w:val="center"/>
        <w:rPr>
          <w:b/>
        </w:rPr>
      </w:pPr>
      <w:r w:rsidRPr="00594041">
        <w:rPr>
          <w:b/>
        </w:rPr>
        <w:t xml:space="preserve">Table 5: FR1 SBFD UMa </w:t>
      </w:r>
      <w:r w:rsidRPr="00594041">
        <w:rPr>
          <w:rFonts w:eastAsia="Wingdings"/>
          <w:b/>
        </w:rPr>
        <w:t xml:space="preserve">-&gt; </w:t>
      </w:r>
      <w:r w:rsidRPr="00594041">
        <w:rPr>
          <w:b/>
        </w:rPr>
        <w:t xml:space="preserve">UMa </w:t>
      </w:r>
      <w:r>
        <w:rPr>
          <w:b/>
        </w:rPr>
        <w:t xml:space="preserve">in-band blocking </w:t>
      </w:r>
      <w:r w:rsidRPr="00594041">
        <w:rPr>
          <w:b/>
        </w:rPr>
        <w:t>comparison</w:t>
      </w:r>
      <w:r>
        <w:rPr>
          <w:b/>
        </w:rPr>
        <w:t xml:space="preserve"> [10%GS]</w:t>
      </w:r>
    </w:p>
    <w:p w14:paraId="60C4526D" w14:textId="77777777" w:rsidR="00E1433F" w:rsidRDefault="00E1433F" w:rsidP="00E1433F">
      <w:pPr>
        <w:jc w:val="center"/>
        <w:rPr>
          <w:rFonts w:eastAsia="Times New Roman"/>
          <w:b/>
          <w:bCs/>
          <w:sz w:val="22"/>
          <w:szCs w:val="22"/>
          <w:lang w:val="en-IN" w:eastAsia="en-IN"/>
        </w:rPr>
      </w:pPr>
    </w:p>
    <w:tbl>
      <w:tblPr>
        <w:tblW w:w="7095" w:type="dxa"/>
        <w:jc w:val="center"/>
        <w:tblLayout w:type="fixed"/>
        <w:tblLook w:val="04A0" w:firstRow="1" w:lastRow="0" w:firstColumn="1" w:lastColumn="0" w:noHBand="0" w:noVBand="1"/>
      </w:tblPr>
      <w:tblGrid>
        <w:gridCol w:w="3253"/>
        <w:gridCol w:w="1671"/>
        <w:gridCol w:w="2171"/>
      </w:tblGrid>
      <w:tr w:rsidR="00E1433F" w:rsidRPr="00647C00" w14:paraId="5FB2A485" w14:textId="77777777" w:rsidTr="00496AE1">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669AFD08" w14:textId="77777777" w:rsidR="00E1433F" w:rsidRPr="00647C00" w:rsidRDefault="00E1433F" w:rsidP="00496AE1">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62EA0926" w14:textId="77777777" w:rsidR="00E1433F" w:rsidRPr="00B22E2E" w:rsidRDefault="00E1433F" w:rsidP="00496AE1">
            <w:pPr>
              <w:jc w:val="center"/>
              <w:rPr>
                <w:rFonts w:eastAsia="DengXian"/>
                <w:b/>
                <w:bCs/>
                <w:color w:val="000000"/>
                <w:lang w:val="en-US"/>
              </w:rPr>
            </w:pPr>
            <w:r>
              <w:rPr>
                <w:rFonts w:eastAsia="DengXian"/>
                <w:b/>
                <w:bCs/>
                <w:color w:val="000000"/>
                <w:lang w:val="en-US"/>
              </w:rPr>
              <w:t>TDD Aggressor</w:t>
            </w:r>
          </w:p>
        </w:tc>
        <w:tc>
          <w:tcPr>
            <w:tcW w:w="2173" w:type="dxa"/>
            <w:tcBorders>
              <w:top w:val="single" w:sz="4" w:space="0" w:color="auto"/>
              <w:left w:val="nil"/>
              <w:bottom w:val="single" w:sz="4" w:space="0" w:color="auto"/>
              <w:right w:val="single" w:sz="4" w:space="0" w:color="auto"/>
            </w:tcBorders>
            <w:vAlign w:val="center"/>
            <w:hideMark/>
          </w:tcPr>
          <w:p w14:paraId="476DF090" w14:textId="77777777" w:rsidR="00E1433F" w:rsidRPr="00B22E2E" w:rsidRDefault="00E1433F" w:rsidP="00496AE1">
            <w:pPr>
              <w:jc w:val="center"/>
              <w:rPr>
                <w:rFonts w:eastAsia="DengXian"/>
                <w:b/>
                <w:bCs/>
                <w:color w:val="000000"/>
                <w:lang w:val="en-US"/>
              </w:rPr>
            </w:pPr>
            <w:r>
              <w:rPr>
                <w:rFonts w:eastAsia="DengXian"/>
                <w:b/>
                <w:bCs/>
                <w:color w:val="000000"/>
                <w:lang w:val="en-US"/>
              </w:rPr>
              <w:t>SBFD Aggressor</w:t>
            </w:r>
          </w:p>
        </w:tc>
      </w:tr>
      <w:tr w:rsidR="00E1433F" w:rsidRPr="00647C00" w14:paraId="52909FE7" w14:textId="77777777" w:rsidTr="00496AE1">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35E64D8" w14:textId="77777777" w:rsidR="00E1433F" w:rsidRPr="00647C00" w:rsidRDefault="00E1433F" w:rsidP="00496AE1">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374FAD34" w14:textId="77777777" w:rsidR="00E1433F" w:rsidRPr="00647C00" w:rsidRDefault="00E1433F" w:rsidP="00496AE1">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06B46B9A" w14:textId="77777777" w:rsidR="00E1433F" w:rsidRPr="00647C00" w:rsidRDefault="00E1433F" w:rsidP="00496AE1">
            <w:pPr>
              <w:jc w:val="center"/>
              <w:rPr>
                <w:rFonts w:eastAsia="DengXian"/>
                <w:color w:val="000000"/>
                <w:lang w:val="en-US"/>
              </w:rPr>
            </w:pPr>
            <w:r w:rsidRPr="00647C00">
              <w:rPr>
                <w:rFonts w:eastAsia="DengXian"/>
                <w:color w:val="000000"/>
                <w:lang w:val="en-US"/>
              </w:rPr>
              <w:t>99% CDF</w:t>
            </w:r>
          </w:p>
        </w:tc>
      </w:tr>
      <w:tr w:rsidR="00E1433F" w:rsidRPr="00647C00" w14:paraId="1E386FC5" w14:textId="77777777" w:rsidTr="00496AE1">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11533A29" w14:textId="77777777" w:rsidR="00E1433F" w:rsidRPr="00647C00" w:rsidRDefault="00E1433F" w:rsidP="00496AE1">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40EAF72F" w14:textId="77777777" w:rsidR="00E1433F" w:rsidRPr="00647C00" w:rsidRDefault="00E1433F"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0.78</w:t>
            </w:r>
          </w:p>
        </w:tc>
        <w:tc>
          <w:tcPr>
            <w:tcW w:w="2173" w:type="dxa"/>
            <w:tcBorders>
              <w:top w:val="nil"/>
              <w:left w:val="nil"/>
              <w:bottom w:val="single" w:sz="4" w:space="0" w:color="auto"/>
              <w:right w:val="single" w:sz="4" w:space="0" w:color="auto"/>
            </w:tcBorders>
            <w:vAlign w:val="center"/>
            <w:hideMark/>
          </w:tcPr>
          <w:p w14:paraId="11199A12" w14:textId="77777777" w:rsidR="00E1433F" w:rsidRPr="00647C00" w:rsidRDefault="00E1433F"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3.82</w:t>
            </w:r>
          </w:p>
        </w:tc>
      </w:tr>
    </w:tbl>
    <w:p w14:paraId="76249A20" w14:textId="77777777" w:rsidR="00E1433F" w:rsidRDefault="00E1433F" w:rsidP="00E1433F">
      <w:pPr>
        <w:jc w:val="center"/>
        <w:rPr>
          <w:rFonts w:eastAsia="Times New Roman"/>
          <w:b/>
          <w:bCs/>
          <w:sz w:val="22"/>
          <w:szCs w:val="22"/>
          <w:lang w:val="en-IN" w:eastAsia="en-IN"/>
        </w:rPr>
      </w:pPr>
    </w:p>
    <w:p w14:paraId="7539BB5A" w14:textId="6EB93358" w:rsidR="00E1433F" w:rsidRDefault="78976AA2" w:rsidP="00E1433F">
      <w:pPr>
        <w:jc w:val="both"/>
        <w:rPr>
          <w:sz w:val="22"/>
          <w:szCs w:val="22"/>
          <w:lang w:eastAsia="ja-JP"/>
        </w:rPr>
      </w:pPr>
      <w:r w:rsidRPr="0CDA97C4">
        <w:rPr>
          <w:rFonts w:eastAsia="Times New Roman"/>
          <w:sz w:val="22"/>
          <w:szCs w:val="22"/>
          <w:lang w:val="en-IN" w:eastAsia="en-IN"/>
        </w:rPr>
        <w:t xml:space="preserve">From the above CDF plots and 99% CDF values, the conducted in-band blocking for both the scenarios differs </w:t>
      </w:r>
      <w:r w:rsidR="78A988B9" w:rsidRPr="0CDA97C4">
        <w:rPr>
          <w:rFonts w:eastAsia="Times New Roman"/>
          <w:sz w:val="22"/>
          <w:szCs w:val="22"/>
          <w:lang w:val="en-IN" w:eastAsia="en-IN"/>
        </w:rPr>
        <w:t>by</w:t>
      </w:r>
      <w:r w:rsidR="1C7F0DBA" w:rsidRPr="0CDA97C4">
        <w:rPr>
          <w:rFonts w:eastAsia="Times New Roman"/>
          <w:sz w:val="22"/>
          <w:szCs w:val="22"/>
          <w:lang w:val="en-IN" w:eastAsia="en-IN"/>
        </w:rPr>
        <w:t xml:space="preserve"> </w:t>
      </w:r>
      <w:r w:rsidRPr="0CDA97C4">
        <w:rPr>
          <w:rFonts w:eastAsia="Times New Roman"/>
          <w:sz w:val="22"/>
          <w:szCs w:val="22"/>
          <w:lang w:val="en-IN" w:eastAsia="en-IN"/>
        </w:rPr>
        <w:t xml:space="preserve">3 dB. For </w:t>
      </w:r>
      <w:r w:rsidRPr="0CDA97C4">
        <w:rPr>
          <w:sz w:val="22"/>
          <w:szCs w:val="22"/>
          <w:lang w:eastAsia="ja-JP"/>
        </w:rPr>
        <w:t xml:space="preserve">the case with TDD as aggressor, </w:t>
      </w:r>
      <w:r w:rsidR="1C7F0DBA" w:rsidRPr="0CDA97C4">
        <w:rPr>
          <w:sz w:val="22"/>
          <w:szCs w:val="22"/>
          <w:lang w:eastAsia="ja-JP"/>
        </w:rPr>
        <w:t>the 99</w:t>
      </w:r>
      <w:r w:rsidRPr="0CDA97C4">
        <w:rPr>
          <w:sz w:val="22"/>
          <w:szCs w:val="22"/>
          <w:lang w:eastAsia="ja-JP"/>
        </w:rPr>
        <w:t xml:space="preserve"> percentile of the in-band blocking power is 42.22 dB, and for the case with SBFD as aggressor, it is approximately 39.18 dB above the currently specified in-band blocking requirement (-43 dBm) for Wide Area BS, respectively.</w:t>
      </w:r>
    </w:p>
    <w:p w14:paraId="559D929C" w14:textId="77777777" w:rsidR="008D0DC6" w:rsidRDefault="008D0DC6" w:rsidP="00E1433F">
      <w:pPr>
        <w:jc w:val="both"/>
        <w:rPr>
          <w:sz w:val="22"/>
          <w:szCs w:val="22"/>
          <w:lang w:eastAsia="ja-JP"/>
        </w:rPr>
      </w:pPr>
    </w:p>
    <w:p w14:paraId="1ACA66CA" w14:textId="2EEDE70D" w:rsidR="00440FBA" w:rsidRDefault="00E1433F" w:rsidP="00E74C74">
      <w:pPr>
        <w:jc w:val="both"/>
        <w:rPr>
          <w:b/>
          <w:bCs/>
          <w:sz w:val="22"/>
          <w:szCs w:val="22"/>
        </w:rPr>
      </w:pPr>
      <w:bookmarkStart w:id="17" w:name="_Hlk188364438"/>
      <w:r w:rsidRPr="00044853">
        <w:rPr>
          <w:b/>
          <w:bCs/>
          <w:sz w:val="22"/>
          <w:szCs w:val="22"/>
          <w:lang w:eastAsia="ja-JP"/>
        </w:rPr>
        <w:lastRenderedPageBreak/>
        <w:t>Observation</w:t>
      </w:r>
      <w:r w:rsidR="008D0DC6">
        <w:rPr>
          <w:b/>
          <w:bCs/>
          <w:sz w:val="22"/>
          <w:szCs w:val="22"/>
          <w:lang w:eastAsia="ja-JP"/>
        </w:rPr>
        <w:t xml:space="preserve"> 6:</w:t>
      </w:r>
      <w:r w:rsidR="008D0DC6" w:rsidRPr="00044853">
        <w:rPr>
          <w:b/>
          <w:bCs/>
          <w:sz w:val="22"/>
          <w:szCs w:val="22"/>
          <w:lang w:eastAsia="ja-JP"/>
        </w:rPr>
        <w:t xml:space="preserve"> </w:t>
      </w:r>
      <w:r w:rsidR="00CE4B23" w:rsidRPr="00CE4B23">
        <w:rPr>
          <w:rFonts w:eastAsia="Times New Roman"/>
          <w:b/>
          <w:bCs/>
          <w:sz w:val="22"/>
          <w:szCs w:val="22"/>
          <w:lang w:val="en-IN" w:eastAsia="en-IN"/>
        </w:rPr>
        <w:t>For the case with TDD as the aggressor, the 99th percentile of the in-band blocking power is 42.22 dB. In the case with SBFD as the aggressor, it is approximately 39.18 dB above the currently specified in-band blocking requirement of -43 dBm for the wide-area BS</w:t>
      </w:r>
      <w:r w:rsidRPr="00044853">
        <w:rPr>
          <w:b/>
          <w:bCs/>
          <w:sz w:val="22"/>
          <w:szCs w:val="22"/>
          <w:lang w:eastAsia="ja-JP"/>
        </w:rPr>
        <w:t>.</w:t>
      </w:r>
      <w:r w:rsidR="00440FBA" w:rsidRPr="00732AAD">
        <w:rPr>
          <w:b/>
          <w:bCs/>
          <w:sz w:val="22"/>
          <w:szCs w:val="22"/>
        </w:rPr>
        <w:t xml:space="preserve"> </w:t>
      </w:r>
    </w:p>
    <w:bookmarkEnd w:id="17"/>
    <w:p w14:paraId="2127DF14" w14:textId="77777777" w:rsidR="006604AC" w:rsidRPr="006604AC" w:rsidRDefault="006604AC" w:rsidP="006604AC">
      <w:pPr>
        <w:rPr>
          <w:lang w:eastAsia="ja-JP"/>
        </w:rPr>
      </w:pPr>
    </w:p>
    <w:p w14:paraId="6F73EC13" w14:textId="18329D03" w:rsidR="00A73EC8" w:rsidRPr="00A53D65" w:rsidRDefault="007E0CC0" w:rsidP="00A53D65">
      <w:pPr>
        <w:pStyle w:val="Heading4"/>
        <w:jc w:val="both"/>
        <w:rPr>
          <w:rFonts w:ascii="Times New Roman" w:hAnsi="Times New Roman" w:cs="Times New Roman"/>
          <w:b/>
          <w:bCs/>
        </w:rPr>
      </w:pPr>
      <w:r w:rsidRPr="007E0CC0">
        <w:rPr>
          <w:rFonts w:ascii="Times New Roman" w:hAnsi="Times New Roman" w:cs="Times New Roman"/>
          <w:b/>
          <w:bCs/>
        </w:rPr>
        <w:t xml:space="preserve">In-band Blocking Results for reduced Blocker based BS Rx Model with Modified Noise Figure </w:t>
      </w:r>
      <w:r w:rsidR="00F65D20">
        <w:rPr>
          <w:rFonts w:ascii="Times New Roman" w:hAnsi="Times New Roman" w:cs="Times New Roman"/>
          <w:b/>
          <w:bCs/>
        </w:rPr>
        <w:t>[CASE-B]</w:t>
      </w:r>
    </w:p>
    <w:p w14:paraId="22505DEB" w14:textId="77777777" w:rsidR="00F50E14" w:rsidRDefault="00F50E14" w:rsidP="00A73EC8">
      <w:pPr>
        <w:jc w:val="both"/>
        <w:rPr>
          <w:sz w:val="22"/>
          <w:szCs w:val="22"/>
          <w:lang w:eastAsia="zh-CN"/>
        </w:rPr>
      </w:pPr>
    </w:p>
    <w:p w14:paraId="4D348FB6" w14:textId="2302179B" w:rsidR="00A73EC8" w:rsidRDefault="00A73EC8" w:rsidP="00A73EC8">
      <w:pPr>
        <w:jc w:val="both"/>
        <w:rPr>
          <w:sz w:val="22"/>
          <w:szCs w:val="22"/>
          <w:lang w:eastAsia="zh-CN"/>
        </w:rPr>
      </w:pPr>
      <w:r w:rsidRPr="00647C00">
        <w:rPr>
          <w:sz w:val="22"/>
          <w:szCs w:val="22"/>
          <w:lang w:eastAsia="zh-CN"/>
        </w:rPr>
        <w:t xml:space="preserve">In this simulation scenario, we consider additional adjacent channel interference reduction using an analog filter. </w:t>
      </w:r>
      <w:r w:rsidR="00863FC6" w:rsidRPr="00647C00">
        <w:rPr>
          <w:sz w:val="22"/>
          <w:szCs w:val="22"/>
          <w:lang w:eastAsia="zh-CN"/>
        </w:rPr>
        <w:t>To</w:t>
      </w:r>
      <w:r w:rsidRPr="00647C00">
        <w:rPr>
          <w:sz w:val="22"/>
          <w:szCs w:val="22"/>
          <w:lang w:eastAsia="zh-CN"/>
        </w:rPr>
        <w:t xml:space="preserve"> </w:t>
      </w:r>
      <w:r w:rsidR="0067305A">
        <w:rPr>
          <w:sz w:val="22"/>
          <w:szCs w:val="22"/>
          <w:lang w:eastAsia="zh-CN"/>
        </w:rPr>
        <w:t xml:space="preserve">consider </w:t>
      </w:r>
      <w:r w:rsidR="005A0749">
        <w:rPr>
          <w:sz w:val="22"/>
          <w:szCs w:val="22"/>
          <w:lang w:eastAsia="zh-CN"/>
        </w:rPr>
        <w:t xml:space="preserve">the noise introduced by </w:t>
      </w:r>
      <w:r w:rsidRPr="00647C00">
        <w:rPr>
          <w:sz w:val="22"/>
          <w:szCs w:val="22"/>
          <w:lang w:eastAsia="zh-CN"/>
        </w:rPr>
        <w:t>this filter, we have added an additional 3 dB noise figure (compared to the baseline noise figure in 38.858 Annex E) as P1 = -37 dBm, P2 = -25 dBm, F1 = 8 dB, and F2 = 14 dB. The objective here is to see the impact of the reduced blocker model on the improvement of SINR and spectral efficiency. </w:t>
      </w:r>
    </w:p>
    <w:p w14:paraId="15CF48A4" w14:textId="77777777" w:rsidR="00A30E1D" w:rsidRPr="00647C00" w:rsidRDefault="00A30E1D" w:rsidP="00A73EC8">
      <w:pPr>
        <w:jc w:val="both"/>
        <w:rPr>
          <w:lang w:eastAsia="zh-CN"/>
        </w:rPr>
      </w:pPr>
    </w:p>
    <w:p w14:paraId="747A07DD" w14:textId="3F9D048B" w:rsidR="00A73EC8" w:rsidRPr="00647C00" w:rsidRDefault="005A43E8" w:rsidP="00A73EC8">
      <w:pPr>
        <w:keepNext/>
        <w:jc w:val="center"/>
      </w:pPr>
      <w:r w:rsidRPr="003E749E">
        <w:rPr>
          <w:noProof/>
        </w:rPr>
        <w:drawing>
          <wp:inline distT="0" distB="0" distL="0" distR="0" wp14:anchorId="08E38F29" wp14:editId="711D4052">
            <wp:extent cx="5365062" cy="305752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t="5819" r="6033"/>
                    <a:stretch/>
                  </pic:blipFill>
                  <pic:spPr bwMode="auto">
                    <a:xfrm>
                      <a:off x="0" y="0"/>
                      <a:ext cx="5392403" cy="3073106"/>
                    </a:xfrm>
                    <a:prstGeom prst="rect">
                      <a:avLst/>
                    </a:prstGeom>
                    <a:ln>
                      <a:noFill/>
                    </a:ln>
                    <a:extLst>
                      <a:ext uri="{53640926-AAD7-44D8-BBD7-CCE9431645EC}">
                        <a14:shadowObscured xmlns:a14="http://schemas.microsoft.com/office/drawing/2010/main"/>
                      </a:ext>
                    </a:extLst>
                  </pic:spPr>
                </pic:pic>
              </a:graphicData>
            </a:graphic>
          </wp:inline>
        </w:drawing>
      </w:r>
    </w:p>
    <w:p w14:paraId="088CA5D2" w14:textId="4C60B4BC" w:rsidR="00A73EC8" w:rsidRPr="00647C00" w:rsidRDefault="00A73EC8" w:rsidP="00A73EC8">
      <w:pPr>
        <w:keepNext/>
        <w:jc w:val="center"/>
        <w:rPr>
          <w:b/>
          <w:bCs/>
        </w:rPr>
      </w:pPr>
      <w:r w:rsidRPr="69170F29">
        <w:rPr>
          <w:b/>
          <w:bCs/>
        </w:rPr>
        <w:t xml:space="preserve">Figure </w:t>
      </w:r>
      <w:r w:rsidR="007C675A">
        <w:rPr>
          <w:b/>
          <w:bCs/>
        </w:rPr>
        <w:t>9</w:t>
      </w:r>
      <w:r w:rsidRPr="69170F29">
        <w:rPr>
          <w:b/>
          <w:bCs/>
        </w:rPr>
        <w:t>: In band Blocking Power Levels in the Reduced Blocker Model</w:t>
      </w:r>
      <w:r w:rsidR="52F77373" w:rsidRPr="69170F29">
        <w:rPr>
          <w:b/>
          <w:bCs/>
        </w:rPr>
        <w:t>, SBFD as Aggressor</w:t>
      </w:r>
    </w:p>
    <w:p w14:paraId="16C21892" w14:textId="77777777" w:rsidR="00A73EC8" w:rsidRPr="00647C00" w:rsidRDefault="00A73EC8" w:rsidP="00A73EC8">
      <w:pPr>
        <w:keepNext/>
        <w:jc w:val="center"/>
        <w:rPr>
          <w:rFonts w:eastAsiaTheme="minorEastAsia"/>
          <w:bCs/>
          <w:sz w:val="4"/>
          <w:szCs w:val="4"/>
          <w:lang w:val="en-US" w:eastAsia="zh-CN"/>
        </w:rPr>
      </w:pPr>
    </w:p>
    <w:p w14:paraId="2F35641E" w14:textId="07C198EB" w:rsidR="00A73EC8" w:rsidRDefault="00A73EC8" w:rsidP="00A73EC8">
      <w:pPr>
        <w:jc w:val="both"/>
        <w:rPr>
          <w:rFonts w:eastAsiaTheme="minorEastAsia"/>
          <w:bCs/>
          <w:sz w:val="22"/>
          <w:szCs w:val="22"/>
          <w:lang w:val="en-US" w:eastAsia="zh-CN"/>
        </w:rPr>
      </w:pPr>
      <w:r w:rsidRPr="00647C00">
        <w:rPr>
          <w:rFonts w:eastAsiaTheme="minorEastAsia"/>
          <w:bCs/>
          <w:sz w:val="22"/>
          <w:szCs w:val="22"/>
          <w:lang w:val="en-US" w:eastAsia="zh-CN"/>
        </w:rPr>
        <w:t xml:space="preserve">In Fig. </w:t>
      </w:r>
      <w:r w:rsidR="007C675A">
        <w:rPr>
          <w:rFonts w:eastAsiaTheme="minorEastAsia"/>
          <w:bCs/>
          <w:sz w:val="22"/>
          <w:szCs w:val="22"/>
          <w:lang w:val="en-US" w:eastAsia="zh-CN"/>
        </w:rPr>
        <w:t>9</w:t>
      </w:r>
      <w:r w:rsidRPr="00647C00">
        <w:rPr>
          <w:rFonts w:eastAsiaTheme="minorEastAsia"/>
          <w:bCs/>
          <w:sz w:val="22"/>
          <w:szCs w:val="22"/>
          <w:lang w:val="en-US" w:eastAsia="zh-CN"/>
        </w:rPr>
        <w:t xml:space="preserve">, we can observe that due to additional filter in the analog domain, the adjacent channel interference power level reduces significantly compared to the baseline model. The 99-percentile value of the in-band blocking power CDF reduces significantly for the reduced blocker model, as depicted in Table </w:t>
      </w:r>
      <w:r w:rsidR="00845FC3">
        <w:rPr>
          <w:rFonts w:eastAsiaTheme="minorEastAsia"/>
          <w:bCs/>
          <w:sz w:val="22"/>
          <w:szCs w:val="22"/>
          <w:lang w:val="en-US" w:eastAsia="zh-CN"/>
        </w:rPr>
        <w:t>6</w:t>
      </w:r>
      <w:r w:rsidRPr="00647C00">
        <w:rPr>
          <w:rFonts w:eastAsiaTheme="minorEastAsia"/>
          <w:bCs/>
          <w:sz w:val="22"/>
          <w:szCs w:val="22"/>
          <w:lang w:val="en-US" w:eastAsia="zh-CN"/>
        </w:rPr>
        <w:t>.</w:t>
      </w:r>
    </w:p>
    <w:p w14:paraId="001CF0A0" w14:textId="77777777" w:rsidR="003D0D23" w:rsidRDefault="003D0D23" w:rsidP="00A73EC8">
      <w:pPr>
        <w:jc w:val="both"/>
        <w:rPr>
          <w:rFonts w:eastAsiaTheme="minorEastAsia"/>
          <w:bCs/>
          <w:sz w:val="22"/>
          <w:szCs w:val="22"/>
          <w:lang w:val="en-US" w:eastAsia="zh-CN"/>
        </w:rPr>
      </w:pPr>
    </w:p>
    <w:p w14:paraId="1658C10B" w14:textId="5EDFC2EA" w:rsidR="006821C9" w:rsidRDefault="3D0E7F11" w:rsidP="006821C9">
      <w:pPr>
        <w:jc w:val="center"/>
        <w:rPr>
          <w:b/>
          <w:bCs/>
        </w:rPr>
      </w:pPr>
      <w:r w:rsidRPr="366E2E41">
        <w:rPr>
          <w:b/>
          <w:bCs/>
        </w:rPr>
        <w:t xml:space="preserve">Table </w:t>
      </w:r>
      <w:r w:rsidR="00845FC3" w:rsidRPr="366E2E41">
        <w:rPr>
          <w:b/>
          <w:bCs/>
        </w:rPr>
        <w:t>6</w:t>
      </w:r>
      <w:r w:rsidRPr="366E2E41">
        <w:rPr>
          <w:b/>
          <w:bCs/>
        </w:rPr>
        <w:t>: FR1 SBFD UM</w:t>
      </w:r>
      <w:r w:rsidR="19AF5BF8" w:rsidRPr="366E2E41">
        <w:rPr>
          <w:b/>
          <w:bCs/>
        </w:rPr>
        <w:t>a</w:t>
      </w:r>
      <w:r w:rsidRPr="366E2E41">
        <w:rPr>
          <w:b/>
          <w:bCs/>
        </w:rPr>
        <w:t>-UMa conducted in-band blocking simulation results with reduced blocker</w:t>
      </w:r>
      <w:r w:rsidR="218B51BF" w:rsidRPr="366E2E41">
        <w:rPr>
          <w:b/>
          <w:bCs/>
        </w:rPr>
        <w:t xml:space="preserve"> </w:t>
      </w:r>
    </w:p>
    <w:p w14:paraId="59142D9D" w14:textId="77777777" w:rsidR="00013003" w:rsidRPr="009C12B5" w:rsidRDefault="00013003" w:rsidP="006821C9">
      <w:pPr>
        <w:jc w:val="center"/>
        <w:rPr>
          <w:b/>
          <w:bCs/>
        </w:rPr>
      </w:pPr>
    </w:p>
    <w:tbl>
      <w:tblPr>
        <w:tblStyle w:val="TableGrid1"/>
        <w:tblW w:w="9067" w:type="dxa"/>
        <w:jc w:val="center"/>
        <w:tblLayout w:type="fixed"/>
        <w:tblLook w:val="04A0" w:firstRow="1" w:lastRow="0" w:firstColumn="1" w:lastColumn="0" w:noHBand="0" w:noVBand="1"/>
      </w:tblPr>
      <w:tblGrid>
        <w:gridCol w:w="4398"/>
        <w:gridCol w:w="2560"/>
        <w:gridCol w:w="2109"/>
      </w:tblGrid>
      <w:tr w:rsidR="006821C9" w:rsidRPr="00647C00" w14:paraId="4053B1FD" w14:textId="77777777" w:rsidTr="003D0D23">
        <w:trPr>
          <w:trHeight w:val="176"/>
          <w:jc w:val="center"/>
        </w:trPr>
        <w:tc>
          <w:tcPr>
            <w:tcW w:w="4398" w:type="dxa"/>
            <w:vMerge w:val="restart"/>
            <w:noWrap/>
            <w:hideMark/>
          </w:tcPr>
          <w:p w14:paraId="25415465" w14:textId="77777777" w:rsidR="006821C9" w:rsidRPr="00647C00" w:rsidRDefault="006821C9" w:rsidP="00496AE1">
            <w:pPr>
              <w:rPr>
                <w:color w:val="000000"/>
                <w:lang w:val="en-US"/>
              </w:rPr>
            </w:pPr>
            <w:r w:rsidRPr="00647C00">
              <w:rPr>
                <w:color w:val="000000"/>
                <w:lang w:val="en-US"/>
              </w:rPr>
              <w:t xml:space="preserve">　</w:t>
            </w:r>
          </w:p>
        </w:tc>
        <w:tc>
          <w:tcPr>
            <w:tcW w:w="4669" w:type="dxa"/>
            <w:gridSpan w:val="2"/>
            <w:noWrap/>
            <w:hideMark/>
          </w:tcPr>
          <w:p w14:paraId="564F6E9F" w14:textId="77777777" w:rsidR="006821C9" w:rsidRPr="00647C00" w:rsidRDefault="006821C9" w:rsidP="00496AE1">
            <w:pPr>
              <w:jc w:val="center"/>
              <w:rPr>
                <w:color w:val="000000"/>
                <w:lang w:val="en-US"/>
              </w:rPr>
            </w:pPr>
            <w:r w:rsidRPr="00647C00">
              <w:rPr>
                <w:color w:val="000000"/>
                <w:lang w:val="en-US"/>
              </w:rPr>
              <w:t>10% grid-shift</w:t>
            </w:r>
          </w:p>
        </w:tc>
      </w:tr>
      <w:tr w:rsidR="006821C9" w:rsidRPr="00647C00" w14:paraId="74515C45" w14:textId="77777777" w:rsidTr="003D0D23">
        <w:trPr>
          <w:trHeight w:val="179"/>
          <w:jc w:val="center"/>
        </w:trPr>
        <w:tc>
          <w:tcPr>
            <w:tcW w:w="4398" w:type="dxa"/>
            <w:vMerge/>
            <w:hideMark/>
          </w:tcPr>
          <w:p w14:paraId="65E003C9" w14:textId="77777777" w:rsidR="006821C9" w:rsidRPr="00647C00" w:rsidRDefault="006821C9" w:rsidP="00496AE1">
            <w:pPr>
              <w:rPr>
                <w:color w:val="000000"/>
                <w:lang w:val="en-US"/>
              </w:rPr>
            </w:pPr>
          </w:p>
        </w:tc>
        <w:tc>
          <w:tcPr>
            <w:tcW w:w="2560" w:type="dxa"/>
            <w:noWrap/>
            <w:hideMark/>
          </w:tcPr>
          <w:p w14:paraId="5DFE1DCB" w14:textId="77777777" w:rsidR="006821C9" w:rsidRPr="00647C00" w:rsidRDefault="006821C9" w:rsidP="00496AE1">
            <w:pPr>
              <w:jc w:val="center"/>
              <w:rPr>
                <w:color w:val="000000"/>
                <w:lang w:val="en-US"/>
              </w:rPr>
            </w:pPr>
            <w:r w:rsidRPr="00647C00">
              <w:rPr>
                <w:color w:val="000000"/>
                <w:lang w:val="en-US"/>
              </w:rPr>
              <w:t>99% CDF [Reduced Blocker]</w:t>
            </w:r>
          </w:p>
        </w:tc>
        <w:tc>
          <w:tcPr>
            <w:tcW w:w="2109" w:type="dxa"/>
            <w:hideMark/>
          </w:tcPr>
          <w:p w14:paraId="78C9E489" w14:textId="77777777" w:rsidR="006821C9" w:rsidRPr="00647C00" w:rsidRDefault="006821C9" w:rsidP="00496AE1">
            <w:pPr>
              <w:jc w:val="center"/>
              <w:rPr>
                <w:color w:val="000000"/>
                <w:lang w:val="en-US"/>
              </w:rPr>
            </w:pPr>
            <w:r w:rsidRPr="00647C00">
              <w:rPr>
                <w:color w:val="000000"/>
                <w:lang w:val="en-US"/>
              </w:rPr>
              <w:t xml:space="preserve">99% CDF [Baseline] </w:t>
            </w:r>
          </w:p>
        </w:tc>
      </w:tr>
      <w:tr w:rsidR="006821C9" w:rsidRPr="00647C00" w14:paraId="327A8B80" w14:textId="77777777" w:rsidTr="003D0D23">
        <w:trPr>
          <w:trHeight w:val="176"/>
          <w:jc w:val="center"/>
        </w:trPr>
        <w:tc>
          <w:tcPr>
            <w:tcW w:w="4398" w:type="dxa"/>
            <w:noWrap/>
            <w:hideMark/>
          </w:tcPr>
          <w:p w14:paraId="704DB0AF" w14:textId="73EBA4C6" w:rsidR="006821C9" w:rsidRPr="00647C00" w:rsidRDefault="006821C9" w:rsidP="00496AE1">
            <w:pPr>
              <w:rPr>
                <w:color w:val="000000"/>
                <w:lang w:val="en-US"/>
              </w:rPr>
            </w:pPr>
            <w:r w:rsidRPr="00647C00">
              <w:t>Conducted</w:t>
            </w:r>
            <w:r w:rsidRPr="00647C00">
              <w:rPr>
                <w:color w:val="000000"/>
                <w:lang w:val="en-US"/>
              </w:rPr>
              <w:t xml:space="preserve"> in-band blocking (dBm)</w:t>
            </w:r>
            <w:r w:rsidR="00A76302">
              <w:rPr>
                <w:color w:val="000000"/>
                <w:lang w:val="en-US"/>
              </w:rPr>
              <w:t xml:space="preserve"> </w:t>
            </w:r>
            <w:bookmarkStart w:id="18" w:name="_Hlk181786795"/>
            <w:r w:rsidR="00A76302">
              <w:rPr>
                <w:color w:val="000000"/>
                <w:lang w:val="en-US"/>
              </w:rPr>
              <w:t xml:space="preserve">SBFD Aggressor </w:t>
            </w:r>
            <w:bookmarkEnd w:id="18"/>
          </w:p>
        </w:tc>
        <w:tc>
          <w:tcPr>
            <w:tcW w:w="2560" w:type="dxa"/>
            <w:noWrap/>
            <w:hideMark/>
          </w:tcPr>
          <w:p w14:paraId="6F801FE2" w14:textId="77777777" w:rsidR="006821C9" w:rsidRPr="00647C00" w:rsidRDefault="006821C9" w:rsidP="00496AE1">
            <w:pPr>
              <w:jc w:val="center"/>
              <w:rPr>
                <w:color w:val="000000"/>
                <w:lang w:val="en-US"/>
              </w:rPr>
            </w:pPr>
            <w:r w:rsidRPr="00647C00">
              <w:rPr>
                <w:color w:val="000000"/>
                <w:lang w:val="en-US"/>
              </w:rPr>
              <w:t>-3</w:t>
            </w:r>
            <w:r>
              <w:rPr>
                <w:color w:val="000000"/>
                <w:lang w:val="en-US"/>
              </w:rPr>
              <w:t>9</w:t>
            </w:r>
            <w:r w:rsidRPr="00647C00">
              <w:rPr>
                <w:color w:val="000000"/>
                <w:lang w:val="en-US"/>
              </w:rPr>
              <w:t>.</w:t>
            </w:r>
            <w:r>
              <w:rPr>
                <w:color w:val="000000"/>
                <w:lang w:val="en-US"/>
              </w:rPr>
              <w:t>25</w:t>
            </w:r>
          </w:p>
        </w:tc>
        <w:tc>
          <w:tcPr>
            <w:tcW w:w="2109" w:type="dxa"/>
            <w:hideMark/>
          </w:tcPr>
          <w:p w14:paraId="21541A1D" w14:textId="77777777" w:rsidR="006821C9" w:rsidRPr="00647C00" w:rsidRDefault="006821C9" w:rsidP="00496AE1">
            <w:pPr>
              <w:jc w:val="center"/>
              <w:rPr>
                <w:color w:val="000000"/>
                <w:lang w:val="en-US"/>
              </w:rPr>
            </w:pPr>
            <w:r w:rsidRPr="00647C00">
              <w:rPr>
                <w:color w:val="000000"/>
                <w:lang w:val="en-US"/>
              </w:rPr>
              <w:t>-</w:t>
            </w:r>
            <w:r>
              <w:rPr>
                <w:color w:val="000000"/>
                <w:lang w:val="en-US"/>
              </w:rPr>
              <w:t>3</w:t>
            </w:r>
            <w:r w:rsidRPr="00647C00">
              <w:rPr>
                <w:color w:val="000000"/>
                <w:lang w:val="en-US"/>
              </w:rPr>
              <w:t>.82</w:t>
            </w:r>
          </w:p>
        </w:tc>
      </w:tr>
      <w:tr w:rsidR="00A76302" w:rsidRPr="00647C00" w14:paraId="3CD64CF8" w14:textId="77777777" w:rsidTr="003D0D23">
        <w:trPr>
          <w:trHeight w:val="176"/>
          <w:jc w:val="center"/>
        </w:trPr>
        <w:tc>
          <w:tcPr>
            <w:tcW w:w="4398" w:type="dxa"/>
            <w:noWrap/>
          </w:tcPr>
          <w:p w14:paraId="6096172D" w14:textId="4FE11B51" w:rsidR="00A76302" w:rsidRPr="00647C00" w:rsidRDefault="00A76302" w:rsidP="00496AE1">
            <w:r w:rsidRPr="00647C00">
              <w:t>Conducted</w:t>
            </w:r>
            <w:r w:rsidRPr="00647C00">
              <w:rPr>
                <w:color w:val="000000"/>
                <w:lang w:val="en-US"/>
              </w:rPr>
              <w:t xml:space="preserve"> in-band blocking (dBm)</w:t>
            </w:r>
            <w:r>
              <w:rPr>
                <w:color w:val="000000"/>
                <w:lang w:val="en-US"/>
              </w:rPr>
              <w:t xml:space="preserve"> TDD Aggressor</w:t>
            </w:r>
          </w:p>
        </w:tc>
        <w:tc>
          <w:tcPr>
            <w:tcW w:w="2560" w:type="dxa"/>
            <w:noWrap/>
          </w:tcPr>
          <w:p w14:paraId="7903F655" w14:textId="61B3D043" w:rsidR="00A76302" w:rsidRPr="00647C00" w:rsidRDefault="00C10C55" w:rsidP="00496AE1">
            <w:pPr>
              <w:jc w:val="center"/>
              <w:rPr>
                <w:color w:val="000000"/>
                <w:lang w:val="en-US"/>
              </w:rPr>
            </w:pPr>
            <w:r>
              <w:rPr>
                <w:color w:val="000000"/>
                <w:lang w:val="en-US"/>
              </w:rPr>
              <w:t>-35.78</w:t>
            </w:r>
          </w:p>
        </w:tc>
        <w:tc>
          <w:tcPr>
            <w:tcW w:w="2109" w:type="dxa"/>
          </w:tcPr>
          <w:p w14:paraId="280E04AE" w14:textId="5B037D32" w:rsidR="00A76302" w:rsidRPr="00647C00" w:rsidRDefault="006B49EE" w:rsidP="00496AE1">
            <w:pPr>
              <w:jc w:val="center"/>
              <w:rPr>
                <w:color w:val="000000"/>
                <w:lang w:val="en-US"/>
              </w:rPr>
            </w:pPr>
            <w:r>
              <w:rPr>
                <w:color w:val="000000"/>
                <w:lang w:val="en-US"/>
              </w:rPr>
              <w:t>-0.78</w:t>
            </w:r>
          </w:p>
        </w:tc>
      </w:tr>
    </w:tbl>
    <w:p w14:paraId="10680A1B" w14:textId="77777777" w:rsidR="006821C9" w:rsidRDefault="006821C9" w:rsidP="00A73EC8">
      <w:pPr>
        <w:jc w:val="both"/>
        <w:rPr>
          <w:rFonts w:eastAsiaTheme="minorEastAsia"/>
          <w:bCs/>
          <w:sz w:val="22"/>
          <w:szCs w:val="22"/>
          <w:lang w:val="en-US" w:eastAsia="zh-CN"/>
        </w:rPr>
      </w:pPr>
    </w:p>
    <w:p w14:paraId="29699747" w14:textId="5981393F" w:rsidR="006821C9" w:rsidRPr="00AF35BE" w:rsidRDefault="5944C2E9" w:rsidP="00A73EC8">
      <w:pPr>
        <w:jc w:val="both"/>
        <w:rPr>
          <w:b/>
          <w:bCs/>
          <w:sz w:val="22"/>
          <w:szCs w:val="22"/>
        </w:rPr>
      </w:pPr>
      <w:bookmarkStart w:id="19" w:name="_Hlk188364453"/>
      <w:r w:rsidRPr="69170F29">
        <w:rPr>
          <w:b/>
          <w:bCs/>
          <w:sz w:val="22"/>
          <w:szCs w:val="22"/>
        </w:rPr>
        <w:t xml:space="preserve">Observation </w:t>
      </w:r>
      <w:r w:rsidR="00116753">
        <w:rPr>
          <w:b/>
          <w:bCs/>
          <w:sz w:val="22"/>
          <w:szCs w:val="22"/>
        </w:rPr>
        <w:t>7</w:t>
      </w:r>
      <w:r w:rsidRPr="69170F29">
        <w:rPr>
          <w:b/>
          <w:bCs/>
          <w:sz w:val="22"/>
          <w:szCs w:val="22"/>
        </w:rPr>
        <w:t xml:space="preserve">: </w:t>
      </w:r>
      <w:r w:rsidR="003A21B3" w:rsidRPr="003A21B3">
        <w:rPr>
          <w:b/>
          <w:bCs/>
          <w:sz w:val="22"/>
          <w:szCs w:val="22"/>
        </w:rPr>
        <w:t>For the Urban Macro scenario, the 99th percentile of the in-band blocking power is -39.25 dBm in the 10% grid shift case for the reduced blocker model when SBFD is the aggressor, and -35.78 dBm when TDD is the aggressor. The in-band blocking power requirement was significantly reduced for the reduced blocker model</w:t>
      </w:r>
      <w:r w:rsidRPr="69170F29">
        <w:rPr>
          <w:b/>
          <w:bCs/>
          <w:sz w:val="22"/>
          <w:szCs w:val="22"/>
        </w:rPr>
        <w:t>.</w:t>
      </w:r>
    </w:p>
    <w:bookmarkEnd w:id="19"/>
    <w:p w14:paraId="0BC5B1CD" w14:textId="5A782E51" w:rsidR="004E220B" w:rsidRPr="00E74C74" w:rsidRDefault="007F7C26" w:rsidP="00E74C74">
      <w:pPr>
        <w:pStyle w:val="Heading4"/>
        <w:jc w:val="both"/>
        <w:rPr>
          <w:rFonts w:ascii="Times New Roman" w:hAnsi="Times New Roman" w:cs="Times New Roman"/>
          <w:b/>
          <w:bCs/>
          <w:noProof/>
        </w:rPr>
      </w:pPr>
      <w:r w:rsidRPr="007F7C26">
        <w:rPr>
          <w:rFonts w:ascii="Times New Roman" w:hAnsi="Times New Roman" w:cs="Times New Roman"/>
          <w:b/>
          <w:bCs/>
          <w:noProof/>
        </w:rPr>
        <w:lastRenderedPageBreak/>
        <w:t>Performance Evaluation with Reduced Blocker &amp; CLI handling schemes.</w:t>
      </w:r>
    </w:p>
    <w:p w14:paraId="1E3B09DF" w14:textId="77777777" w:rsidR="00F21B76" w:rsidRPr="00F21B76" w:rsidRDefault="00F21B76" w:rsidP="00F21B76"/>
    <w:p w14:paraId="2DDA9374" w14:textId="1C5F268B" w:rsidR="008C7A5F" w:rsidRDefault="00F21B76" w:rsidP="00F21B76">
      <w:pPr>
        <w:jc w:val="center"/>
      </w:pPr>
      <w:r>
        <w:rPr>
          <w:noProof/>
        </w:rPr>
        <w:drawing>
          <wp:inline distT="0" distB="0" distL="0" distR="0" wp14:anchorId="095676A5" wp14:editId="3CE9CAF6">
            <wp:extent cx="4336952" cy="3075709"/>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31">
                      <a:extLst>
                        <a:ext uri="{28A0092B-C50C-407E-A947-70E740481C1C}">
                          <a14:useLocalDpi xmlns:a14="http://schemas.microsoft.com/office/drawing/2010/main" val="0"/>
                        </a:ext>
                      </a:extLst>
                    </a:blip>
                    <a:stretch>
                      <a:fillRect/>
                    </a:stretch>
                  </pic:blipFill>
                  <pic:spPr>
                    <a:xfrm>
                      <a:off x="0" y="0"/>
                      <a:ext cx="4441882" cy="3150124"/>
                    </a:xfrm>
                    <a:prstGeom prst="rect">
                      <a:avLst/>
                    </a:prstGeom>
                  </pic:spPr>
                </pic:pic>
              </a:graphicData>
            </a:graphic>
          </wp:inline>
        </w:drawing>
      </w:r>
    </w:p>
    <w:p w14:paraId="1F7CA500" w14:textId="47831E38" w:rsidR="00A73EC8" w:rsidRPr="00F21B76" w:rsidRDefault="00F21B76" w:rsidP="00F21B76">
      <w:pPr>
        <w:jc w:val="center"/>
        <w:rPr>
          <w:b/>
          <w:bCs/>
          <w:sz w:val="22"/>
          <w:szCs w:val="22"/>
        </w:rPr>
      </w:pPr>
      <w:r w:rsidRPr="00F21B76">
        <w:rPr>
          <w:b/>
          <w:bCs/>
          <w:sz w:val="22"/>
          <w:szCs w:val="22"/>
        </w:rPr>
        <w:t>(a)</w:t>
      </w:r>
    </w:p>
    <w:p w14:paraId="33B91D56" w14:textId="5703EECD" w:rsidR="00044853" w:rsidRDefault="004E220B" w:rsidP="00A73EC8">
      <w:pPr>
        <w:keepNext/>
        <w:jc w:val="center"/>
        <w:rPr>
          <w:b/>
          <w:bCs/>
        </w:rPr>
      </w:pPr>
      <w:r>
        <w:rPr>
          <w:b/>
          <w:bCs/>
          <w:noProof/>
        </w:rPr>
        <w:drawing>
          <wp:inline distT="0" distB="0" distL="0" distR="0" wp14:anchorId="5AB4F79B" wp14:editId="3FF00E8C">
            <wp:extent cx="4752975" cy="334128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32">
                      <a:extLst>
                        <a:ext uri="{28A0092B-C50C-407E-A947-70E740481C1C}">
                          <a14:useLocalDpi xmlns:a14="http://schemas.microsoft.com/office/drawing/2010/main" val="0"/>
                        </a:ext>
                      </a:extLst>
                    </a:blip>
                    <a:stretch>
                      <a:fillRect/>
                    </a:stretch>
                  </pic:blipFill>
                  <pic:spPr>
                    <a:xfrm>
                      <a:off x="0" y="0"/>
                      <a:ext cx="4819388" cy="3387974"/>
                    </a:xfrm>
                    <a:prstGeom prst="rect">
                      <a:avLst/>
                    </a:prstGeom>
                  </pic:spPr>
                </pic:pic>
              </a:graphicData>
            </a:graphic>
          </wp:inline>
        </w:drawing>
      </w:r>
    </w:p>
    <w:p w14:paraId="2BF0F360" w14:textId="77777777" w:rsidR="00044853" w:rsidRDefault="00044853" w:rsidP="00A73EC8">
      <w:pPr>
        <w:keepNext/>
        <w:jc w:val="center"/>
        <w:rPr>
          <w:b/>
          <w:bCs/>
        </w:rPr>
      </w:pPr>
    </w:p>
    <w:p w14:paraId="0BD2A60E" w14:textId="4A2D118B" w:rsidR="00A73EC8" w:rsidRPr="00647C00" w:rsidRDefault="008A1D5F" w:rsidP="00A73EC8">
      <w:pPr>
        <w:keepNext/>
        <w:jc w:val="center"/>
        <w:rPr>
          <w:b/>
          <w:bCs/>
        </w:rPr>
      </w:pPr>
      <w:r w:rsidRPr="00647C00">
        <w:rPr>
          <w:b/>
          <w:bCs/>
        </w:rPr>
        <w:t>(</w:t>
      </w:r>
      <w:r w:rsidR="00A73EC8" w:rsidRPr="00647C00">
        <w:rPr>
          <w:b/>
          <w:bCs/>
        </w:rPr>
        <w:t xml:space="preserve">b) </w:t>
      </w:r>
    </w:p>
    <w:p w14:paraId="2B390B47" w14:textId="06450F54" w:rsidR="00A73EC8" w:rsidRDefault="004E220B" w:rsidP="004E220B">
      <w:pPr>
        <w:jc w:val="center"/>
        <w:rPr>
          <w:b/>
          <w:bCs/>
        </w:rPr>
      </w:pPr>
      <w:r w:rsidRPr="004E220B">
        <w:rPr>
          <w:b/>
          <w:bCs/>
        </w:rPr>
        <w:t>Figure 1</w:t>
      </w:r>
      <w:r w:rsidR="007C675A">
        <w:rPr>
          <w:b/>
          <w:bCs/>
        </w:rPr>
        <w:t>0</w:t>
      </w:r>
      <w:r w:rsidRPr="004E220B">
        <w:rPr>
          <w:b/>
          <w:bCs/>
        </w:rPr>
        <w:t>: (a) CDF of (b) SINR</w:t>
      </w:r>
    </w:p>
    <w:p w14:paraId="67A91A78" w14:textId="77777777" w:rsidR="004E220B" w:rsidRPr="004E220B" w:rsidRDefault="004E220B" w:rsidP="00D41850">
      <w:pPr>
        <w:jc w:val="both"/>
        <w:rPr>
          <w:b/>
          <w:bCs/>
        </w:rPr>
      </w:pPr>
    </w:p>
    <w:p w14:paraId="6F66EA0C" w14:textId="17FBAEA7" w:rsidR="00032594" w:rsidRDefault="008824D0" w:rsidP="00D41850">
      <w:pPr>
        <w:spacing w:line="276" w:lineRule="auto"/>
        <w:jc w:val="both"/>
        <w:rPr>
          <w:rFonts w:eastAsia="Times New Roman"/>
          <w:sz w:val="22"/>
          <w:szCs w:val="22"/>
          <w:lang w:eastAsia="en-IN"/>
        </w:rPr>
      </w:pPr>
      <w:r w:rsidRPr="69170F29">
        <w:rPr>
          <w:rFonts w:eastAsia="Times New Roman"/>
          <w:sz w:val="22"/>
          <w:szCs w:val="22"/>
          <w:lang w:eastAsia="en-IN"/>
        </w:rPr>
        <w:lastRenderedPageBreak/>
        <w:t xml:space="preserve">Figures </w:t>
      </w:r>
      <w:r w:rsidR="004E220B" w:rsidRPr="69170F29">
        <w:rPr>
          <w:rFonts w:eastAsia="Times New Roman"/>
          <w:sz w:val="22"/>
          <w:szCs w:val="22"/>
          <w:lang w:eastAsia="en-IN"/>
        </w:rPr>
        <w:t>1</w:t>
      </w:r>
      <w:r w:rsidR="007C675A">
        <w:rPr>
          <w:rFonts w:eastAsia="Times New Roman"/>
          <w:sz w:val="22"/>
          <w:szCs w:val="22"/>
          <w:lang w:eastAsia="en-IN"/>
        </w:rPr>
        <w:t>0</w:t>
      </w:r>
      <w:r w:rsidRPr="69170F29">
        <w:rPr>
          <w:rFonts w:eastAsia="Times New Roman"/>
          <w:sz w:val="22"/>
          <w:szCs w:val="22"/>
          <w:lang w:eastAsia="en-IN"/>
        </w:rPr>
        <w:t xml:space="preserve">(a) and </w:t>
      </w:r>
      <w:r w:rsidR="007C675A">
        <w:rPr>
          <w:rFonts w:eastAsia="Times New Roman"/>
          <w:sz w:val="22"/>
          <w:szCs w:val="22"/>
          <w:lang w:eastAsia="en-IN"/>
        </w:rPr>
        <w:t>10</w:t>
      </w:r>
      <w:r w:rsidRPr="69170F29">
        <w:rPr>
          <w:rFonts w:eastAsia="Times New Roman"/>
          <w:sz w:val="22"/>
          <w:szCs w:val="22"/>
          <w:lang w:eastAsia="en-IN"/>
        </w:rPr>
        <w:t>(b) show the comparison of the SINR CDFs and spectral efficiency, respectively, at the victim receiver, including total noise and total interference (38.858 Annex E, E. 2.3.2.1) for</w:t>
      </w:r>
      <w:r w:rsidR="00C60745" w:rsidRPr="69170F29">
        <w:rPr>
          <w:rFonts w:eastAsia="Times New Roman"/>
          <w:sz w:val="22"/>
          <w:szCs w:val="22"/>
          <w:lang w:eastAsia="en-IN"/>
        </w:rPr>
        <w:t xml:space="preserve"> all</w:t>
      </w:r>
      <w:r w:rsidRPr="69170F29">
        <w:rPr>
          <w:rFonts w:eastAsia="Times New Roman"/>
          <w:sz w:val="22"/>
          <w:szCs w:val="22"/>
          <w:lang w:eastAsia="en-IN"/>
        </w:rPr>
        <w:t xml:space="preserve"> the </w:t>
      </w:r>
      <w:r w:rsidR="00C60745" w:rsidRPr="69170F29">
        <w:rPr>
          <w:rFonts w:eastAsia="Times New Roman"/>
          <w:sz w:val="22"/>
          <w:szCs w:val="22"/>
          <w:lang w:eastAsia="en-IN"/>
        </w:rPr>
        <w:t>different receiver</w:t>
      </w:r>
      <w:r w:rsidRPr="69170F29">
        <w:rPr>
          <w:rFonts w:eastAsia="Times New Roman"/>
          <w:sz w:val="22"/>
          <w:szCs w:val="22"/>
          <w:lang w:eastAsia="en-IN"/>
        </w:rPr>
        <w:t xml:space="preserve"> blocker </w:t>
      </w:r>
      <w:r w:rsidR="00C60745" w:rsidRPr="69170F29">
        <w:rPr>
          <w:rFonts w:eastAsia="Times New Roman"/>
          <w:sz w:val="22"/>
          <w:szCs w:val="22"/>
          <w:lang w:eastAsia="en-IN"/>
        </w:rPr>
        <w:t xml:space="preserve">models </w:t>
      </w:r>
      <w:r w:rsidR="004E220B" w:rsidRPr="69170F29">
        <w:rPr>
          <w:rFonts w:eastAsia="Times New Roman"/>
          <w:sz w:val="22"/>
          <w:szCs w:val="22"/>
          <w:lang w:eastAsia="en-IN"/>
        </w:rPr>
        <w:t>for the</w:t>
      </w:r>
      <w:r w:rsidRPr="69170F29">
        <w:rPr>
          <w:rFonts w:eastAsia="Times New Roman"/>
          <w:sz w:val="22"/>
          <w:szCs w:val="22"/>
          <w:lang w:eastAsia="en-IN"/>
        </w:rPr>
        <w:t xml:space="preserve"> same grid shift of 10% in both the models</w:t>
      </w:r>
      <w:r w:rsidR="00B309C3">
        <w:rPr>
          <w:rFonts w:eastAsia="Times New Roman"/>
          <w:sz w:val="22"/>
          <w:szCs w:val="22"/>
          <w:lang w:eastAsia="en-IN"/>
        </w:rPr>
        <w:t xml:space="preserve"> for UMa</w:t>
      </w:r>
      <w:r w:rsidRPr="69170F29">
        <w:rPr>
          <w:rFonts w:eastAsia="Times New Roman"/>
          <w:sz w:val="22"/>
          <w:szCs w:val="22"/>
          <w:lang w:eastAsia="en-IN"/>
        </w:rPr>
        <w:t>.</w:t>
      </w:r>
    </w:p>
    <w:p w14:paraId="2F9A563E" w14:textId="0701924A" w:rsidR="00A73EC8" w:rsidRPr="00174DB5" w:rsidRDefault="008824D0" w:rsidP="00D41850">
      <w:pPr>
        <w:spacing w:line="276" w:lineRule="auto"/>
        <w:jc w:val="both"/>
        <w:rPr>
          <w:rFonts w:eastAsia="Times New Roman"/>
          <w:sz w:val="22"/>
          <w:szCs w:val="22"/>
          <w:lang w:eastAsia="en-IN"/>
        </w:rPr>
      </w:pPr>
      <w:r w:rsidRPr="69170F29">
        <w:rPr>
          <w:rFonts w:eastAsia="Times New Roman"/>
          <w:sz w:val="22"/>
          <w:szCs w:val="22"/>
          <w:lang w:eastAsia="en-IN"/>
        </w:rPr>
        <w:t xml:space="preserve">Figure </w:t>
      </w:r>
      <w:r w:rsidR="004E220B" w:rsidRPr="69170F29">
        <w:rPr>
          <w:rFonts w:eastAsia="Times New Roman"/>
          <w:sz w:val="22"/>
          <w:szCs w:val="22"/>
          <w:lang w:eastAsia="en-IN"/>
        </w:rPr>
        <w:t>1</w:t>
      </w:r>
      <w:r w:rsidR="007C675A">
        <w:rPr>
          <w:rFonts w:eastAsia="Times New Roman"/>
          <w:sz w:val="22"/>
          <w:szCs w:val="22"/>
          <w:lang w:eastAsia="en-IN"/>
        </w:rPr>
        <w:t>0</w:t>
      </w:r>
      <w:r w:rsidR="004E220B" w:rsidRPr="69170F29">
        <w:rPr>
          <w:rFonts w:eastAsia="Times New Roman"/>
          <w:sz w:val="22"/>
          <w:szCs w:val="22"/>
          <w:lang w:eastAsia="en-IN"/>
        </w:rPr>
        <w:t xml:space="preserve"> </w:t>
      </w:r>
      <w:r w:rsidRPr="69170F29">
        <w:rPr>
          <w:rFonts w:eastAsia="Times New Roman"/>
          <w:sz w:val="22"/>
          <w:szCs w:val="22"/>
          <w:lang w:eastAsia="en-IN"/>
        </w:rPr>
        <w:t xml:space="preserve">(a) shows that at the 40 percentiles of SINR CDF, the reduced blocker model gives better SINR of 8.23 dB compared to the baseline model. Similarly, for the baseline model, only </w:t>
      </w:r>
      <w:r w:rsidRPr="008824D0">
        <w:rPr>
          <w:rFonts w:eastAsia="Times New Roman"/>
          <w:sz w:val="22"/>
          <w:szCs w:val="22"/>
          <w:lang w:eastAsia="en-IN"/>
        </w:rPr>
        <w:t>2</w:t>
      </w:r>
      <w:r w:rsidR="00532AC1">
        <w:rPr>
          <w:rFonts w:eastAsia="Times New Roman"/>
          <w:sz w:val="22"/>
          <w:szCs w:val="22"/>
          <w:lang w:eastAsia="en-IN"/>
        </w:rPr>
        <w:t>6</w:t>
      </w:r>
      <w:r w:rsidRPr="69170F29">
        <w:rPr>
          <w:rFonts w:eastAsia="Times New Roman"/>
          <w:sz w:val="22"/>
          <w:szCs w:val="22"/>
          <w:lang w:eastAsia="en-IN"/>
        </w:rPr>
        <w:t xml:space="preserve">% of UEs have a spectral efficiency above 0.5 compared to the </w:t>
      </w:r>
      <w:r w:rsidRPr="008824D0">
        <w:rPr>
          <w:rFonts w:eastAsia="Times New Roman"/>
          <w:sz w:val="22"/>
          <w:szCs w:val="22"/>
          <w:lang w:eastAsia="en-IN"/>
        </w:rPr>
        <w:t>4</w:t>
      </w:r>
      <w:r w:rsidR="00591321">
        <w:rPr>
          <w:rFonts w:eastAsia="Times New Roman"/>
          <w:sz w:val="22"/>
          <w:szCs w:val="22"/>
          <w:lang w:eastAsia="en-IN"/>
        </w:rPr>
        <w:t>4</w:t>
      </w:r>
      <w:r w:rsidRPr="69170F29">
        <w:rPr>
          <w:rFonts w:eastAsia="Times New Roman"/>
          <w:sz w:val="22"/>
          <w:szCs w:val="22"/>
          <w:lang w:eastAsia="en-IN"/>
        </w:rPr>
        <w:t>% of UEs in the reduced blocker model. The performance of the reduced blocker model increases significantly as the adjacent channel interference is blocked by the extra analog filters.</w:t>
      </w:r>
    </w:p>
    <w:p w14:paraId="4EEB570C" w14:textId="77777777" w:rsidR="00A73EC8" w:rsidRPr="00647C00" w:rsidRDefault="00A73EC8" w:rsidP="00A73EC8"/>
    <w:p w14:paraId="424280CD" w14:textId="51F8F379" w:rsidR="00A73EC8" w:rsidRPr="00647C00" w:rsidRDefault="00A73EC8" w:rsidP="00A73EC8">
      <w:pPr>
        <w:jc w:val="both"/>
        <w:rPr>
          <w:b/>
          <w:bCs/>
          <w:sz w:val="22"/>
          <w:szCs w:val="22"/>
          <w:lang w:val="en-US"/>
        </w:rPr>
      </w:pPr>
      <w:bookmarkStart w:id="20" w:name="_Hlk188364465"/>
      <w:r w:rsidRPr="0CDA97C4">
        <w:rPr>
          <w:b/>
          <w:bCs/>
          <w:sz w:val="22"/>
          <w:szCs w:val="22"/>
          <w:lang w:val="en-US"/>
        </w:rPr>
        <w:t>Observation</w:t>
      </w:r>
      <w:r w:rsidR="55CD3520" w:rsidRPr="0CDA97C4">
        <w:rPr>
          <w:b/>
          <w:bCs/>
          <w:sz w:val="22"/>
          <w:szCs w:val="22"/>
          <w:lang w:val="en-US"/>
        </w:rPr>
        <w:t xml:space="preserve"> </w:t>
      </w:r>
      <w:r w:rsidR="00116753">
        <w:rPr>
          <w:b/>
          <w:bCs/>
          <w:sz w:val="22"/>
          <w:szCs w:val="22"/>
          <w:lang w:val="en-US"/>
        </w:rPr>
        <w:t>8</w:t>
      </w:r>
      <w:r w:rsidR="513E91A0" w:rsidRPr="0CDA97C4">
        <w:rPr>
          <w:b/>
          <w:bCs/>
          <w:sz w:val="22"/>
          <w:szCs w:val="22"/>
          <w:lang w:val="en-US"/>
        </w:rPr>
        <w:t>: Simulations show an improvement of 8 dB in SINR with the reduced blocker model compared to the baseline model</w:t>
      </w:r>
      <w:r w:rsidR="7166DF94">
        <w:t xml:space="preserve"> </w:t>
      </w:r>
      <w:r w:rsidR="17747CE1" w:rsidRPr="0CDA97C4">
        <w:rPr>
          <w:b/>
          <w:bCs/>
        </w:rPr>
        <w:t>for UMa with a</w:t>
      </w:r>
      <w:r w:rsidR="17747CE1">
        <w:t xml:space="preserve"> </w:t>
      </w:r>
      <w:r w:rsidR="7166DF94" w:rsidRPr="0CDA97C4">
        <w:rPr>
          <w:b/>
          <w:bCs/>
          <w:sz w:val="22"/>
          <w:szCs w:val="22"/>
          <w:lang w:val="en-US"/>
        </w:rPr>
        <w:t>grid shift of 10%</w:t>
      </w:r>
      <w:r w:rsidR="513E91A0" w:rsidRPr="0CDA97C4">
        <w:rPr>
          <w:b/>
          <w:bCs/>
          <w:sz w:val="22"/>
          <w:szCs w:val="22"/>
          <w:lang w:val="en-US"/>
        </w:rPr>
        <w:t xml:space="preserve">. Additionally, with the reduced blocker, </w:t>
      </w:r>
      <w:r w:rsidR="7C2996EF" w:rsidRPr="0CDA97C4">
        <w:rPr>
          <w:b/>
          <w:bCs/>
          <w:sz w:val="22"/>
          <w:szCs w:val="22"/>
          <w:lang w:val="en-US"/>
        </w:rPr>
        <w:t>18-20</w:t>
      </w:r>
      <w:r w:rsidR="513E91A0" w:rsidRPr="0CDA97C4">
        <w:rPr>
          <w:b/>
          <w:bCs/>
          <w:sz w:val="22"/>
          <w:szCs w:val="22"/>
          <w:lang w:val="en-US"/>
        </w:rPr>
        <w:t>% more UEs achieve a spectral efficiency greater than 0.5</w:t>
      </w:r>
      <w:r w:rsidR="7A6EFF05" w:rsidRPr="0CDA97C4">
        <w:rPr>
          <w:rFonts w:eastAsia="Times New Roman"/>
          <w:b/>
          <w:bCs/>
          <w:sz w:val="22"/>
          <w:szCs w:val="22"/>
          <w:lang w:val="en-IN" w:eastAsia="en-IN"/>
        </w:rPr>
        <w:t>.</w:t>
      </w:r>
    </w:p>
    <w:bookmarkEnd w:id="20"/>
    <w:p w14:paraId="0C53FEE9" w14:textId="77777777" w:rsidR="00A73EC8" w:rsidRPr="00647C00" w:rsidRDefault="00A73EC8" w:rsidP="00A73EC8">
      <w:pPr>
        <w:jc w:val="both"/>
        <w:rPr>
          <w:b/>
          <w:bCs/>
          <w:sz w:val="22"/>
          <w:szCs w:val="22"/>
        </w:rPr>
      </w:pPr>
    </w:p>
    <w:p w14:paraId="6E9AB3F1" w14:textId="77777777" w:rsidR="00A73EC8" w:rsidRPr="00647C00" w:rsidRDefault="00A73EC8" w:rsidP="00A73EC8">
      <w:pPr>
        <w:rPr>
          <w:b/>
          <w:bCs/>
          <w:sz w:val="22"/>
          <w:szCs w:val="22"/>
        </w:rPr>
      </w:pPr>
    </w:p>
    <w:p w14:paraId="5E29B1AC" w14:textId="43397105" w:rsidR="00A73EC8" w:rsidRPr="00D41850" w:rsidRDefault="000F7A06" w:rsidP="00C31D61">
      <w:pPr>
        <w:spacing w:line="276" w:lineRule="auto"/>
        <w:jc w:val="both"/>
        <w:rPr>
          <w:b/>
          <w:sz w:val="22"/>
          <w:szCs w:val="22"/>
          <w:u w:val="single"/>
          <w:lang w:val="en-IN" w:eastAsia="en-IN"/>
        </w:rPr>
      </w:pPr>
      <w:r>
        <w:rPr>
          <w:b/>
          <w:bCs/>
          <w:sz w:val="22"/>
          <w:szCs w:val="22"/>
          <w:u w:val="single"/>
        </w:rPr>
        <w:t>Reduced Blocker with</w:t>
      </w:r>
      <w:r w:rsidR="003D0603" w:rsidRPr="00D41850">
        <w:rPr>
          <w:b/>
          <w:bCs/>
          <w:sz w:val="22"/>
          <w:szCs w:val="22"/>
          <w:u w:val="single"/>
        </w:rPr>
        <w:t xml:space="preserve"> </w:t>
      </w:r>
      <w:r w:rsidR="65E13760" w:rsidRPr="00D41850">
        <w:rPr>
          <w:b/>
          <w:sz w:val="22"/>
          <w:szCs w:val="22"/>
          <w:u w:val="single"/>
          <w:lang w:val="en-IN" w:eastAsia="en-IN"/>
        </w:rPr>
        <w:t xml:space="preserve">Co-Channel gNB Beam Nulling </w:t>
      </w:r>
    </w:p>
    <w:p w14:paraId="5A4B7014" w14:textId="77777777" w:rsidR="004D08B5" w:rsidRDefault="00C51D77" w:rsidP="00645CF3">
      <w:pPr>
        <w:spacing w:line="276" w:lineRule="auto"/>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gNBs to reduce the interference caused by them to the SBFD network. We would like to see the gain in SINR and spectral efficiency due to beam nulling and the impact of adjacent CLI leakage.</w:t>
      </w:r>
      <w:r w:rsidR="00645CF3">
        <w:rPr>
          <w:sz w:val="22"/>
          <w:szCs w:val="22"/>
        </w:rPr>
        <w:t xml:space="preserve"> </w:t>
      </w:r>
    </w:p>
    <w:p w14:paraId="512EB816" w14:textId="4AED6F37" w:rsidR="00A73EC8" w:rsidRPr="00645CF3" w:rsidRDefault="132972DE" w:rsidP="0CDA97C4">
      <w:pPr>
        <w:spacing w:line="276" w:lineRule="auto"/>
        <w:jc w:val="both"/>
        <w:rPr>
          <w:rFonts w:eastAsia="Times New Roman"/>
          <w:sz w:val="22"/>
          <w:szCs w:val="22"/>
          <w:lang w:eastAsia="en-IN"/>
        </w:rPr>
      </w:pPr>
      <w:r w:rsidRPr="0CDA97C4">
        <w:rPr>
          <w:rFonts w:eastAsia="Times New Roman"/>
          <w:sz w:val="22"/>
          <w:szCs w:val="22"/>
          <w:lang w:eastAsia="en-IN"/>
        </w:rPr>
        <w:t xml:space="preserve">Figure </w:t>
      </w:r>
      <w:r w:rsidR="556FAEE0" w:rsidRPr="0CDA97C4">
        <w:rPr>
          <w:rFonts w:eastAsia="Times New Roman"/>
          <w:sz w:val="22"/>
          <w:szCs w:val="22"/>
          <w:lang w:eastAsia="en-IN"/>
        </w:rPr>
        <w:t>1</w:t>
      </w:r>
      <w:r w:rsidR="00116753">
        <w:rPr>
          <w:rFonts w:eastAsia="Times New Roman"/>
          <w:sz w:val="22"/>
          <w:szCs w:val="22"/>
          <w:lang w:eastAsia="en-IN"/>
        </w:rPr>
        <w:t>0</w:t>
      </w:r>
      <w:r w:rsidRPr="0CDA97C4">
        <w:rPr>
          <w:rFonts w:eastAsia="Times New Roman"/>
          <w:sz w:val="22"/>
          <w:szCs w:val="22"/>
          <w:lang w:eastAsia="en-IN"/>
        </w:rPr>
        <w:t xml:space="preserve"> shows that at the 40 percentiles of SINR CDF, the reduced blocker model with beam nulling gives better SINR of 6.18 dB compared to the same model without beam nulling. Similarly, for the reduced blocker model, 4</w:t>
      </w:r>
      <w:r w:rsidR="0E3444FE" w:rsidRPr="0CDA97C4">
        <w:rPr>
          <w:rFonts w:eastAsia="Times New Roman"/>
          <w:sz w:val="22"/>
          <w:szCs w:val="22"/>
          <w:lang w:eastAsia="en-IN"/>
        </w:rPr>
        <w:t>4</w:t>
      </w:r>
      <w:r w:rsidRPr="0CDA97C4">
        <w:rPr>
          <w:rFonts w:eastAsia="Times New Roman"/>
          <w:sz w:val="22"/>
          <w:szCs w:val="22"/>
          <w:lang w:eastAsia="en-IN"/>
        </w:rPr>
        <w:t>% of UEs have a spectral efficiency of above 0.5 compared to the 5</w:t>
      </w:r>
      <w:r w:rsidR="0C0DE75A" w:rsidRPr="0CDA97C4">
        <w:rPr>
          <w:rFonts w:eastAsia="Times New Roman"/>
          <w:sz w:val="22"/>
          <w:szCs w:val="22"/>
          <w:lang w:eastAsia="en-IN"/>
        </w:rPr>
        <w:t>5</w:t>
      </w:r>
      <w:r w:rsidRPr="0CDA97C4">
        <w:rPr>
          <w:rFonts w:eastAsia="Times New Roman"/>
          <w:sz w:val="22"/>
          <w:szCs w:val="22"/>
          <w:lang w:eastAsia="en-IN"/>
        </w:rPr>
        <w:t>% of UEs in the reduced blocker model with beam nulling. The CLI handling scheme for the co-channel gNBs reduces the throughput loss percentage and increases the SINR as the co-channel interference is reduced by beam nulling</w:t>
      </w:r>
      <w:r w:rsidR="31C4DD5B" w:rsidRPr="0CDA97C4">
        <w:rPr>
          <w:rFonts w:eastAsia="Times New Roman"/>
          <w:sz w:val="22"/>
          <w:szCs w:val="22"/>
          <w:lang w:eastAsia="en-IN"/>
        </w:rPr>
        <w:t xml:space="preserve">. </w:t>
      </w:r>
    </w:p>
    <w:p w14:paraId="0859087A" w14:textId="77777777" w:rsidR="00A73EC8" w:rsidRPr="00647C00" w:rsidRDefault="00A73EC8" w:rsidP="00A73EC8">
      <w:pPr>
        <w:jc w:val="both"/>
        <w:rPr>
          <w:rFonts w:eastAsia="Times New Roman"/>
          <w:lang w:eastAsia="en-IN"/>
        </w:rPr>
      </w:pPr>
    </w:p>
    <w:p w14:paraId="305E9FE5" w14:textId="430E9FBB" w:rsidR="00DE6EB0" w:rsidRDefault="28D5B355" w:rsidP="0045401A">
      <w:pPr>
        <w:jc w:val="both"/>
        <w:rPr>
          <w:rFonts w:eastAsia="Times New Roman"/>
          <w:b/>
          <w:bCs/>
          <w:sz w:val="22"/>
          <w:szCs w:val="22"/>
          <w:lang w:val="en-IN" w:eastAsia="en-IN"/>
        </w:rPr>
      </w:pPr>
      <w:bookmarkStart w:id="21" w:name="_Hlk188364475"/>
      <w:r w:rsidRPr="0CDA97C4">
        <w:rPr>
          <w:rFonts w:eastAsia="Times New Roman"/>
          <w:b/>
          <w:bCs/>
          <w:sz w:val="22"/>
          <w:szCs w:val="22"/>
          <w:lang w:val="en-IN" w:eastAsia="en-IN"/>
        </w:rPr>
        <w:t xml:space="preserve">Observation </w:t>
      </w:r>
      <w:r w:rsidR="00116753">
        <w:rPr>
          <w:rFonts w:eastAsia="Times New Roman"/>
          <w:b/>
          <w:bCs/>
          <w:sz w:val="22"/>
          <w:szCs w:val="22"/>
          <w:lang w:val="en-IN" w:eastAsia="en-IN"/>
        </w:rPr>
        <w:t>9</w:t>
      </w:r>
      <w:r w:rsidRPr="0CDA97C4">
        <w:rPr>
          <w:rFonts w:eastAsia="Times New Roman"/>
          <w:b/>
          <w:bCs/>
          <w:sz w:val="22"/>
          <w:szCs w:val="22"/>
          <w:lang w:val="en-IN" w:eastAsia="en-IN"/>
        </w:rPr>
        <w:t xml:space="preserve">: </w:t>
      </w:r>
      <w:r w:rsidR="270F4087" w:rsidRPr="0CDA97C4">
        <w:rPr>
          <w:rFonts w:eastAsia="Times New Roman"/>
          <w:b/>
          <w:bCs/>
          <w:sz w:val="22"/>
          <w:szCs w:val="22"/>
          <w:lang w:val="en-IN" w:eastAsia="en-IN"/>
        </w:rPr>
        <w:t xml:space="preserve">Simulations show a 6 dB improvement in SINR, with </w:t>
      </w:r>
      <w:r w:rsidR="1D46EC28" w:rsidRPr="0CDA97C4">
        <w:rPr>
          <w:rFonts w:eastAsia="Times New Roman"/>
          <w:b/>
          <w:bCs/>
          <w:sz w:val="22"/>
          <w:szCs w:val="22"/>
          <w:lang w:val="en-IN" w:eastAsia="en-IN"/>
        </w:rPr>
        <w:t>16-18</w:t>
      </w:r>
      <w:r w:rsidR="270F4087" w:rsidRPr="0CDA97C4">
        <w:rPr>
          <w:rFonts w:eastAsia="Times New Roman"/>
          <w:b/>
          <w:bCs/>
          <w:sz w:val="22"/>
          <w:szCs w:val="22"/>
          <w:lang w:val="en-IN" w:eastAsia="en-IN"/>
        </w:rPr>
        <w:t>% more UEs achieving spectral efficiency greater than 0.5, when using the reduced blocker model with the CLI handling mechanism, compared to the reduced blocker model without the CLI mechanism</w:t>
      </w:r>
      <w:r w:rsidR="513E91A0" w:rsidRPr="0CDA97C4">
        <w:rPr>
          <w:rFonts w:eastAsia="Times New Roman"/>
          <w:b/>
          <w:bCs/>
          <w:sz w:val="22"/>
          <w:szCs w:val="22"/>
          <w:lang w:val="en-IN" w:eastAsia="en-IN"/>
        </w:rPr>
        <w:t>.</w:t>
      </w:r>
    </w:p>
    <w:p w14:paraId="1DB23083" w14:textId="37A047F4" w:rsidR="0045401A" w:rsidRPr="0045401A" w:rsidRDefault="0045401A" w:rsidP="0045401A">
      <w:pPr>
        <w:jc w:val="both"/>
        <w:rPr>
          <w:rFonts w:eastAsia="Times New Roman"/>
          <w:b/>
          <w:bCs/>
          <w:sz w:val="22"/>
          <w:szCs w:val="22"/>
          <w:lang w:val="en-IN" w:eastAsia="en-IN"/>
        </w:rPr>
      </w:pPr>
    </w:p>
    <w:p w14:paraId="57FBCCEF" w14:textId="1A7A6B72"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4D08B5">
        <w:rPr>
          <w:rFonts w:eastAsia="Times New Roman"/>
          <w:b/>
          <w:bCs/>
          <w:sz w:val="22"/>
          <w:szCs w:val="22"/>
          <w:lang w:val="en-IN" w:eastAsia="en-IN"/>
        </w:rPr>
        <w:t>1</w:t>
      </w:r>
      <w:r w:rsidR="00116753">
        <w:rPr>
          <w:rFonts w:eastAsia="Times New Roman"/>
          <w:b/>
          <w:bCs/>
          <w:sz w:val="22"/>
          <w:szCs w:val="22"/>
          <w:lang w:val="en-IN" w:eastAsia="en-IN"/>
        </w:rPr>
        <w:t>0</w:t>
      </w:r>
      <w:r w:rsidRPr="0045401A">
        <w:rPr>
          <w:rFonts w:eastAsia="Times New Roman"/>
          <w:b/>
          <w:bCs/>
          <w:sz w:val="22"/>
          <w:szCs w:val="22"/>
          <w:lang w:val="en-IN" w:eastAsia="en-IN"/>
        </w:rPr>
        <w:t xml:space="preserve">: </w:t>
      </w:r>
      <w:r w:rsidR="00D076CE" w:rsidRPr="00D076CE">
        <w:rPr>
          <w:rFonts w:eastAsia="Times New Roman"/>
          <w:b/>
          <w:bCs/>
          <w:sz w:val="22"/>
          <w:szCs w:val="22"/>
          <w:lang w:val="en-IN" w:eastAsia="en-IN"/>
        </w:rPr>
        <w:t>The throughput loss for the model with beam nulling is reduced. However, the results show that approximately 20% of the UEs still experience throughput loss, suggesting that adjacent channel interference leakage continues to dominate, even with the additional blocker</w:t>
      </w:r>
      <w:r w:rsidRPr="0045401A">
        <w:rPr>
          <w:rFonts w:eastAsia="Times New Roman"/>
          <w:b/>
          <w:bCs/>
          <w:sz w:val="22"/>
          <w:szCs w:val="22"/>
          <w:lang w:val="en-IN" w:eastAsia="en-IN"/>
        </w:rPr>
        <w:t>.</w:t>
      </w:r>
    </w:p>
    <w:p w14:paraId="71F1C144" w14:textId="77777777"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w:t>
      </w:r>
    </w:p>
    <w:bookmarkEnd w:id="21"/>
    <w:p w14:paraId="643F7914" w14:textId="77777777" w:rsidR="00AF534C" w:rsidRDefault="00AF534C" w:rsidP="00AF534C">
      <w:pPr>
        <w:jc w:val="both"/>
        <w:rPr>
          <w:rFonts w:eastAsia="Times New Roman"/>
          <w:b/>
          <w:bCs/>
          <w:sz w:val="22"/>
          <w:szCs w:val="22"/>
          <w:lang w:val="en-IN" w:eastAsia="en-IN"/>
        </w:rPr>
      </w:pPr>
      <w:r w:rsidRPr="7DA51614">
        <w:rPr>
          <w:rFonts w:eastAsia="Times New Roman"/>
          <w:b/>
          <w:bCs/>
          <w:sz w:val="22"/>
          <w:szCs w:val="22"/>
          <w:lang w:val="en-IN" w:eastAsia="en-IN"/>
        </w:rPr>
        <w:t>Proposal 6: For the Urban Macro scenario with 10% grid shifts, the co-channel gNB CLI handling mechanism should be considered for SBFD networks</w:t>
      </w:r>
      <w:r>
        <w:rPr>
          <w:rFonts w:eastAsia="Times New Roman"/>
          <w:b/>
          <w:bCs/>
          <w:sz w:val="22"/>
          <w:szCs w:val="22"/>
          <w:lang w:val="en-IN" w:eastAsia="en-IN"/>
        </w:rPr>
        <w:t xml:space="preserve">. </w:t>
      </w:r>
    </w:p>
    <w:p w14:paraId="2B3FFA09" w14:textId="77777777" w:rsidR="0071003D" w:rsidRDefault="0071003D" w:rsidP="0045401A">
      <w:pPr>
        <w:jc w:val="both"/>
        <w:rPr>
          <w:rFonts w:eastAsia="Times New Roman"/>
          <w:b/>
          <w:bCs/>
          <w:sz w:val="22"/>
          <w:szCs w:val="22"/>
          <w:lang w:val="en-IN" w:eastAsia="en-IN"/>
        </w:rPr>
      </w:pPr>
    </w:p>
    <w:p w14:paraId="6E8ED00F" w14:textId="7FCE76D6" w:rsidR="00464EE2" w:rsidRPr="00D41850" w:rsidRDefault="000F7A06" w:rsidP="69170F29">
      <w:pPr>
        <w:rPr>
          <w:rFonts w:eastAsia="Times New Roman"/>
          <w:b/>
          <w:sz w:val="22"/>
          <w:szCs w:val="22"/>
          <w:u w:val="single"/>
          <w:lang w:val="en-IN" w:eastAsia="en-IN"/>
        </w:rPr>
      </w:pPr>
      <w:r>
        <w:rPr>
          <w:b/>
          <w:bCs/>
          <w:u w:val="single"/>
          <w:lang w:val="en-IN"/>
        </w:rPr>
        <w:t xml:space="preserve">Reduced blocker with </w:t>
      </w:r>
      <w:r w:rsidR="2C7912E8" w:rsidRPr="00D41850">
        <w:rPr>
          <w:b/>
          <w:bCs/>
          <w:u w:val="single"/>
          <w:lang w:val="en-IN"/>
        </w:rPr>
        <w:t>C</w:t>
      </w:r>
      <w:r w:rsidR="6B10823E" w:rsidRPr="00D41850">
        <w:rPr>
          <w:rFonts w:eastAsia="Times New Roman"/>
          <w:b/>
          <w:sz w:val="22"/>
          <w:szCs w:val="22"/>
          <w:u w:val="single"/>
          <w:lang w:val="en-IN" w:eastAsia="en-IN"/>
        </w:rPr>
        <w:t xml:space="preserve">o-Channel </w:t>
      </w:r>
      <w:r>
        <w:rPr>
          <w:rFonts w:eastAsia="Times New Roman"/>
          <w:b/>
          <w:sz w:val="22"/>
          <w:szCs w:val="22"/>
          <w:u w:val="single"/>
          <w:lang w:val="en-IN" w:eastAsia="en-IN"/>
        </w:rPr>
        <w:t>+</w:t>
      </w:r>
      <w:r w:rsidR="6B10823E" w:rsidRPr="00D41850">
        <w:rPr>
          <w:rFonts w:eastAsia="Times New Roman"/>
          <w:b/>
          <w:sz w:val="22"/>
          <w:szCs w:val="22"/>
          <w:u w:val="single"/>
          <w:lang w:val="en-IN" w:eastAsia="en-IN"/>
        </w:rPr>
        <w:t xml:space="preserve"> Adj</w:t>
      </w:r>
      <w:r w:rsidR="0AF70174" w:rsidRPr="00D41850">
        <w:rPr>
          <w:rFonts w:eastAsia="Times New Roman"/>
          <w:b/>
          <w:sz w:val="22"/>
          <w:szCs w:val="22"/>
          <w:u w:val="single"/>
          <w:lang w:val="en-IN" w:eastAsia="en-IN"/>
        </w:rPr>
        <w:t>acent</w:t>
      </w:r>
      <w:r w:rsidR="6B10823E" w:rsidRPr="00D41850">
        <w:rPr>
          <w:rFonts w:eastAsia="Times New Roman"/>
          <w:b/>
          <w:sz w:val="22"/>
          <w:szCs w:val="22"/>
          <w:u w:val="single"/>
          <w:lang w:val="en-IN" w:eastAsia="en-IN"/>
        </w:rPr>
        <w:t>-Channel gNB Beam Nulling</w:t>
      </w:r>
    </w:p>
    <w:p w14:paraId="78FB6EAA" w14:textId="28C98DFF" w:rsidR="000227ED" w:rsidRDefault="000227ED" w:rsidP="000227ED">
      <w:pPr>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w:t>
      </w:r>
      <w:r w:rsidR="00BB2B77">
        <w:rPr>
          <w:sz w:val="22"/>
          <w:szCs w:val="22"/>
        </w:rPr>
        <w:t>and adjacent channel</w:t>
      </w:r>
      <w:r w:rsidRPr="00C51D77">
        <w:rPr>
          <w:sz w:val="22"/>
          <w:szCs w:val="22"/>
        </w:rPr>
        <w:t xml:space="preserve"> gNBs to reduce the interference caused by them to the SBFD network. We would like to see the gain in SINR and spectral efficiency due to beam nulling and the impact of adjacent CLI leakage.</w:t>
      </w:r>
    </w:p>
    <w:p w14:paraId="37F4AA07" w14:textId="02CFD547" w:rsidR="0066564F" w:rsidRDefault="7410DF8D" w:rsidP="69170F29">
      <w:pPr>
        <w:jc w:val="both"/>
        <w:rPr>
          <w:rFonts w:eastAsia="Times New Roman"/>
          <w:sz w:val="22"/>
          <w:szCs w:val="22"/>
          <w:lang w:eastAsia="en-IN"/>
        </w:rPr>
      </w:pPr>
      <w:r w:rsidRPr="69170F29">
        <w:rPr>
          <w:rFonts w:eastAsia="Times New Roman"/>
          <w:sz w:val="22"/>
          <w:szCs w:val="22"/>
          <w:lang w:eastAsia="en-IN"/>
        </w:rPr>
        <w:t xml:space="preserve">Figure </w:t>
      </w:r>
      <w:r w:rsidR="004D08B5" w:rsidRPr="69170F29">
        <w:rPr>
          <w:rFonts w:eastAsia="Times New Roman"/>
          <w:sz w:val="22"/>
          <w:szCs w:val="22"/>
          <w:lang w:eastAsia="en-IN"/>
        </w:rPr>
        <w:t>1</w:t>
      </w:r>
      <w:r w:rsidR="00116753">
        <w:rPr>
          <w:rFonts w:eastAsia="Times New Roman"/>
          <w:sz w:val="22"/>
          <w:szCs w:val="22"/>
          <w:lang w:eastAsia="en-IN"/>
        </w:rPr>
        <w:t>0</w:t>
      </w:r>
      <w:r w:rsidR="004D08B5">
        <w:rPr>
          <w:rFonts w:eastAsia="Times New Roman"/>
          <w:sz w:val="22"/>
          <w:szCs w:val="22"/>
          <w:lang w:eastAsia="en-IN"/>
        </w:rPr>
        <w:t xml:space="preserve"> </w:t>
      </w:r>
      <w:r w:rsidR="004D08B5" w:rsidRPr="69170F29">
        <w:rPr>
          <w:rFonts w:eastAsia="Times New Roman"/>
          <w:sz w:val="22"/>
          <w:szCs w:val="22"/>
          <w:lang w:eastAsia="en-IN"/>
        </w:rPr>
        <w:t>shows</w:t>
      </w:r>
      <w:r w:rsidRPr="69170F29">
        <w:rPr>
          <w:rFonts w:eastAsia="Times New Roman"/>
          <w:sz w:val="22"/>
          <w:szCs w:val="22"/>
          <w:lang w:eastAsia="en-IN"/>
        </w:rPr>
        <w:t xml:space="preserve"> that at the 40 percentiles of SINR CDF, the reduced blocker model with </w:t>
      </w:r>
      <w:r w:rsidR="489D0467" w:rsidRPr="69170F29">
        <w:rPr>
          <w:rFonts w:eastAsia="Times New Roman"/>
          <w:sz w:val="22"/>
          <w:szCs w:val="22"/>
          <w:lang w:eastAsia="en-IN"/>
        </w:rPr>
        <w:t xml:space="preserve">adjacent channel </w:t>
      </w:r>
      <w:r w:rsidRPr="69170F29">
        <w:rPr>
          <w:rFonts w:eastAsia="Times New Roman"/>
          <w:sz w:val="22"/>
          <w:szCs w:val="22"/>
          <w:lang w:eastAsia="en-IN"/>
        </w:rPr>
        <w:t>beam nulling gives better SINR of</w:t>
      </w:r>
      <w:r w:rsidR="58DA4ECE" w:rsidRPr="69170F29">
        <w:rPr>
          <w:rFonts w:eastAsia="Times New Roman"/>
          <w:sz w:val="22"/>
          <w:szCs w:val="22"/>
          <w:lang w:eastAsia="en-IN"/>
        </w:rPr>
        <w:t xml:space="preserve"> </w:t>
      </w:r>
      <w:r w:rsidR="489D0467" w:rsidRPr="69170F29">
        <w:rPr>
          <w:rFonts w:eastAsia="Times New Roman"/>
          <w:sz w:val="22"/>
          <w:szCs w:val="22"/>
          <w:lang w:eastAsia="en-IN"/>
        </w:rPr>
        <w:t>4.85</w:t>
      </w:r>
      <w:r w:rsidRPr="69170F29">
        <w:rPr>
          <w:rFonts w:eastAsia="Times New Roman"/>
          <w:sz w:val="22"/>
          <w:szCs w:val="22"/>
          <w:lang w:eastAsia="en-IN"/>
        </w:rPr>
        <w:t xml:space="preserve"> dB compared to the same model without beam nulling. Similarly, for the reduced blocker model, 4</w:t>
      </w:r>
      <w:r w:rsidR="4E3376C4" w:rsidRPr="69170F29">
        <w:rPr>
          <w:rFonts w:eastAsia="Times New Roman"/>
          <w:sz w:val="22"/>
          <w:szCs w:val="22"/>
          <w:lang w:eastAsia="en-IN"/>
        </w:rPr>
        <w:t>0</w:t>
      </w:r>
      <w:r w:rsidRPr="69170F29">
        <w:rPr>
          <w:rFonts w:eastAsia="Times New Roman"/>
          <w:sz w:val="22"/>
          <w:szCs w:val="22"/>
          <w:lang w:eastAsia="en-IN"/>
        </w:rPr>
        <w:t xml:space="preserve">% of UEs have a spectral efficiency of above </w:t>
      </w:r>
      <w:r w:rsidR="5D916656" w:rsidRPr="69170F29">
        <w:rPr>
          <w:rFonts w:eastAsia="Times New Roman"/>
          <w:sz w:val="22"/>
          <w:szCs w:val="22"/>
          <w:lang w:eastAsia="en-IN"/>
        </w:rPr>
        <w:t xml:space="preserve">1 </w:t>
      </w:r>
      <w:r w:rsidRPr="69170F29">
        <w:rPr>
          <w:rFonts w:eastAsia="Times New Roman"/>
          <w:sz w:val="22"/>
          <w:szCs w:val="22"/>
          <w:lang w:eastAsia="en-IN"/>
        </w:rPr>
        <w:t>compared to the 5</w:t>
      </w:r>
      <w:r w:rsidR="5D916656" w:rsidRPr="69170F29">
        <w:rPr>
          <w:rFonts w:eastAsia="Times New Roman"/>
          <w:sz w:val="22"/>
          <w:szCs w:val="22"/>
          <w:lang w:eastAsia="en-IN"/>
        </w:rPr>
        <w:t>4</w:t>
      </w:r>
      <w:r w:rsidRPr="69170F29">
        <w:rPr>
          <w:rFonts w:eastAsia="Times New Roman"/>
          <w:sz w:val="22"/>
          <w:szCs w:val="22"/>
          <w:lang w:eastAsia="en-IN"/>
        </w:rPr>
        <w:t xml:space="preserve">% of UEs in the reduced blocker model with beam </w:t>
      </w:r>
      <w:r w:rsidR="7D7167DA" w:rsidRPr="69170F29">
        <w:rPr>
          <w:rFonts w:eastAsia="Times New Roman"/>
          <w:sz w:val="22"/>
          <w:szCs w:val="22"/>
          <w:lang w:eastAsia="en-IN"/>
        </w:rPr>
        <w:t xml:space="preserve">nulling. </w:t>
      </w:r>
      <w:r w:rsidR="004D08B5" w:rsidRPr="69170F29">
        <w:rPr>
          <w:rFonts w:eastAsia="Times New Roman"/>
          <w:sz w:val="22"/>
          <w:szCs w:val="22"/>
          <w:lang w:eastAsia="en-IN"/>
        </w:rPr>
        <w:t>Also,</w:t>
      </w:r>
      <w:r w:rsidR="7D7167DA" w:rsidRPr="69170F29">
        <w:rPr>
          <w:rFonts w:eastAsia="Times New Roman"/>
          <w:sz w:val="22"/>
          <w:szCs w:val="22"/>
          <w:lang w:eastAsia="en-IN"/>
        </w:rPr>
        <w:t xml:space="preserve"> </w:t>
      </w:r>
      <w:r w:rsidR="7D7167DA" w:rsidRPr="69170F29">
        <w:rPr>
          <w:rFonts w:eastAsia="Times New Roman"/>
          <w:sz w:val="22"/>
          <w:szCs w:val="22"/>
          <w:lang w:val="en-IN" w:eastAsia="en-IN"/>
        </w:rPr>
        <w:t>Improvement of 1</w:t>
      </w:r>
      <w:r w:rsidR="000C17E2">
        <w:rPr>
          <w:rFonts w:eastAsia="Times New Roman"/>
          <w:sz w:val="22"/>
          <w:szCs w:val="22"/>
          <w:lang w:val="en-IN" w:eastAsia="en-IN"/>
        </w:rPr>
        <w:t>8</w:t>
      </w:r>
      <w:r w:rsidR="7D7167DA" w:rsidRPr="69170F29">
        <w:rPr>
          <w:rFonts w:eastAsia="Times New Roman"/>
          <w:sz w:val="22"/>
          <w:szCs w:val="22"/>
          <w:lang w:val="en-IN" w:eastAsia="en-IN"/>
        </w:rPr>
        <w:t>dB in SINR seen and ~4</w:t>
      </w:r>
      <w:r w:rsidR="004746D7">
        <w:rPr>
          <w:rFonts w:eastAsia="Times New Roman"/>
          <w:sz w:val="22"/>
          <w:szCs w:val="22"/>
          <w:lang w:val="en-IN" w:eastAsia="en-IN"/>
        </w:rPr>
        <w:t>0</w:t>
      </w:r>
      <w:r w:rsidR="7D7167DA" w:rsidRPr="69170F29">
        <w:rPr>
          <w:rFonts w:eastAsia="Times New Roman"/>
          <w:sz w:val="22"/>
          <w:szCs w:val="22"/>
          <w:lang w:val="en-IN" w:eastAsia="en-IN"/>
        </w:rPr>
        <w:t>% more UEs with more than 0.5 Spectral efficiency in simulations with reduced blocker with CLI handling mechanism compared to baseline model</w:t>
      </w:r>
      <w:r w:rsidR="00623F63">
        <w:rPr>
          <w:rFonts w:eastAsia="Times New Roman"/>
          <w:sz w:val="22"/>
          <w:szCs w:val="22"/>
          <w:lang w:eastAsia="en-IN"/>
        </w:rPr>
        <w:t>.</w:t>
      </w:r>
      <w:r w:rsidR="0036229A" w:rsidRPr="69170F29">
        <w:rPr>
          <w:rFonts w:eastAsia="Times New Roman"/>
          <w:sz w:val="22"/>
          <w:szCs w:val="22"/>
          <w:lang w:eastAsia="en-IN"/>
        </w:rPr>
        <w:t xml:space="preserve"> </w:t>
      </w:r>
      <w:r w:rsidRPr="69170F29">
        <w:rPr>
          <w:rFonts w:eastAsia="Times New Roman"/>
          <w:sz w:val="22"/>
          <w:szCs w:val="22"/>
          <w:lang w:eastAsia="en-IN"/>
        </w:rPr>
        <w:t xml:space="preserve">The CLI handling scheme for the </w:t>
      </w:r>
      <w:r w:rsidR="29A464C6" w:rsidRPr="69170F29">
        <w:rPr>
          <w:rFonts w:eastAsia="Times New Roman"/>
          <w:sz w:val="22"/>
          <w:szCs w:val="22"/>
          <w:lang w:eastAsia="en-IN"/>
        </w:rPr>
        <w:t xml:space="preserve">adjacent channel </w:t>
      </w:r>
      <w:r w:rsidRPr="69170F29">
        <w:rPr>
          <w:rFonts w:eastAsia="Times New Roman"/>
          <w:sz w:val="22"/>
          <w:szCs w:val="22"/>
          <w:lang w:eastAsia="en-IN"/>
        </w:rPr>
        <w:t xml:space="preserve">gNBs reduces the throughput loss percentage and increases the SINR as the </w:t>
      </w:r>
      <w:r w:rsidR="731175D3" w:rsidRPr="69170F29">
        <w:rPr>
          <w:rFonts w:eastAsia="Times New Roman"/>
          <w:sz w:val="22"/>
          <w:szCs w:val="22"/>
          <w:lang w:eastAsia="en-IN"/>
        </w:rPr>
        <w:t xml:space="preserve">adjacent channel leakage interference </w:t>
      </w:r>
      <w:r w:rsidRPr="69170F29">
        <w:rPr>
          <w:rFonts w:eastAsia="Times New Roman"/>
          <w:sz w:val="22"/>
          <w:szCs w:val="22"/>
          <w:lang w:eastAsia="en-IN"/>
        </w:rPr>
        <w:t>is reduced by beam nulling.</w:t>
      </w:r>
    </w:p>
    <w:p w14:paraId="59141923" w14:textId="64DE38AF" w:rsidR="00A50D81" w:rsidRDefault="326A164D" w:rsidP="00A50D81">
      <w:pPr>
        <w:jc w:val="both"/>
        <w:rPr>
          <w:rFonts w:eastAsia="Times New Roman"/>
          <w:b/>
          <w:bCs/>
          <w:sz w:val="22"/>
          <w:szCs w:val="22"/>
          <w:lang w:val="en-IN" w:eastAsia="en-IN"/>
        </w:rPr>
      </w:pPr>
      <w:bookmarkStart w:id="22" w:name="_Hlk188364484"/>
      <w:r w:rsidRPr="0CDA97C4">
        <w:rPr>
          <w:rFonts w:eastAsia="Times New Roman"/>
          <w:b/>
          <w:bCs/>
          <w:sz w:val="22"/>
          <w:szCs w:val="22"/>
          <w:lang w:val="en-IN" w:eastAsia="en-IN"/>
        </w:rPr>
        <w:lastRenderedPageBreak/>
        <w:t xml:space="preserve">Observation </w:t>
      </w:r>
      <w:r w:rsidR="1DE9A0DA" w:rsidRPr="0CDA97C4">
        <w:rPr>
          <w:rFonts w:eastAsia="Times New Roman"/>
          <w:b/>
          <w:bCs/>
          <w:sz w:val="22"/>
          <w:szCs w:val="22"/>
          <w:lang w:val="en-IN" w:eastAsia="en-IN"/>
        </w:rPr>
        <w:t>1</w:t>
      </w:r>
      <w:r w:rsidR="00116753">
        <w:rPr>
          <w:rFonts w:eastAsia="Times New Roman"/>
          <w:b/>
          <w:bCs/>
          <w:sz w:val="22"/>
          <w:szCs w:val="22"/>
          <w:lang w:val="en-IN" w:eastAsia="en-IN"/>
        </w:rPr>
        <w:t>1</w:t>
      </w:r>
      <w:r w:rsidRPr="0CDA97C4">
        <w:rPr>
          <w:rFonts w:eastAsia="Times New Roman"/>
          <w:b/>
          <w:bCs/>
          <w:sz w:val="22"/>
          <w:szCs w:val="22"/>
          <w:lang w:val="en-IN" w:eastAsia="en-IN"/>
        </w:rPr>
        <w:t xml:space="preserve">: </w:t>
      </w:r>
      <w:r w:rsidR="4604780A" w:rsidRPr="0CDA97C4">
        <w:rPr>
          <w:rFonts w:eastAsia="Times New Roman"/>
          <w:b/>
          <w:bCs/>
          <w:sz w:val="22"/>
          <w:szCs w:val="22"/>
          <w:lang w:val="en-IN" w:eastAsia="en-IN"/>
        </w:rPr>
        <w:t xml:space="preserve">Simulations show a 4.85 dB improvement in SINR, with approximately 15% more UEs achieving spectral efficiency greater than 1, when using the reduced blocker model with the CLI handling mechanism, compared to the reduced blocker model without the CLI mechanism for </w:t>
      </w:r>
      <w:r w:rsidR="054FE6A4" w:rsidRPr="0CDA97C4">
        <w:rPr>
          <w:rFonts w:eastAsia="Times New Roman"/>
          <w:b/>
          <w:bCs/>
          <w:sz w:val="22"/>
          <w:szCs w:val="22"/>
          <w:lang w:val="en-IN" w:eastAsia="en-IN"/>
        </w:rPr>
        <w:t>adjacent channel</w:t>
      </w:r>
      <w:r w:rsidR="4604780A" w:rsidRPr="0CDA97C4">
        <w:rPr>
          <w:rFonts w:eastAsia="Times New Roman"/>
          <w:b/>
          <w:bCs/>
          <w:sz w:val="22"/>
          <w:szCs w:val="22"/>
          <w:lang w:val="en-IN" w:eastAsia="en-IN"/>
        </w:rPr>
        <w:t xml:space="preserve"> gNBs</w:t>
      </w:r>
      <w:r w:rsidR="4EE508DE" w:rsidRPr="0CDA97C4">
        <w:rPr>
          <w:rFonts w:eastAsia="Times New Roman"/>
          <w:b/>
          <w:bCs/>
          <w:sz w:val="22"/>
          <w:szCs w:val="22"/>
          <w:lang w:val="en-IN" w:eastAsia="en-IN"/>
        </w:rPr>
        <w:t>.</w:t>
      </w:r>
    </w:p>
    <w:p w14:paraId="1B6CDA0A" w14:textId="77777777" w:rsidR="00100935" w:rsidRDefault="00100935" w:rsidP="00A50D81">
      <w:pPr>
        <w:jc w:val="both"/>
        <w:rPr>
          <w:rFonts w:eastAsia="Times New Roman"/>
          <w:b/>
          <w:bCs/>
          <w:sz w:val="22"/>
          <w:szCs w:val="22"/>
          <w:lang w:val="en-IN" w:eastAsia="en-IN"/>
        </w:rPr>
      </w:pPr>
    </w:p>
    <w:p w14:paraId="6519E3F5" w14:textId="4F880C74" w:rsidR="00100935" w:rsidRDefault="00100935" w:rsidP="00100935">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65689">
        <w:rPr>
          <w:rFonts w:eastAsia="Times New Roman"/>
          <w:b/>
          <w:bCs/>
          <w:sz w:val="22"/>
          <w:szCs w:val="22"/>
          <w:lang w:val="en-IN" w:eastAsia="en-IN"/>
        </w:rPr>
        <w:t>1</w:t>
      </w:r>
      <w:r w:rsidR="00116753">
        <w:rPr>
          <w:rFonts w:eastAsia="Times New Roman"/>
          <w:b/>
          <w:bCs/>
          <w:sz w:val="22"/>
          <w:szCs w:val="22"/>
          <w:lang w:val="en-IN" w:eastAsia="en-IN"/>
        </w:rPr>
        <w:t>2</w:t>
      </w:r>
      <w:r w:rsidRPr="0045401A">
        <w:rPr>
          <w:rFonts w:eastAsia="Times New Roman"/>
          <w:b/>
          <w:bCs/>
          <w:sz w:val="22"/>
          <w:szCs w:val="22"/>
          <w:lang w:val="en-IN" w:eastAsia="en-IN"/>
        </w:rPr>
        <w:t xml:space="preserve">: </w:t>
      </w:r>
      <w:r w:rsidR="00ED312F" w:rsidRPr="00ED312F">
        <w:rPr>
          <w:rFonts w:eastAsia="Times New Roman"/>
          <w:b/>
          <w:bCs/>
          <w:sz w:val="22"/>
          <w:szCs w:val="22"/>
          <w:lang w:val="en-IN" w:eastAsia="en-IN"/>
        </w:rPr>
        <w:t>Simulations show an 18 dB improvement in SINR, with approximately 40% more UEs achieving spectral efficiency greater than 0.5, when using the reduced blocker model with the CLI handling mechanism, compared to the baseline model (CASE-A) without the analog filter or CLI handling mechanism</w:t>
      </w:r>
      <w:r w:rsidR="00383854">
        <w:rPr>
          <w:rFonts w:eastAsia="Times New Roman"/>
          <w:b/>
          <w:bCs/>
          <w:sz w:val="22"/>
          <w:szCs w:val="22"/>
          <w:lang w:val="en-IN" w:eastAsia="en-IN"/>
        </w:rPr>
        <w:t>.</w:t>
      </w:r>
      <w:r>
        <w:rPr>
          <w:rFonts w:eastAsia="Times New Roman"/>
          <w:b/>
          <w:bCs/>
          <w:sz w:val="22"/>
          <w:szCs w:val="22"/>
          <w:lang w:val="en-IN" w:eastAsia="en-IN"/>
        </w:rPr>
        <w:t xml:space="preserve"> </w:t>
      </w:r>
    </w:p>
    <w:bookmarkEnd w:id="22"/>
    <w:p w14:paraId="2EE89036" w14:textId="77777777" w:rsidR="00F524E1" w:rsidRDefault="00F524E1" w:rsidP="00100935">
      <w:pPr>
        <w:jc w:val="both"/>
        <w:rPr>
          <w:rFonts w:eastAsia="Times New Roman"/>
          <w:b/>
          <w:bCs/>
          <w:sz w:val="22"/>
          <w:szCs w:val="22"/>
          <w:lang w:val="en-IN" w:eastAsia="en-IN"/>
        </w:rPr>
      </w:pPr>
    </w:p>
    <w:p w14:paraId="73C40312" w14:textId="21477D12" w:rsidR="006A55DB" w:rsidRPr="00B01CAC" w:rsidRDefault="00B01CAC" w:rsidP="00B01CAC">
      <w:pPr>
        <w:pStyle w:val="Heading4"/>
        <w:rPr>
          <w:rFonts w:ascii="Times New Roman" w:hAnsi="Times New Roman" w:cs="Times New Roman"/>
          <w:b/>
        </w:rPr>
      </w:pPr>
      <w:r w:rsidRPr="00B01CAC">
        <w:rPr>
          <w:rFonts w:ascii="Times New Roman" w:hAnsi="Times New Roman" w:cs="Times New Roman"/>
          <w:b/>
          <w:bCs/>
        </w:rPr>
        <w:t xml:space="preserve">Summary of Results </w:t>
      </w:r>
    </w:p>
    <w:p w14:paraId="0604E267" w14:textId="77777777" w:rsidR="003D0D23" w:rsidRPr="00647C00" w:rsidRDefault="003D0D23" w:rsidP="003D0D23">
      <w:pPr>
        <w:jc w:val="both"/>
        <w:rPr>
          <w:rFonts w:eastAsiaTheme="minorEastAsia"/>
          <w:bCs/>
          <w:sz w:val="22"/>
          <w:szCs w:val="22"/>
          <w:lang w:val="en-US" w:eastAsia="zh-CN"/>
        </w:rPr>
      </w:pPr>
    </w:p>
    <w:p w14:paraId="046E4D62" w14:textId="7DCB97F8" w:rsidR="003D0D23" w:rsidRPr="009C12B5" w:rsidRDefault="003D0D23" w:rsidP="003D0D23">
      <w:pPr>
        <w:jc w:val="center"/>
        <w:rPr>
          <w:b/>
          <w:bCs/>
        </w:rPr>
      </w:pPr>
      <w:r w:rsidRPr="69170F29">
        <w:rPr>
          <w:b/>
          <w:bCs/>
        </w:rPr>
        <w:t>Table</w:t>
      </w:r>
      <w:r>
        <w:rPr>
          <w:b/>
          <w:bCs/>
        </w:rPr>
        <w:t xml:space="preserve"> </w:t>
      </w:r>
      <w:r w:rsidR="00116753">
        <w:rPr>
          <w:b/>
          <w:bCs/>
        </w:rPr>
        <w:t>7</w:t>
      </w:r>
      <w:r w:rsidRPr="69170F29">
        <w:rPr>
          <w:b/>
          <w:bCs/>
        </w:rPr>
        <w:t xml:space="preserve">: FR1 </w:t>
      </w:r>
      <w:r w:rsidR="00D07079">
        <w:rPr>
          <w:b/>
          <w:bCs/>
        </w:rPr>
        <w:t>UMa</w:t>
      </w:r>
      <w:r w:rsidR="00F562FC">
        <w:rPr>
          <w:b/>
          <w:bCs/>
        </w:rPr>
        <w:t xml:space="preserve">- UMa </w:t>
      </w:r>
      <w:r w:rsidRPr="69170F29">
        <w:rPr>
          <w:b/>
          <w:bCs/>
        </w:rPr>
        <w:t>conducted in-band blocking simulation results</w:t>
      </w:r>
    </w:p>
    <w:p w14:paraId="39DAEF3C" w14:textId="77777777" w:rsidR="00151DB6" w:rsidRDefault="00151DB6" w:rsidP="00A50D81">
      <w:pPr>
        <w:jc w:val="both"/>
        <w:rPr>
          <w:rFonts w:eastAsia="Times New Roman"/>
          <w:b/>
          <w:bCs/>
          <w:sz w:val="22"/>
          <w:szCs w:val="22"/>
          <w:lang w:val="en-IN" w:eastAsia="en-IN"/>
        </w:rPr>
      </w:pPr>
    </w:p>
    <w:tbl>
      <w:tblPr>
        <w:tblW w:w="4740" w:type="pct"/>
        <w:jc w:val="center"/>
        <w:tblCellMar>
          <w:left w:w="0" w:type="dxa"/>
          <w:right w:w="0" w:type="dxa"/>
        </w:tblCellMar>
        <w:tblLook w:val="0420" w:firstRow="1" w:lastRow="0" w:firstColumn="0" w:lastColumn="0" w:noHBand="0" w:noVBand="1"/>
      </w:tblPr>
      <w:tblGrid>
        <w:gridCol w:w="1310"/>
        <w:gridCol w:w="1765"/>
        <w:gridCol w:w="2479"/>
        <w:gridCol w:w="1457"/>
        <w:gridCol w:w="1843"/>
      </w:tblGrid>
      <w:tr w:rsidR="006466A1" w:rsidRPr="00013003" w14:paraId="1F07D1DC" w14:textId="77777777" w:rsidTr="00116753">
        <w:trPr>
          <w:trHeight w:val="86"/>
          <w:jc w:val="center"/>
        </w:trPr>
        <w:tc>
          <w:tcPr>
            <w:tcW w:w="73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29084C"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IN" w:eastAsia="en-IN"/>
              </w:rPr>
              <w:t>Scenario</w:t>
            </w:r>
          </w:p>
        </w:tc>
        <w:tc>
          <w:tcPr>
            <w:tcW w:w="997"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83029CB"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IN" w:eastAsia="en-IN"/>
              </w:rPr>
              <w:t xml:space="preserve">Aggressor </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AC036F2"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Model</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B08D8D3"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Grid Shift</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D72FAAE"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99% CDF</w:t>
            </w:r>
          </w:p>
        </w:tc>
      </w:tr>
      <w:tr w:rsidR="006466A1" w:rsidRPr="00013003" w14:paraId="49E8A749" w14:textId="77777777" w:rsidTr="00116753">
        <w:trPr>
          <w:trHeight w:val="31"/>
          <w:jc w:val="center"/>
        </w:trPr>
        <w:tc>
          <w:tcPr>
            <w:tcW w:w="739"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A0AA6F0"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UMa</w:t>
            </w: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5B2F9A3"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SBFD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E1FC1B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58ACE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BEEF98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-3.82</w:t>
            </w:r>
          </w:p>
        </w:tc>
      </w:tr>
      <w:tr w:rsidR="006466A1" w:rsidRPr="00013003" w14:paraId="143E8BCB" w14:textId="77777777" w:rsidTr="00116753">
        <w:trPr>
          <w:trHeight w:val="6"/>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D66682B"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5CB732DB"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7B26D180"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B400274"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AAE5C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-30.46</w:t>
            </w:r>
          </w:p>
        </w:tc>
      </w:tr>
      <w:tr w:rsidR="006466A1" w:rsidRPr="00013003" w14:paraId="0D0A0EC3" w14:textId="77777777" w:rsidTr="00116753">
        <w:trPr>
          <w:trHeight w:val="49"/>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3E85A591"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282D8CB6"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1570B3" w14:textId="77777777" w:rsidR="00811DF6" w:rsidRPr="00013003" w:rsidRDefault="00811DF6" w:rsidP="00DA7B40">
            <w:pPr>
              <w:jc w:val="both"/>
              <w:rPr>
                <w:rFonts w:eastAsia="Times New Roman"/>
                <w:sz w:val="21"/>
                <w:szCs w:val="21"/>
                <w:lang w:val="en-US" w:eastAsia="en-IN"/>
              </w:rPr>
            </w:pPr>
          </w:p>
          <w:p w14:paraId="767BDE35" w14:textId="0106CDE5"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88B06"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7CA0AB8"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-39.25</w:t>
            </w:r>
          </w:p>
        </w:tc>
      </w:tr>
      <w:tr w:rsidR="006466A1" w:rsidRPr="00013003" w14:paraId="2DBC6791" w14:textId="77777777" w:rsidTr="00116753">
        <w:trPr>
          <w:trHeight w:val="94"/>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55E5011E"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4D68B12B"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44618D39"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D738BE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CC53E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-65.46</w:t>
            </w:r>
          </w:p>
        </w:tc>
      </w:tr>
      <w:tr w:rsidR="006466A1" w:rsidRPr="00013003" w14:paraId="2828C723" w14:textId="77777777" w:rsidTr="00116753">
        <w:trPr>
          <w:trHeight w:val="11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2FDDEF8E" w14:textId="77777777" w:rsidR="00DA7B40" w:rsidRPr="00013003" w:rsidRDefault="00DA7B40" w:rsidP="00DA7B40">
            <w:pPr>
              <w:jc w:val="both"/>
              <w:rPr>
                <w:rFonts w:eastAsia="Times New Roman"/>
                <w:sz w:val="21"/>
                <w:szCs w:val="21"/>
                <w:lang w:val="en-IN" w:eastAsia="en-IN"/>
              </w:rPr>
            </w:pP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CEE6D70" w14:textId="77777777" w:rsidR="00811DF6" w:rsidRPr="00013003" w:rsidRDefault="00811DF6" w:rsidP="00DA7B40">
            <w:pPr>
              <w:jc w:val="both"/>
              <w:rPr>
                <w:rFonts w:eastAsia="Times New Roman"/>
                <w:sz w:val="21"/>
                <w:szCs w:val="21"/>
                <w:lang w:val="en-IN" w:eastAsia="en-IN"/>
              </w:rPr>
            </w:pPr>
          </w:p>
          <w:p w14:paraId="68CBFC2C" w14:textId="77777777" w:rsidR="00811DF6" w:rsidRPr="00013003" w:rsidRDefault="00811DF6" w:rsidP="00DA7B40">
            <w:pPr>
              <w:jc w:val="both"/>
              <w:rPr>
                <w:rFonts w:eastAsia="Times New Roman"/>
                <w:sz w:val="21"/>
                <w:szCs w:val="21"/>
                <w:lang w:val="en-IN" w:eastAsia="en-IN"/>
              </w:rPr>
            </w:pPr>
          </w:p>
          <w:p w14:paraId="703BF82B" w14:textId="01E928B9"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TDD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7AC84C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06F9DF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50CD3D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-0.78</w:t>
            </w:r>
          </w:p>
        </w:tc>
      </w:tr>
      <w:tr w:rsidR="006466A1" w:rsidRPr="00013003" w14:paraId="01FD64DB" w14:textId="77777777" w:rsidTr="00116753">
        <w:trPr>
          <w:trHeight w:val="177"/>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3F6C5B3D"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3AF4FE9D"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63D8A380"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556D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255AC"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-28.05</w:t>
            </w:r>
          </w:p>
        </w:tc>
      </w:tr>
      <w:tr w:rsidR="006466A1" w:rsidRPr="00013003" w14:paraId="5AC48DCA" w14:textId="77777777" w:rsidTr="00116753">
        <w:trPr>
          <w:trHeight w:val="177"/>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112CFF7"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79C12F97"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7AF3A9" w14:textId="77777777" w:rsidR="00811DF6" w:rsidRPr="00013003" w:rsidRDefault="00811DF6" w:rsidP="00DA7B40">
            <w:pPr>
              <w:jc w:val="both"/>
              <w:rPr>
                <w:rFonts w:eastAsia="Times New Roman"/>
                <w:sz w:val="21"/>
                <w:szCs w:val="21"/>
                <w:lang w:val="en-US" w:eastAsia="en-IN"/>
              </w:rPr>
            </w:pPr>
          </w:p>
          <w:p w14:paraId="034BA42D" w14:textId="3A91912B"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7E6109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182EB5"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-35.78</w:t>
            </w:r>
          </w:p>
        </w:tc>
      </w:tr>
      <w:tr w:rsidR="006466A1" w:rsidRPr="00013003" w14:paraId="20BD56FB" w14:textId="77777777" w:rsidTr="00116753">
        <w:trPr>
          <w:trHeight w:val="159"/>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41806A3E"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7678A53C"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0D67F166"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7A4A09B"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1B2503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-62.38</w:t>
            </w:r>
          </w:p>
        </w:tc>
      </w:tr>
    </w:tbl>
    <w:p w14:paraId="043F39E4" w14:textId="77777777" w:rsidR="00013003" w:rsidRDefault="00013003" w:rsidP="00A673E5">
      <w:pPr>
        <w:jc w:val="both"/>
        <w:rPr>
          <w:rFonts w:eastAsia="Times New Roman"/>
          <w:b/>
          <w:bCs/>
          <w:sz w:val="22"/>
          <w:szCs w:val="22"/>
          <w:lang w:val="en-IN" w:eastAsia="en-IN"/>
        </w:rPr>
      </w:pPr>
    </w:p>
    <w:p w14:paraId="57CAA26D" w14:textId="68B6FD6E" w:rsidR="00182D24" w:rsidRPr="009C12B5" w:rsidRDefault="00182D24" w:rsidP="00182D24">
      <w:pPr>
        <w:jc w:val="center"/>
        <w:rPr>
          <w:b/>
          <w:bCs/>
        </w:rPr>
      </w:pPr>
      <w:bookmarkStart w:id="23" w:name="_Hlk188364493"/>
      <w:r w:rsidRPr="69170F29">
        <w:rPr>
          <w:b/>
          <w:bCs/>
        </w:rPr>
        <w:t>Table</w:t>
      </w:r>
      <w:r>
        <w:rPr>
          <w:b/>
          <w:bCs/>
        </w:rPr>
        <w:t xml:space="preserve"> 8</w:t>
      </w:r>
      <w:r w:rsidRPr="69170F29">
        <w:rPr>
          <w:b/>
          <w:bCs/>
        </w:rPr>
        <w:t>: FR1 UMi-UMi conducted in-band blocking simulation results</w:t>
      </w:r>
      <w:r w:rsidR="007B5E82">
        <w:rPr>
          <w:b/>
          <w:bCs/>
        </w:rPr>
        <w:t xml:space="preserve"> [5]</w:t>
      </w:r>
    </w:p>
    <w:p w14:paraId="0ECF9CCF" w14:textId="77777777" w:rsidR="00182D24" w:rsidRDefault="00182D24" w:rsidP="00A673E5">
      <w:pPr>
        <w:jc w:val="both"/>
        <w:rPr>
          <w:rFonts w:eastAsia="Times New Roman"/>
          <w:b/>
          <w:bCs/>
          <w:sz w:val="22"/>
          <w:szCs w:val="22"/>
          <w:lang w:val="en-IN" w:eastAsia="en-IN"/>
        </w:rPr>
      </w:pPr>
    </w:p>
    <w:tbl>
      <w:tblPr>
        <w:tblW w:w="4776" w:type="pct"/>
        <w:jc w:val="center"/>
        <w:tblCellMar>
          <w:left w:w="0" w:type="dxa"/>
          <w:right w:w="0" w:type="dxa"/>
        </w:tblCellMar>
        <w:tblLook w:val="0420" w:firstRow="1" w:lastRow="0" w:firstColumn="0" w:lastColumn="0" w:noHBand="0" w:noVBand="1"/>
      </w:tblPr>
      <w:tblGrid>
        <w:gridCol w:w="1318"/>
        <w:gridCol w:w="1779"/>
        <w:gridCol w:w="2500"/>
        <w:gridCol w:w="1469"/>
        <w:gridCol w:w="1856"/>
      </w:tblGrid>
      <w:tr w:rsidR="00182D24" w:rsidRPr="00013003" w14:paraId="684CF59F" w14:textId="77777777" w:rsidTr="00182D24">
        <w:trPr>
          <w:trHeight w:val="76"/>
          <w:jc w:val="center"/>
        </w:trPr>
        <w:tc>
          <w:tcPr>
            <w:tcW w:w="73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44A2FEB" w14:textId="77777777" w:rsidR="00182D24" w:rsidRPr="00013003" w:rsidRDefault="00182D24" w:rsidP="0024684C">
            <w:pPr>
              <w:jc w:val="both"/>
              <w:rPr>
                <w:rFonts w:eastAsia="Times New Roman"/>
                <w:b/>
                <w:bCs/>
                <w:sz w:val="21"/>
                <w:szCs w:val="21"/>
                <w:lang w:val="en-IN" w:eastAsia="en-IN"/>
              </w:rPr>
            </w:pPr>
            <w:r w:rsidRPr="00013003">
              <w:rPr>
                <w:rFonts w:eastAsia="Times New Roman"/>
                <w:b/>
                <w:bCs/>
                <w:sz w:val="21"/>
                <w:szCs w:val="21"/>
                <w:lang w:val="en-IN" w:eastAsia="en-IN"/>
              </w:rPr>
              <w:t>Scenario</w:t>
            </w:r>
          </w:p>
        </w:tc>
        <w:tc>
          <w:tcPr>
            <w:tcW w:w="997"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D1D0FAE" w14:textId="77777777" w:rsidR="00182D24" w:rsidRPr="00013003" w:rsidRDefault="00182D24" w:rsidP="0024684C">
            <w:pPr>
              <w:jc w:val="both"/>
              <w:rPr>
                <w:rFonts w:eastAsia="Times New Roman"/>
                <w:b/>
                <w:bCs/>
                <w:sz w:val="21"/>
                <w:szCs w:val="21"/>
                <w:lang w:val="en-IN" w:eastAsia="en-IN"/>
              </w:rPr>
            </w:pPr>
            <w:r w:rsidRPr="00013003">
              <w:rPr>
                <w:rFonts w:eastAsia="Times New Roman"/>
                <w:b/>
                <w:bCs/>
                <w:sz w:val="21"/>
                <w:szCs w:val="21"/>
                <w:lang w:val="en-IN" w:eastAsia="en-IN"/>
              </w:rPr>
              <w:t xml:space="preserve">Aggressor </w:t>
            </w:r>
          </w:p>
        </w:tc>
        <w:tc>
          <w:tcPr>
            <w:tcW w:w="140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EF60B9" w14:textId="77777777" w:rsidR="00182D24" w:rsidRPr="00013003" w:rsidRDefault="00182D24" w:rsidP="0024684C">
            <w:pPr>
              <w:jc w:val="both"/>
              <w:rPr>
                <w:rFonts w:eastAsia="Times New Roman"/>
                <w:b/>
                <w:bCs/>
                <w:sz w:val="21"/>
                <w:szCs w:val="21"/>
                <w:lang w:val="en-IN" w:eastAsia="en-IN"/>
              </w:rPr>
            </w:pPr>
            <w:r w:rsidRPr="00013003">
              <w:rPr>
                <w:rFonts w:eastAsia="Times New Roman"/>
                <w:b/>
                <w:bCs/>
                <w:sz w:val="21"/>
                <w:szCs w:val="21"/>
                <w:lang w:val="en-US" w:eastAsia="en-IN"/>
              </w:rPr>
              <w:t>Model</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05E833A" w14:textId="77777777" w:rsidR="00182D24" w:rsidRPr="00013003" w:rsidRDefault="00182D24" w:rsidP="0024684C">
            <w:pPr>
              <w:jc w:val="both"/>
              <w:rPr>
                <w:rFonts w:eastAsia="Times New Roman"/>
                <w:b/>
                <w:bCs/>
                <w:sz w:val="21"/>
                <w:szCs w:val="21"/>
                <w:lang w:val="en-IN" w:eastAsia="en-IN"/>
              </w:rPr>
            </w:pPr>
            <w:r w:rsidRPr="00013003">
              <w:rPr>
                <w:rFonts w:eastAsia="Times New Roman"/>
                <w:b/>
                <w:bCs/>
                <w:sz w:val="21"/>
                <w:szCs w:val="21"/>
                <w:lang w:val="en-US" w:eastAsia="en-IN"/>
              </w:rPr>
              <w:t>Grid Shift</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4DD492B" w14:textId="77777777" w:rsidR="00182D24" w:rsidRPr="00013003" w:rsidRDefault="00182D24" w:rsidP="0024684C">
            <w:pPr>
              <w:jc w:val="both"/>
              <w:rPr>
                <w:rFonts w:eastAsia="Times New Roman"/>
                <w:b/>
                <w:bCs/>
                <w:sz w:val="21"/>
                <w:szCs w:val="21"/>
                <w:lang w:val="en-IN" w:eastAsia="en-IN"/>
              </w:rPr>
            </w:pPr>
            <w:r w:rsidRPr="00013003">
              <w:rPr>
                <w:rFonts w:eastAsia="Times New Roman"/>
                <w:b/>
                <w:bCs/>
                <w:sz w:val="21"/>
                <w:szCs w:val="21"/>
                <w:lang w:val="en-US" w:eastAsia="en-IN"/>
              </w:rPr>
              <w:t>99% CDF</w:t>
            </w:r>
          </w:p>
        </w:tc>
      </w:tr>
      <w:tr w:rsidR="00182D24" w:rsidRPr="00013003" w14:paraId="237CFF93" w14:textId="77777777" w:rsidTr="00182D24">
        <w:trPr>
          <w:trHeight w:val="136"/>
          <w:jc w:val="center"/>
        </w:trPr>
        <w:tc>
          <w:tcPr>
            <w:tcW w:w="739"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7F01702"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UMi</w:t>
            </w: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0AF99FE"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TDD</w:t>
            </w:r>
          </w:p>
        </w:tc>
        <w:tc>
          <w:tcPr>
            <w:tcW w:w="1401"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BB37F42"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0260CF3"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CB976D"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-16.03</w:t>
            </w:r>
          </w:p>
        </w:tc>
      </w:tr>
      <w:tr w:rsidR="00182D24" w:rsidRPr="00013003" w14:paraId="30F336CA" w14:textId="77777777" w:rsidTr="00182D24">
        <w:trPr>
          <w:trHeight w:val="155"/>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0D656F1D" w14:textId="77777777" w:rsidR="00182D24" w:rsidRPr="00013003" w:rsidRDefault="00182D24" w:rsidP="0024684C">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076474AB" w14:textId="77777777" w:rsidR="00182D24" w:rsidRPr="00013003" w:rsidRDefault="00182D24" w:rsidP="0024684C">
            <w:pPr>
              <w:jc w:val="both"/>
              <w:rPr>
                <w:rFonts w:eastAsia="Times New Roman"/>
                <w:sz w:val="21"/>
                <w:szCs w:val="21"/>
                <w:lang w:val="en-IN" w:eastAsia="en-IN"/>
              </w:rPr>
            </w:pPr>
          </w:p>
        </w:tc>
        <w:tc>
          <w:tcPr>
            <w:tcW w:w="1401" w:type="pct"/>
            <w:vMerge/>
            <w:tcBorders>
              <w:top w:val="single" w:sz="8" w:space="0" w:color="000000"/>
              <w:left w:val="single" w:sz="8" w:space="0" w:color="000000"/>
              <w:bottom w:val="single" w:sz="8" w:space="0" w:color="000000"/>
              <w:right w:val="single" w:sz="8" w:space="0" w:color="000000"/>
            </w:tcBorders>
            <w:vAlign w:val="center"/>
            <w:hideMark/>
          </w:tcPr>
          <w:p w14:paraId="33DC8263" w14:textId="77777777" w:rsidR="00182D24" w:rsidRPr="00013003" w:rsidRDefault="00182D24" w:rsidP="0024684C">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D82E7A2"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1FCF943"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-32.30</w:t>
            </w:r>
          </w:p>
        </w:tc>
      </w:tr>
      <w:tr w:rsidR="00182D24" w:rsidRPr="00013003" w14:paraId="63925336" w14:textId="77777777" w:rsidTr="00182D24">
        <w:trPr>
          <w:trHeight w:val="155"/>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D89A6BD" w14:textId="77777777" w:rsidR="00182D24" w:rsidRPr="00013003" w:rsidRDefault="00182D24" w:rsidP="0024684C">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24CEAC2E" w14:textId="77777777" w:rsidR="00182D24" w:rsidRPr="00013003" w:rsidRDefault="00182D24" w:rsidP="0024684C">
            <w:pPr>
              <w:jc w:val="both"/>
              <w:rPr>
                <w:rFonts w:eastAsia="Times New Roman"/>
                <w:sz w:val="21"/>
                <w:szCs w:val="21"/>
                <w:lang w:val="en-IN" w:eastAsia="en-IN"/>
              </w:rPr>
            </w:pPr>
          </w:p>
        </w:tc>
        <w:tc>
          <w:tcPr>
            <w:tcW w:w="1401"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7B01C95" w14:textId="77777777" w:rsidR="00182D24" w:rsidRPr="00013003" w:rsidRDefault="00182D24" w:rsidP="0024684C">
            <w:pPr>
              <w:jc w:val="both"/>
              <w:rPr>
                <w:rFonts w:eastAsia="Times New Roman"/>
                <w:sz w:val="21"/>
                <w:szCs w:val="21"/>
                <w:lang w:val="en-US" w:eastAsia="en-IN"/>
              </w:rPr>
            </w:pPr>
          </w:p>
          <w:p w14:paraId="2A4538A0"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C9A2A51"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563740"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-51.03</w:t>
            </w:r>
          </w:p>
        </w:tc>
      </w:tr>
      <w:tr w:rsidR="00182D24" w:rsidRPr="00013003" w14:paraId="36B56B13" w14:textId="77777777" w:rsidTr="00182D24">
        <w:trPr>
          <w:trHeight w:val="14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F8F2AF6" w14:textId="77777777" w:rsidR="00182D24" w:rsidRPr="00013003" w:rsidRDefault="00182D24" w:rsidP="0024684C">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32701DB3" w14:textId="77777777" w:rsidR="00182D24" w:rsidRPr="00013003" w:rsidRDefault="00182D24" w:rsidP="0024684C">
            <w:pPr>
              <w:jc w:val="both"/>
              <w:rPr>
                <w:rFonts w:eastAsia="Times New Roman"/>
                <w:sz w:val="21"/>
                <w:szCs w:val="21"/>
                <w:lang w:val="en-IN" w:eastAsia="en-IN"/>
              </w:rPr>
            </w:pPr>
          </w:p>
        </w:tc>
        <w:tc>
          <w:tcPr>
            <w:tcW w:w="1401" w:type="pct"/>
            <w:vMerge/>
            <w:tcBorders>
              <w:top w:val="single" w:sz="8" w:space="0" w:color="000000"/>
              <w:left w:val="single" w:sz="8" w:space="0" w:color="000000"/>
              <w:bottom w:val="single" w:sz="8" w:space="0" w:color="000000"/>
              <w:right w:val="single" w:sz="8" w:space="0" w:color="000000"/>
            </w:tcBorders>
            <w:vAlign w:val="center"/>
            <w:hideMark/>
          </w:tcPr>
          <w:p w14:paraId="12301919" w14:textId="77777777" w:rsidR="00182D24" w:rsidRPr="00013003" w:rsidRDefault="00182D24" w:rsidP="0024684C">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A3F88FB"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276E82A" w14:textId="77777777" w:rsidR="00182D24" w:rsidRPr="00013003" w:rsidRDefault="00182D24" w:rsidP="0024684C">
            <w:pPr>
              <w:jc w:val="both"/>
              <w:rPr>
                <w:rFonts w:eastAsia="Times New Roman"/>
                <w:sz w:val="21"/>
                <w:szCs w:val="21"/>
                <w:lang w:val="en-IN" w:eastAsia="en-IN"/>
              </w:rPr>
            </w:pPr>
            <w:r w:rsidRPr="00013003">
              <w:rPr>
                <w:rFonts w:eastAsia="Times New Roman"/>
                <w:sz w:val="21"/>
                <w:szCs w:val="21"/>
                <w:lang w:val="en-IN" w:eastAsia="en-IN"/>
              </w:rPr>
              <w:t>-67.23</w:t>
            </w:r>
          </w:p>
        </w:tc>
      </w:tr>
    </w:tbl>
    <w:p w14:paraId="448E5B1D" w14:textId="77777777" w:rsidR="00182D24" w:rsidRDefault="00182D24" w:rsidP="00A673E5">
      <w:pPr>
        <w:jc w:val="both"/>
        <w:rPr>
          <w:rFonts w:eastAsia="Times New Roman"/>
          <w:b/>
          <w:bCs/>
          <w:sz w:val="22"/>
          <w:szCs w:val="22"/>
          <w:lang w:val="en-IN" w:eastAsia="en-IN"/>
        </w:rPr>
      </w:pPr>
    </w:p>
    <w:p w14:paraId="533518D3" w14:textId="4DBF723D" w:rsidR="00A673E5" w:rsidRPr="00A673E5" w:rsidRDefault="00A673E5" w:rsidP="00A673E5">
      <w:pPr>
        <w:jc w:val="both"/>
        <w:rPr>
          <w:rFonts w:eastAsia="Times New Roman"/>
          <w:b/>
          <w:bCs/>
          <w:sz w:val="22"/>
          <w:szCs w:val="22"/>
          <w:lang w:val="en-IN" w:eastAsia="en-IN"/>
        </w:rPr>
      </w:pPr>
      <w:r w:rsidRPr="00A673E5">
        <w:rPr>
          <w:rFonts w:eastAsia="Times New Roman"/>
          <w:b/>
          <w:bCs/>
          <w:sz w:val="22"/>
          <w:szCs w:val="22"/>
          <w:lang w:val="en-IN" w:eastAsia="en-IN"/>
        </w:rPr>
        <w:t>Observation 1</w:t>
      </w:r>
      <w:r w:rsidR="00116753">
        <w:rPr>
          <w:rFonts w:eastAsia="Times New Roman"/>
          <w:b/>
          <w:bCs/>
          <w:sz w:val="22"/>
          <w:szCs w:val="22"/>
          <w:lang w:val="en-IN" w:eastAsia="en-IN"/>
        </w:rPr>
        <w:t>3</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gNB-to-gNB CLI handling mechanisms, deployment scenario restrictions, or additional analog filters as proposed.</w:t>
      </w:r>
    </w:p>
    <w:p w14:paraId="3412EF18" w14:textId="77777777" w:rsidR="00A673E5" w:rsidRPr="00A673E5" w:rsidRDefault="00A673E5" w:rsidP="00A673E5">
      <w:pPr>
        <w:jc w:val="both"/>
        <w:rPr>
          <w:rFonts w:eastAsia="Times New Roman"/>
          <w:b/>
          <w:bCs/>
          <w:sz w:val="22"/>
          <w:szCs w:val="22"/>
          <w:lang w:val="en-IN" w:eastAsia="en-IN"/>
        </w:rPr>
      </w:pPr>
    </w:p>
    <w:p w14:paraId="010C158F" w14:textId="05DA9AAF" w:rsidR="006144EA" w:rsidRDefault="00A673E5" w:rsidP="00A673E5">
      <w:pPr>
        <w:jc w:val="both"/>
        <w:rPr>
          <w:rFonts w:eastAsia="Times New Roman"/>
          <w:b/>
          <w:bCs/>
          <w:sz w:val="22"/>
          <w:szCs w:val="22"/>
          <w:lang w:val="en-IN" w:eastAsia="en-IN"/>
        </w:rPr>
      </w:pPr>
      <w:r w:rsidRPr="00A673E5">
        <w:rPr>
          <w:rFonts w:eastAsia="Times New Roman"/>
          <w:b/>
          <w:bCs/>
          <w:sz w:val="22"/>
          <w:szCs w:val="22"/>
          <w:lang w:val="en-IN" w:eastAsia="en-IN"/>
        </w:rPr>
        <w:t xml:space="preserve">Observation </w:t>
      </w:r>
      <w:r w:rsidR="00116753">
        <w:rPr>
          <w:rFonts w:eastAsia="Times New Roman"/>
          <w:b/>
          <w:bCs/>
          <w:sz w:val="22"/>
          <w:szCs w:val="22"/>
          <w:lang w:val="en-IN" w:eastAsia="en-IN"/>
        </w:rPr>
        <w:t>14</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FR1 Urban Macro scenarios with 10% grid shift, the in-band blocking power requirement is significantly reduced for the Reduced Blocker Model when using the additional analog filters as proposed.</w:t>
      </w:r>
    </w:p>
    <w:p w14:paraId="7FE30AB0" w14:textId="26EDCFBC" w:rsidR="00DD43BA" w:rsidRPr="007B5E82" w:rsidRDefault="00DD43BA" w:rsidP="00DD43BA">
      <w:pPr>
        <w:jc w:val="both"/>
        <w:rPr>
          <w:b/>
          <w:bCs/>
          <w:sz w:val="22"/>
          <w:szCs w:val="22"/>
        </w:rPr>
      </w:pPr>
      <w:r w:rsidRPr="007B5E82">
        <w:rPr>
          <w:b/>
          <w:bCs/>
          <w:sz w:val="24"/>
          <w:szCs w:val="24"/>
        </w:rPr>
        <w:lastRenderedPageBreak/>
        <w:t xml:space="preserve">Proposal 7: </w:t>
      </w:r>
      <w:r w:rsidRPr="007B5E82">
        <w:rPr>
          <w:b/>
          <w:bCs/>
          <w:sz w:val="22"/>
          <w:szCs w:val="22"/>
        </w:rPr>
        <w:t>Establish a unified blocking requirement that accounts for both coexistence scenarios: legacy TDD systems in the adjacent channel and new SBFD systems in the adjacent channel.</w:t>
      </w:r>
    </w:p>
    <w:bookmarkEnd w:id="23"/>
    <w:p w14:paraId="498B778E" w14:textId="06765A08" w:rsidR="00116753" w:rsidRDefault="00116753" w:rsidP="00A673E5">
      <w:pPr>
        <w:jc w:val="both"/>
        <w:rPr>
          <w:b/>
          <w:bCs/>
          <w:sz w:val="22"/>
          <w:szCs w:val="22"/>
        </w:rPr>
      </w:pPr>
    </w:p>
    <w:p w14:paraId="5B3D6707" w14:textId="57A082DE" w:rsidR="00182D24" w:rsidRPr="00A673E5" w:rsidRDefault="00182D24" w:rsidP="00182D24">
      <w:pPr>
        <w:jc w:val="both"/>
        <w:rPr>
          <w:rFonts w:eastAsia="Times New Roman"/>
          <w:b/>
          <w:bCs/>
          <w:sz w:val="22"/>
          <w:szCs w:val="22"/>
          <w:lang w:val="en-IN" w:eastAsia="en-IN"/>
        </w:rPr>
      </w:pPr>
      <w:r w:rsidRPr="00A673E5">
        <w:rPr>
          <w:rFonts w:eastAsia="Times New Roman"/>
          <w:b/>
          <w:bCs/>
          <w:sz w:val="22"/>
          <w:szCs w:val="22"/>
          <w:lang w:val="en-IN" w:eastAsia="en-IN"/>
        </w:rPr>
        <w:t>Observation 1</w:t>
      </w:r>
      <w:r w:rsidR="007B5E82">
        <w:rPr>
          <w:rFonts w:eastAsia="Times New Roman"/>
          <w:b/>
          <w:bCs/>
          <w:sz w:val="22"/>
          <w:szCs w:val="22"/>
          <w:lang w:val="en-IN" w:eastAsia="en-IN"/>
        </w:rPr>
        <w:t>5</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gNB-to-gNB CLI handling mechanisms, deployment scenario restrictions, or additional analog filters as proposed.</w:t>
      </w:r>
    </w:p>
    <w:p w14:paraId="5DA64D42" w14:textId="77777777" w:rsidR="00182D24" w:rsidRPr="00013003" w:rsidRDefault="00182D24" w:rsidP="00182D24">
      <w:pPr>
        <w:jc w:val="both"/>
        <w:rPr>
          <w:rFonts w:eastAsia="Times New Roman"/>
          <w:b/>
          <w:bCs/>
          <w:sz w:val="14"/>
          <w:szCs w:val="14"/>
          <w:lang w:val="en-IN" w:eastAsia="en-IN"/>
        </w:rPr>
      </w:pPr>
    </w:p>
    <w:p w14:paraId="4FEED563" w14:textId="1FDB737F" w:rsidR="00182D24" w:rsidRPr="00A673E5" w:rsidRDefault="00182D24" w:rsidP="00182D24">
      <w:pPr>
        <w:jc w:val="both"/>
        <w:rPr>
          <w:rFonts w:eastAsia="Times New Roman"/>
          <w:b/>
          <w:bCs/>
          <w:sz w:val="22"/>
          <w:szCs w:val="22"/>
          <w:lang w:val="en-IN" w:eastAsia="en-IN"/>
        </w:rPr>
      </w:pPr>
      <w:r w:rsidRPr="00A673E5">
        <w:rPr>
          <w:rFonts w:eastAsia="Times New Roman"/>
          <w:b/>
          <w:bCs/>
          <w:sz w:val="22"/>
          <w:szCs w:val="22"/>
          <w:lang w:val="en-IN" w:eastAsia="en-IN"/>
        </w:rPr>
        <w:t>Observation 1</w:t>
      </w:r>
      <w:r w:rsidR="007B5E82">
        <w:rPr>
          <w:rFonts w:eastAsia="Times New Roman"/>
          <w:b/>
          <w:bCs/>
          <w:sz w:val="22"/>
          <w:szCs w:val="22"/>
          <w:lang w:val="en-IN" w:eastAsia="en-IN"/>
        </w:rPr>
        <w:t>6</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Micro scenario with a medium-area BS and 10% grid shift, the existing in-band blocking requirement of -38 dBm should be increased.</w:t>
      </w:r>
    </w:p>
    <w:p w14:paraId="187D0CD6" w14:textId="77777777" w:rsidR="00182D24" w:rsidRPr="00A673E5" w:rsidRDefault="00182D24" w:rsidP="00182D24">
      <w:pPr>
        <w:jc w:val="both"/>
        <w:rPr>
          <w:rFonts w:eastAsia="Times New Roman"/>
          <w:b/>
          <w:bCs/>
          <w:sz w:val="22"/>
          <w:szCs w:val="22"/>
          <w:lang w:val="en-IN" w:eastAsia="en-IN"/>
        </w:rPr>
      </w:pPr>
    </w:p>
    <w:p w14:paraId="1062275E" w14:textId="05E241F0" w:rsidR="00182D24" w:rsidRDefault="00182D24" w:rsidP="00182D24">
      <w:pPr>
        <w:jc w:val="both"/>
        <w:rPr>
          <w:rFonts w:eastAsia="Times New Roman"/>
          <w:b/>
          <w:bCs/>
          <w:sz w:val="22"/>
          <w:szCs w:val="22"/>
          <w:lang w:val="en-IN" w:eastAsia="en-IN"/>
        </w:rPr>
      </w:pPr>
      <w:r w:rsidRPr="00A673E5">
        <w:rPr>
          <w:rFonts w:eastAsia="Times New Roman"/>
          <w:b/>
          <w:bCs/>
          <w:sz w:val="22"/>
          <w:szCs w:val="22"/>
          <w:lang w:val="en-IN" w:eastAsia="en-IN"/>
        </w:rPr>
        <w:t xml:space="preserve">Observation </w:t>
      </w:r>
      <w:r w:rsidR="007B5E82">
        <w:rPr>
          <w:rFonts w:eastAsia="Times New Roman"/>
          <w:b/>
          <w:bCs/>
          <w:sz w:val="22"/>
          <w:szCs w:val="22"/>
          <w:lang w:val="en-IN" w:eastAsia="en-IN"/>
        </w:rPr>
        <w:t>17</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both the FR1 Urban Macro and FR1 Urban Micro scenarios with 10% grid shift, the in-band blocking power requirement is significantly reduced for the Reduced Blocker Model when using the additional analog filters as proposed.</w:t>
      </w:r>
    </w:p>
    <w:p w14:paraId="05689769" w14:textId="1E53F1AD" w:rsidR="00116753" w:rsidRDefault="00116753" w:rsidP="00A673E5">
      <w:pPr>
        <w:jc w:val="both"/>
        <w:rPr>
          <w:rFonts w:eastAsia="Times New Roman"/>
          <w:b/>
          <w:bCs/>
          <w:sz w:val="22"/>
          <w:szCs w:val="22"/>
          <w:lang w:val="en-IN" w:eastAsia="en-IN"/>
        </w:rPr>
      </w:pPr>
    </w:p>
    <w:p w14:paraId="4F235361" w14:textId="5A596873" w:rsidR="00182D24" w:rsidRDefault="00182D24" w:rsidP="00182D24">
      <w:pPr>
        <w:jc w:val="both"/>
        <w:rPr>
          <w:b/>
          <w:bCs/>
          <w:sz w:val="22"/>
          <w:szCs w:val="22"/>
        </w:rPr>
      </w:pPr>
      <w:r w:rsidRPr="00647C00">
        <w:rPr>
          <w:b/>
          <w:bCs/>
          <w:sz w:val="22"/>
          <w:szCs w:val="22"/>
        </w:rPr>
        <w:t xml:space="preserve">Proposal </w:t>
      </w:r>
      <w:r w:rsidR="007B5E82">
        <w:rPr>
          <w:b/>
          <w:bCs/>
          <w:sz w:val="22"/>
          <w:szCs w:val="22"/>
        </w:rPr>
        <w:t>8</w:t>
      </w:r>
      <w:r w:rsidRPr="00647C00">
        <w:rPr>
          <w:sz w:val="22"/>
          <w:szCs w:val="22"/>
        </w:rPr>
        <w:t xml:space="preserve">: </w:t>
      </w:r>
      <w:r w:rsidRPr="003A21B3">
        <w:rPr>
          <w:b/>
          <w:bCs/>
          <w:sz w:val="22"/>
          <w:szCs w:val="22"/>
        </w:rPr>
        <w:t>For the FR1 Urban Micro scenario with 10% grid shifts, the existing in-band blocking requirement of -38 dBm should be increased for SBFD medium-area BSs to account for the elevated levels of in-band blocking power</w:t>
      </w:r>
      <w:r w:rsidRPr="00732AAD">
        <w:rPr>
          <w:b/>
          <w:bCs/>
          <w:sz w:val="22"/>
          <w:szCs w:val="22"/>
        </w:rPr>
        <w:t xml:space="preserve">. </w:t>
      </w:r>
    </w:p>
    <w:p w14:paraId="39D8FC7F" w14:textId="63E94546" w:rsidR="00446A67" w:rsidRPr="008042A8" w:rsidRDefault="00446A67" w:rsidP="00446A67">
      <w:pPr>
        <w:pStyle w:val="Heading1"/>
        <w:rPr>
          <w:rFonts w:ascii="Times New Roman" w:hAnsi="Times New Roman"/>
          <w:b/>
          <w:bCs/>
        </w:rPr>
      </w:pPr>
      <w:r w:rsidRPr="008042A8">
        <w:rPr>
          <w:rFonts w:ascii="Times New Roman" w:hAnsi="Times New Roman"/>
          <w:b/>
          <w:bCs/>
        </w:rPr>
        <w:t>Conclusion</w:t>
      </w:r>
    </w:p>
    <w:p w14:paraId="545B6C67" w14:textId="5DCF4D93" w:rsidR="00446A67" w:rsidRPr="001F3A17" w:rsidRDefault="00446A67" w:rsidP="002D2966">
      <w:pPr>
        <w:spacing w:before="120" w:after="120"/>
        <w:jc w:val="both"/>
        <w:rPr>
          <w:sz w:val="22"/>
          <w:szCs w:val="22"/>
        </w:rPr>
      </w:pPr>
      <w:r w:rsidRPr="001F3A17">
        <w:rPr>
          <w:sz w:val="22"/>
          <w:szCs w:val="22"/>
        </w:rPr>
        <w:t>In this contribution, we discuss about</w:t>
      </w:r>
      <w:r w:rsidR="00EB746E">
        <w:rPr>
          <w:sz w:val="22"/>
          <w:szCs w:val="22"/>
        </w:rPr>
        <w:t xml:space="preserve"> in-band blocking</w:t>
      </w:r>
      <w:r w:rsidR="00CF43A4">
        <w:rPr>
          <w:sz w:val="22"/>
          <w:szCs w:val="22"/>
        </w:rPr>
        <w:t xml:space="preserve"> and </w:t>
      </w:r>
      <w:r w:rsidR="002D2966" w:rsidRPr="001F3A17">
        <w:rPr>
          <w:rFonts w:eastAsia="Calibri"/>
          <w:color w:val="000000" w:themeColor="text1"/>
          <w:sz w:val="22"/>
          <w:szCs w:val="22"/>
          <w:lang w:val="en-US"/>
        </w:rPr>
        <w:t>receiver dynamic range</w:t>
      </w:r>
      <w:r w:rsidR="00EB746E">
        <w:rPr>
          <w:rFonts w:eastAsia="Calibri"/>
          <w:color w:val="000000" w:themeColor="text1"/>
          <w:sz w:val="22"/>
          <w:szCs w:val="22"/>
          <w:lang w:val="en-US"/>
        </w:rPr>
        <w:t xml:space="preserve"> </w:t>
      </w:r>
      <w:r w:rsidR="002D2966" w:rsidRPr="001F3A17">
        <w:rPr>
          <w:rFonts w:eastAsia="Calibri"/>
          <w:color w:val="000000" w:themeColor="text1"/>
          <w:sz w:val="22"/>
          <w:szCs w:val="22"/>
          <w:lang w:val="en-US"/>
        </w:rPr>
        <w:t>degradation</w:t>
      </w:r>
      <w:r w:rsidR="002D2966" w:rsidRPr="001F3A17">
        <w:rPr>
          <w:sz w:val="22"/>
          <w:szCs w:val="22"/>
        </w:rPr>
        <w:t xml:space="preserve"> </w:t>
      </w:r>
      <w:r w:rsidRPr="001F3A17">
        <w:rPr>
          <w:sz w:val="22"/>
          <w:szCs w:val="22"/>
        </w:rPr>
        <w:t>with the following proposal</w:t>
      </w:r>
      <w:r w:rsidR="00D26EF8" w:rsidRPr="001F3A17">
        <w:rPr>
          <w:sz w:val="22"/>
          <w:szCs w:val="22"/>
        </w:rPr>
        <w:t xml:space="preserve">s and </w:t>
      </w:r>
      <w:r w:rsidR="00A3154F" w:rsidRPr="001F3A17">
        <w:rPr>
          <w:sz w:val="22"/>
          <w:szCs w:val="22"/>
        </w:rPr>
        <w:t>observations.</w:t>
      </w:r>
    </w:p>
    <w:p w14:paraId="77238DA1" w14:textId="2847A170" w:rsidR="00CF43A4" w:rsidRPr="00CF43A4" w:rsidRDefault="00CF43A4" w:rsidP="00CF43A4">
      <w:pPr>
        <w:jc w:val="both"/>
        <w:rPr>
          <w:b/>
          <w:bCs/>
          <w:sz w:val="22"/>
          <w:szCs w:val="22"/>
        </w:rPr>
      </w:pPr>
      <w:r w:rsidRPr="00CF43A4">
        <w:rPr>
          <w:b/>
          <w:bCs/>
          <w:sz w:val="22"/>
          <w:szCs w:val="22"/>
        </w:rPr>
        <w:t>Proposal 1: For the in-band blocking requirement, adopt a unified blocking threshold for both scenarios. For the grid shift, consider 10% grid shif</w:t>
      </w:r>
      <w:r w:rsidR="008758D2">
        <w:rPr>
          <w:b/>
          <w:bCs/>
          <w:sz w:val="22"/>
          <w:szCs w:val="22"/>
        </w:rPr>
        <w:t>t</w:t>
      </w:r>
      <w:r w:rsidRPr="00CF43A4">
        <w:rPr>
          <w:b/>
          <w:bCs/>
          <w:sz w:val="22"/>
          <w:szCs w:val="22"/>
        </w:rPr>
        <w:t>.</w:t>
      </w:r>
    </w:p>
    <w:p w14:paraId="4D8A4E40" w14:textId="77777777" w:rsidR="00CF43A4" w:rsidRPr="00CF43A4" w:rsidRDefault="00CF43A4" w:rsidP="00CF43A4">
      <w:pPr>
        <w:jc w:val="both"/>
        <w:rPr>
          <w:b/>
          <w:bCs/>
          <w:sz w:val="22"/>
          <w:szCs w:val="22"/>
        </w:rPr>
      </w:pPr>
    </w:p>
    <w:p w14:paraId="29FD4B28" w14:textId="4DE8D89F" w:rsidR="00CF43A4" w:rsidRPr="00CF43A4" w:rsidRDefault="00CF43A4" w:rsidP="00CF43A4">
      <w:pPr>
        <w:jc w:val="both"/>
        <w:rPr>
          <w:b/>
          <w:bCs/>
          <w:sz w:val="22"/>
          <w:szCs w:val="22"/>
        </w:rPr>
      </w:pPr>
      <w:r w:rsidRPr="7DA51614">
        <w:rPr>
          <w:b/>
          <w:bCs/>
          <w:sz w:val="22"/>
          <w:szCs w:val="22"/>
        </w:rPr>
        <w:t xml:space="preserve">Observation 1: In addition to the Baseline Blocker Model, the reduced blocker model with a {D, U, D} SBFD configuration, analog filtering of adjacent interference, and a modified noise figure along with the same model incorporating CLI handling schemes should be further studied for SBFD performance evaluations in FR1 scenarios. </w:t>
      </w:r>
    </w:p>
    <w:p w14:paraId="78CB30C3" w14:textId="77777777" w:rsidR="00CF43A4" w:rsidRPr="00CF43A4" w:rsidRDefault="00CF43A4" w:rsidP="00CF43A4">
      <w:pPr>
        <w:jc w:val="both"/>
        <w:rPr>
          <w:b/>
          <w:bCs/>
          <w:sz w:val="22"/>
          <w:szCs w:val="22"/>
        </w:rPr>
      </w:pPr>
    </w:p>
    <w:p w14:paraId="75390622" w14:textId="261AA359" w:rsidR="00CF43A4" w:rsidRPr="00CF43A4" w:rsidRDefault="00CF43A4" w:rsidP="00CF43A4">
      <w:pPr>
        <w:jc w:val="both"/>
        <w:rPr>
          <w:b/>
          <w:bCs/>
          <w:sz w:val="22"/>
          <w:szCs w:val="22"/>
        </w:rPr>
      </w:pPr>
      <w:r w:rsidRPr="00D939D5">
        <w:rPr>
          <w:b/>
          <w:bCs/>
          <w:sz w:val="22"/>
          <w:szCs w:val="22"/>
        </w:rPr>
        <w:t>Proposal 2:</w:t>
      </w:r>
      <w:r w:rsidRPr="00D939D5">
        <w:rPr>
          <w:sz w:val="22"/>
          <w:szCs w:val="22"/>
        </w:rPr>
        <w:t xml:space="preserve"> </w:t>
      </w:r>
      <w:r w:rsidRPr="00D939D5">
        <w:rPr>
          <w:b/>
          <w:bCs/>
          <w:sz w:val="22"/>
          <w:szCs w:val="22"/>
        </w:rPr>
        <w:t xml:space="preserve">For in-band blocking simulations, </w:t>
      </w:r>
      <w:r w:rsidRPr="00CF43A4">
        <w:rPr>
          <w:b/>
          <w:bCs/>
          <w:sz w:val="22"/>
          <w:szCs w:val="22"/>
        </w:rPr>
        <w:t xml:space="preserve">investigate </w:t>
      </w:r>
      <w:r w:rsidRPr="00D939D5">
        <w:rPr>
          <w:b/>
          <w:bCs/>
          <w:sz w:val="22"/>
          <w:szCs w:val="22"/>
        </w:rPr>
        <w:t xml:space="preserve">both the reduced blocker model and the reduced blocker model with CLI handling mechanisms. Specifically, for UMa with a modified noise figure, use P1 = -37 dBm, P2 = -25 dBm, F1 = 8 dB, and F2 = 14 dB. </w:t>
      </w:r>
    </w:p>
    <w:p w14:paraId="66F96692" w14:textId="77777777" w:rsidR="00CF43A4" w:rsidRPr="00CF43A4" w:rsidRDefault="00CF43A4" w:rsidP="00CF43A4">
      <w:pPr>
        <w:jc w:val="both"/>
        <w:rPr>
          <w:b/>
          <w:bCs/>
          <w:sz w:val="22"/>
          <w:szCs w:val="22"/>
        </w:rPr>
      </w:pPr>
    </w:p>
    <w:p w14:paraId="27AD46EE" w14:textId="2AF27E17" w:rsidR="00CF43A4" w:rsidRDefault="00CF43A4" w:rsidP="00CF43A4">
      <w:pPr>
        <w:jc w:val="both"/>
        <w:rPr>
          <w:b/>
          <w:bCs/>
          <w:sz w:val="22"/>
          <w:szCs w:val="22"/>
        </w:rPr>
      </w:pPr>
      <w:r w:rsidRPr="7DA51614">
        <w:rPr>
          <w:b/>
          <w:bCs/>
          <w:sz w:val="22"/>
          <w:szCs w:val="22"/>
        </w:rPr>
        <w:t xml:space="preserve">Proposal 3: </w:t>
      </w:r>
      <w:r w:rsidR="00DC724B">
        <w:rPr>
          <w:b/>
          <w:bCs/>
          <w:sz w:val="22"/>
          <w:szCs w:val="22"/>
        </w:rPr>
        <w:t>C</w:t>
      </w:r>
      <w:r w:rsidR="00DC724B" w:rsidRPr="00DC724B">
        <w:rPr>
          <w:b/>
          <w:bCs/>
          <w:sz w:val="22"/>
          <w:szCs w:val="22"/>
        </w:rPr>
        <w:t xml:space="preserve">onsider </w:t>
      </w:r>
      <w:r w:rsidR="00DC724B">
        <w:rPr>
          <w:b/>
          <w:bCs/>
          <w:sz w:val="22"/>
          <w:szCs w:val="22"/>
        </w:rPr>
        <w:t xml:space="preserve">a </w:t>
      </w:r>
      <w:r w:rsidR="00DC724B" w:rsidRPr="00DC724B">
        <w:rPr>
          <w:b/>
          <w:bCs/>
          <w:sz w:val="22"/>
          <w:szCs w:val="22"/>
        </w:rPr>
        <w:t>3</w:t>
      </w:r>
      <w:r w:rsidR="00641965">
        <w:rPr>
          <w:b/>
          <w:bCs/>
          <w:sz w:val="22"/>
          <w:szCs w:val="22"/>
        </w:rPr>
        <w:t xml:space="preserve"> </w:t>
      </w:r>
      <w:r w:rsidR="00DC724B" w:rsidRPr="00DC724B">
        <w:rPr>
          <w:b/>
          <w:bCs/>
          <w:sz w:val="22"/>
          <w:szCs w:val="22"/>
        </w:rPr>
        <w:t xml:space="preserve">dB degradation </w:t>
      </w:r>
      <w:r w:rsidR="00525FD2" w:rsidRPr="00525FD2">
        <w:rPr>
          <w:b/>
          <w:bCs/>
          <w:sz w:val="22"/>
          <w:szCs w:val="22"/>
        </w:rPr>
        <w:t>in noise figure when using the reduced blocker model with additional filtering</w:t>
      </w:r>
      <w:r w:rsidRPr="7DA51614">
        <w:rPr>
          <w:b/>
          <w:bCs/>
          <w:sz w:val="22"/>
          <w:szCs w:val="22"/>
        </w:rPr>
        <w:t>.</w:t>
      </w:r>
    </w:p>
    <w:p w14:paraId="621043C3" w14:textId="77777777" w:rsidR="00DC724B" w:rsidRPr="00CF43A4" w:rsidRDefault="00DC724B" w:rsidP="00CF43A4">
      <w:pPr>
        <w:jc w:val="both"/>
        <w:rPr>
          <w:b/>
          <w:bCs/>
          <w:sz w:val="22"/>
          <w:szCs w:val="22"/>
        </w:rPr>
      </w:pPr>
    </w:p>
    <w:p w14:paraId="3D86E69D" w14:textId="08E0D5B2" w:rsidR="00CF43A4" w:rsidRPr="00CF43A4" w:rsidRDefault="00CF43A4" w:rsidP="00CF43A4">
      <w:pPr>
        <w:jc w:val="both"/>
        <w:rPr>
          <w:b/>
          <w:bCs/>
          <w:sz w:val="22"/>
          <w:szCs w:val="22"/>
        </w:rPr>
      </w:pPr>
      <w:r w:rsidRPr="00D939D5">
        <w:rPr>
          <w:b/>
          <w:bCs/>
          <w:sz w:val="22"/>
          <w:szCs w:val="22"/>
        </w:rPr>
        <w:t xml:space="preserve">Observation 2: </w:t>
      </w:r>
      <w:r w:rsidRPr="00CF43A4">
        <w:rPr>
          <w:b/>
          <w:bCs/>
          <w:sz w:val="22"/>
          <w:szCs w:val="22"/>
        </w:rPr>
        <w:t>For UMa deployments with SBFD as the aggressor network and a 100% grid shift, the 99th percentile of in-band blocking power is 13.54 dBm. With a 10% grid shift, the in-band blocking power is approximately 40.18 dB above the current threshold of -43 dBm.</w:t>
      </w:r>
    </w:p>
    <w:p w14:paraId="3472BB4C" w14:textId="77777777" w:rsidR="00CF43A4" w:rsidRPr="00CF43A4" w:rsidRDefault="00CF43A4" w:rsidP="00CF43A4">
      <w:pPr>
        <w:jc w:val="both"/>
        <w:rPr>
          <w:b/>
          <w:bCs/>
          <w:sz w:val="22"/>
          <w:szCs w:val="22"/>
        </w:rPr>
      </w:pPr>
    </w:p>
    <w:p w14:paraId="7B49D9D1" w14:textId="30881DD7" w:rsidR="00CF43A4" w:rsidRPr="00CF43A4" w:rsidRDefault="00CF43A4" w:rsidP="00CF43A4">
      <w:pPr>
        <w:jc w:val="both"/>
        <w:rPr>
          <w:b/>
          <w:bCs/>
          <w:sz w:val="22"/>
          <w:szCs w:val="22"/>
        </w:rPr>
      </w:pPr>
      <w:r w:rsidRPr="00D939D5">
        <w:rPr>
          <w:b/>
          <w:bCs/>
          <w:sz w:val="22"/>
          <w:szCs w:val="22"/>
          <w:lang w:val="en-US"/>
        </w:rPr>
        <w:t xml:space="preserve">Observation 3: </w:t>
      </w:r>
      <w:r w:rsidRPr="00CF43A4">
        <w:rPr>
          <w:b/>
          <w:bCs/>
          <w:sz w:val="22"/>
          <w:szCs w:val="22"/>
        </w:rPr>
        <w:t>For a 10% grid shift, adjacent channel CLI power dominates the total in-band blocking power. gNB-to-gNB CLI handling schemes or deployment restrictions are required to mitigate this impact.</w:t>
      </w:r>
    </w:p>
    <w:p w14:paraId="70ED82AA" w14:textId="77777777" w:rsidR="00CF43A4" w:rsidRPr="00CF43A4" w:rsidRDefault="00CF43A4" w:rsidP="00CF43A4">
      <w:pPr>
        <w:jc w:val="both"/>
        <w:rPr>
          <w:b/>
          <w:bCs/>
          <w:sz w:val="22"/>
          <w:szCs w:val="22"/>
        </w:rPr>
      </w:pPr>
    </w:p>
    <w:p w14:paraId="5B361D63" w14:textId="77777777" w:rsidR="00CF43A4" w:rsidRPr="00CF43A4" w:rsidRDefault="00CF43A4" w:rsidP="00CF43A4">
      <w:pPr>
        <w:jc w:val="both"/>
        <w:rPr>
          <w:b/>
          <w:bCs/>
          <w:sz w:val="22"/>
          <w:szCs w:val="22"/>
        </w:rPr>
      </w:pPr>
      <w:r w:rsidRPr="00D939D5">
        <w:rPr>
          <w:b/>
          <w:bCs/>
          <w:sz w:val="22"/>
          <w:szCs w:val="22"/>
        </w:rPr>
        <w:t>Observation 4: The SINR and spectral efficiency of the SBFD system decrease with an increasing grid shift percentage. For 10% grid shift cases, adjacent channel in-band interference significantly dominates, leading to performance degradation of the victim SBFD gNBs.</w:t>
      </w:r>
    </w:p>
    <w:p w14:paraId="451CBCDE" w14:textId="77777777" w:rsidR="00CF43A4" w:rsidRPr="00CF43A4" w:rsidRDefault="00CF43A4" w:rsidP="00CF43A4">
      <w:pPr>
        <w:jc w:val="both"/>
        <w:rPr>
          <w:b/>
          <w:bCs/>
          <w:sz w:val="22"/>
          <w:szCs w:val="22"/>
        </w:rPr>
      </w:pPr>
      <w:r w:rsidRPr="00D939D5">
        <w:rPr>
          <w:b/>
          <w:bCs/>
          <w:sz w:val="22"/>
          <w:szCs w:val="22"/>
        </w:rPr>
        <w:lastRenderedPageBreak/>
        <w:t>Proposal 4</w:t>
      </w:r>
      <w:r w:rsidRPr="00D939D5">
        <w:rPr>
          <w:sz w:val="22"/>
          <w:szCs w:val="22"/>
        </w:rPr>
        <w:t xml:space="preserve">: </w:t>
      </w:r>
      <w:r w:rsidRPr="00CF43A4">
        <w:rPr>
          <w:b/>
          <w:bCs/>
          <w:sz w:val="22"/>
          <w:szCs w:val="22"/>
        </w:rPr>
        <w:t>For the FR1 Urban Macro scenario, increase the in-band blocking requirement (currently -43 dBm) for SBFD wide-area BSs to accommodate elevated levels of in-band blocking power.</w:t>
      </w:r>
    </w:p>
    <w:p w14:paraId="7A8676C6" w14:textId="77777777" w:rsidR="00CF43A4" w:rsidRPr="00D939D5" w:rsidRDefault="00CF43A4" w:rsidP="00CF43A4">
      <w:pPr>
        <w:jc w:val="both"/>
        <w:rPr>
          <w:b/>
          <w:sz w:val="22"/>
          <w:szCs w:val="22"/>
        </w:rPr>
      </w:pPr>
    </w:p>
    <w:p w14:paraId="138779E0" w14:textId="77777777" w:rsidR="00CF43A4" w:rsidRPr="00D939D5" w:rsidRDefault="00CF43A4" w:rsidP="00CF43A4">
      <w:pPr>
        <w:jc w:val="both"/>
        <w:rPr>
          <w:b/>
          <w:bCs/>
          <w:sz w:val="22"/>
          <w:szCs w:val="22"/>
        </w:rPr>
      </w:pPr>
      <w:r w:rsidRPr="00D939D5">
        <w:rPr>
          <w:b/>
          <w:bCs/>
          <w:sz w:val="22"/>
          <w:szCs w:val="22"/>
        </w:rPr>
        <w:t>Proposal 5:  For the 10% grid shift requirement, the interference power level and in-band blocking requirement should be evaluated after RAN1 studies the applicability of the CLI handling mechanism for adjacent channels or considers any relevant deployment restrictions.</w:t>
      </w:r>
    </w:p>
    <w:p w14:paraId="4F5B483D" w14:textId="77777777" w:rsidR="00CF43A4" w:rsidRPr="00D939D5" w:rsidRDefault="00CF43A4" w:rsidP="00CF43A4">
      <w:pPr>
        <w:jc w:val="both"/>
        <w:rPr>
          <w:b/>
          <w:sz w:val="22"/>
          <w:szCs w:val="22"/>
        </w:rPr>
      </w:pPr>
    </w:p>
    <w:p w14:paraId="7BEF1909" w14:textId="77777777" w:rsidR="00CF43A4" w:rsidRPr="00D939D5" w:rsidRDefault="00CF43A4" w:rsidP="00CF43A4">
      <w:pPr>
        <w:spacing w:after="160" w:line="259" w:lineRule="auto"/>
        <w:jc w:val="both"/>
        <w:rPr>
          <w:b/>
          <w:bCs/>
          <w:sz w:val="22"/>
          <w:szCs w:val="22"/>
        </w:rPr>
      </w:pPr>
      <w:r w:rsidRPr="00D939D5">
        <w:rPr>
          <w:b/>
          <w:bCs/>
          <w:sz w:val="22"/>
          <w:szCs w:val="22"/>
        </w:rPr>
        <w:t>Observation 5: For UMa deployments with a TDD operator as the adjacent network, in the 100% grid shift case, the 99th percentile of the in-band blocking power is 14.95 dBm. In the 10% grid shift case, it is approximately 42.22 dB above the currently specified in-band blocking requirement of -43 dBm.</w:t>
      </w:r>
    </w:p>
    <w:p w14:paraId="1EA0560C" w14:textId="62BAB17C" w:rsidR="00CF43A4" w:rsidRPr="00CF43A4" w:rsidRDefault="00CF43A4" w:rsidP="00CF43A4">
      <w:pPr>
        <w:jc w:val="both"/>
        <w:rPr>
          <w:b/>
          <w:bCs/>
          <w:sz w:val="22"/>
          <w:szCs w:val="22"/>
        </w:rPr>
      </w:pPr>
      <w:r w:rsidRPr="00CF43A4">
        <w:rPr>
          <w:b/>
          <w:bCs/>
          <w:sz w:val="22"/>
          <w:szCs w:val="22"/>
          <w:lang w:eastAsia="ja-JP"/>
        </w:rPr>
        <w:t xml:space="preserve">Observation 6: </w:t>
      </w:r>
      <w:r w:rsidRPr="00CF43A4">
        <w:rPr>
          <w:rFonts w:eastAsia="Times New Roman"/>
          <w:b/>
          <w:bCs/>
          <w:sz w:val="22"/>
          <w:szCs w:val="22"/>
          <w:lang w:val="en-IN" w:eastAsia="en-IN"/>
        </w:rPr>
        <w:t>For the case with TDD as the aggressor, the 99th percentile of the in-band blocking power is 42.22 dB. In the case with SBFD as the aggressor, it is approximately 39.18 dB above the currently specified in-band blocking requirement of -43 dBm for the wide-area BS</w:t>
      </w:r>
      <w:r w:rsidRPr="00CF43A4">
        <w:rPr>
          <w:b/>
          <w:bCs/>
          <w:sz w:val="22"/>
          <w:szCs w:val="22"/>
          <w:lang w:eastAsia="ja-JP"/>
        </w:rPr>
        <w:t>.</w:t>
      </w:r>
      <w:r w:rsidRPr="00CF43A4">
        <w:rPr>
          <w:b/>
          <w:bCs/>
          <w:sz w:val="22"/>
          <w:szCs w:val="22"/>
        </w:rPr>
        <w:t xml:space="preserve"> </w:t>
      </w:r>
    </w:p>
    <w:p w14:paraId="2F37DA75" w14:textId="77777777" w:rsidR="00CF43A4" w:rsidRPr="00CF43A4" w:rsidRDefault="00CF43A4" w:rsidP="00CF43A4">
      <w:pPr>
        <w:jc w:val="both"/>
        <w:rPr>
          <w:b/>
          <w:bCs/>
          <w:sz w:val="22"/>
          <w:szCs w:val="22"/>
        </w:rPr>
      </w:pPr>
    </w:p>
    <w:p w14:paraId="0811D3DE" w14:textId="0CC49060" w:rsidR="00CF43A4" w:rsidRPr="00CF43A4" w:rsidRDefault="00CF43A4" w:rsidP="00CF43A4">
      <w:pPr>
        <w:jc w:val="both"/>
        <w:rPr>
          <w:b/>
          <w:bCs/>
          <w:sz w:val="22"/>
          <w:szCs w:val="22"/>
        </w:rPr>
      </w:pPr>
      <w:r w:rsidRPr="00CF43A4">
        <w:rPr>
          <w:b/>
          <w:bCs/>
          <w:sz w:val="22"/>
          <w:szCs w:val="22"/>
        </w:rPr>
        <w:t>Observation 7: For the Urban Macro scenario, the 99th percentile of the in-band blocking power is -39.25 dBm in the 10% grid shift case for the reduced blocker model when SBFD is the aggressor, and -35.78 dBm when TDD is the aggressor. The in-band blocking power requirement was significantly reduced for the reduced blocker model.</w:t>
      </w:r>
    </w:p>
    <w:p w14:paraId="6BE36C7E" w14:textId="77777777" w:rsidR="00CF43A4" w:rsidRPr="00CF43A4" w:rsidRDefault="00CF43A4" w:rsidP="00CF43A4">
      <w:pPr>
        <w:jc w:val="both"/>
        <w:rPr>
          <w:b/>
          <w:bCs/>
          <w:sz w:val="22"/>
          <w:szCs w:val="22"/>
        </w:rPr>
      </w:pPr>
    </w:p>
    <w:p w14:paraId="2EF9A665" w14:textId="77777777" w:rsidR="00CF43A4" w:rsidRPr="00CF43A4" w:rsidRDefault="00CF43A4" w:rsidP="00CF43A4">
      <w:pPr>
        <w:jc w:val="both"/>
        <w:rPr>
          <w:b/>
          <w:bCs/>
          <w:sz w:val="22"/>
          <w:szCs w:val="22"/>
          <w:lang w:val="en-US"/>
        </w:rPr>
      </w:pPr>
      <w:r w:rsidRPr="00CF43A4">
        <w:rPr>
          <w:b/>
          <w:bCs/>
          <w:sz w:val="22"/>
          <w:szCs w:val="22"/>
          <w:lang w:val="en-US"/>
        </w:rPr>
        <w:t>Observation 8: Simulations show an improvement of 8 dB in SINR with the reduced blocker model compared to the baseline model</w:t>
      </w:r>
      <w:r w:rsidRPr="00CF43A4">
        <w:rPr>
          <w:sz w:val="22"/>
          <w:szCs w:val="22"/>
        </w:rPr>
        <w:t xml:space="preserve"> </w:t>
      </w:r>
      <w:r w:rsidRPr="00CF43A4">
        <w:rPr>
          <w:b/>
          <w:bCs/>
          <w:sz w:val="22"/>
          <w:szCs w:val="22"/>
        </w:rPr>
        <w:t>for UMa with a</w:t>
      </w:r>
      <w:r w:rsidRPr="00CF43A4">
        <w:rPr>
          <w:sz w:val="22"/>
          <w:szCs w:val="22"/>
        </w:rPr>
        <w:t xml:space="preserve"> </w:t>
      </w:r>
      <w:r w:rsidRPr="00CF43A4">
        <w:rPr>
          <w:b/>
          <w:bCs/>
          <w:sz w:val="22"/>
          <w:szCs w:val="22"/>
          <w:lang w:val="en-US"/>
        </w:rPr>
        <w:t>grid shift of 10%. Additionally, with the reduced blocker, 18-20% more UEs achieve a spectral efficiency greater than 0.5</w:t>
      </w:r>
      <w:r w:rsidRPr="00CF43A4">
        <w:rPr>
          <w:rFonts w:eastAsia="Times New Roman"/>
          <w:b/>
          <w:bCs/>
          <w:sz w:val="22"/>
          <w:szCs w:val="22"/>
          <w:lang w:val="en-IN" w:eastAsia="en-IN"/>
        </w:rPr>
        <w:t>.</w:t>
      </w:r>
    </w:p>
    <w:p w14:paraId="3A7133C1" w14:textId="77777777" w:rsidR="00CF43A4" w:rsidRPr="00CF43A4" w:rsidRDefault="00CF43A4" w:rsidP="00CF43A4">
      <w:pPr>
        <w:jc w:val="both"/>
        <w:rPr>
          <w:b/>
          <w:bCs/>
          <w:sz w:val="22"/>
          <w:szCs w:val="22"/>
        </w:rPr>
      </w:pPr>
    </w:p>
    <w:p w14:paraId="23DB3C65"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Observation 9: Simulations show a 6 dB improvement in SINR, with 16-18% more UEs achieving spectral efficiency greater than 0.5, when using the reduced blocker model with the CLI handling mechanism, compared to the reduced blocker model without the CLI mechanism.</w:t>
      </w:r>
    </w:p>
    <w:p w14:paraId="2CA8BAE5" w14:textId="77777777" w:rsidR="00CF43A4" w:rsidRPr="00CF43A4" w:rsidRDefault="00CF43A4" w:rsidP="00CF43A4">
      <w:pPr>
        <w:jc w:val="both"/>
        <w:rPr>
          <w:rFonts w:eastAsia="Times New Roman"/>
          <w:b/>
          <w:bCs/>
          <w:sz w:val="22"/>
          <w:szCs w:val="22"/>
          <w:lang w:val="en-IN" w:eastAsia="en-IN"/>
        </w:rPr>
      </w:pPr>
    </w:p>
    <w:p w14:paraId="6016B29D"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Observation 10: The throughput loss for the model with beam nulling is reduced. However, the results show that approximately 20% of the UEs still experience throughput loss, suggesting that adjacent channel interference leakage continues to dominate, even with the additional blocker.</w:t>
      </w:r>
    </w:p>
    <w:p w14:paraId="61CF1F8D"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w:t>
      </w:r>
    </w:p>
    <w:p w14:paraId="13A292F8" w14:textId="77777777" w:rsidR="00B76BFC" w:rsidRDefault="00CF43A4" w:rsidP="00CF43A4">
      <w:pPr>
        <w:jc w:val="both"/>
        <w:rPr>
          <w:rFonts w:eastAsia="Times New Roman"/>
          <w:b/>
          <w:bCs/>
          <w:sz w:val="22"/>
          <w:szCs w:val="22"/>
          <w:lang w:val="en-IN" w:eastAsia="en-IN"/>
        </w:rPr>
      </w:pPr>
      <w:r w:rsidRPr="7DA51614">
        <w:rPr>
          <w:rFonts w:eastAsia="Times New Roman"/>
          <w:b/>
          <w:bCs/>
          <w:sz w:val="22"/>
          <w:szCs w:val="22"/>
          <w:lang w:val="en-IN" w:eastAsia="en-IN"/>
        </w:rPr>
        <w:t>Proposal 6: For the Urban Macro scenario with 10% grid shifts, the co-channel gNB CLI handling mechanism should be considered for SBFD networks</w:t>
      </w:r>
      <w:r w:rsidR="00B76BFC">
        <w:rPr>
          <w:rFonts w:eastAsia="Times New Roman"/>
          <w:b/>
          <w:bCs/>
          <w:sz w:val="22"/>
          <w:szCs w:val="22"/>
          <w:lang w:val="en-IN" w:eastAsia="en-IN"/>
        </w:rPr>
        <w:t xml:space="preserve">. </w:t>
      </w:r>
    </w:p>
    <w:p w14:paraId="61FA615A" w14:textId="71E93D34" w:rsidR="00CF43A4" w:rsidRPr="00CF43A4" w:rsidRDefault="00CF43A4" w:rsidP="00CF43A4">
      <w:pPr>
        <w:jc w:val="both"/>
        <w:rPr>
          <w:rFonts w:eastAsia="Times New Roman"/>
          <w:b/>
          <w:bCs/>
          <w:sz w:val="22"/>
          <w:szCs w:val="22"/>
          <w:lang w:val="en-IN" w:eastAsia="en-IN"/>
        </w:rPr>
      </w:pPr>
      <w:r w:rsidRPr="7DA51614">
        <w:rPr>
          <w:rFonts w:eastAsia="Times New Roman"/>
          <w:b/>
          <w:bCs/>
          <w:sz w:val="22"/>
          <w:szCs w:val="22"/>
          <w:lang w:val="en-IN" w:eastAsia="en-IN"/>
        </w:rPr>
        <w:t xml:space="preserve"> </w:t>
      </w:r>
    </w:p>
    <w:p w14:paraId="5D75A092"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Observation 11: Simulations show a 4.85 dB improvement in SINR, with approximately 15% more UEs achieving spectral efficiency greater than 1, when using the reduced blocker model with the CLI handling mechanism, compared to the reduced blocker model without the CLI mechanism for adjacent channel gNBs.</w:t>
      </w:r>
    </w:p>
    <w:p w14:paraId="049DE9F1" w14:textId="77777777" w:rsidR="00CF43A4" w:rsidRPr="00CF43A4" w:rsidRDefault="00CF43A4" w:rsidP="00CF43A4">
      <w:pPr>
        <w:jc w:val="both"/>
        <w:rPr>
          <w:rFonts w:eastAsia="Times New Roman"/>
          <w:b/>
          <w:bCs/>
          <w:sz w:val="22"/>
          <w:szCs w:val="22"/>
          <w:lang w:val="en-IN" w:eastAsia="en-IN"/>
        </w:rPr>
      </w:pPr>
    </w:p>
    <w:p w14:paraId="3924816B" w14:textId="3C343BFC"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xml:space="preserve">Observation 12: Simulations show an 18 dB improvement in SINR, with approximately 40% more UEs achieving spectral efficiency greater than 0.5, when using the reduced blocker model with the CLI handling mechanism, compared to the baseline model (CASE-A) without the analog filter or CLI handling mechanism. </w:t>
      </w:r>
    </w:p>
    <w:p w14:paraId="3AEE106F" w14:textId="77777777" w:rsidR="00CF43A4" w:rsidRPr="00CF43A4" w:rsidRDefault="00CF43A4" w:rsidP="00CF43A4">
      <w:pPr>
        <w:jc w:val="both"/>
        <w:rPr>
          <w:rFonts w:eastAsia="Times New Roman"/>
          <w:b/>
          <w:bCs/>
          <w:sz w:val="22"/>
          <w:szCs w:val="22"/>
          <w:lang w:val="en-IN" w:eastAsia="en-IN"/>
        </w:rPr>
      </w:pPr>
    </w:p>
    <w:p w14:paraId="4885A88F" w14:textId="59F93CA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xml:space="preserve">Observation 13: For the FR1 Urban Macro scenario with a large-area BS and 10% grid shift, the existing in-band blocking requirement of -43 dBm should be increased for both cases (TDD as the aggressor and SBFD as the aggressor) to address the elevated in-band blocking power levels. This is </w:t>
      </w:r>
      <w:r w:rsidRPr="00CF43A4">
        <w:rPr>
          <w:rFonts w:eastAsia="Times New Roman"/>
          <w:b/>
          <w:bCs/>
          <w:sz w:val="22"/>
          <w:szCs w:val="22"/>
          <w:lang w:val="en-IN" w:eastAsia="en-IN"/>
        </w:rPr>
        <w:lastRenderedPageBreak/>
        <w:t>without considering any gNB-to-gNB CLI handling mechanisms, deployment scenario restrictions, or additional analog filters as proposed.</w:t>
      </w:r>
    </w:p>
    <w:p w14:paraId="4998B3B3" w14:textId="77777777" w:rsidR="00CF43A4" w:rsidRPr="00CF43A4" w:rsidRDefault="00CF43A4" w:rsidP="00CF43A4">
      <w:pPr>
        <w:jc w:val="both"/>
        <w:rPr>
          <w:rFonts w:eastAsia="Times New Roman"/>
          <w:b/>
          <w:bCs/>
          <w:sz w:val="22"/>
          <w:szCs w:val="22"/>
          <w:lang w:val="en-IN" w:eastAsia="en-IN"/>
        </w:rPr>
      </w:pPr>
    </w:p>
    <w:p w14:paraId="4AA042C0" w14:textId="0232BC7D"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Observation 14: For FR1 Urban Macro scenarios with 10% grid shift, the in-band blocking power requirement is significantly reduced for the Reduced Blocker Model when using the additional analog filters as proposed.</w:t>
      </w:r>
    </w:p>
    <w:p w14:paraId="6F75AE72" w14:textId="77777777" w:rsidR="00CF43A4" w:rsidRPr="00CF43A4" w:rsidRDefault="00CF43A4" w:rsidP="00CF43A4">
      <w:pPr>
        <w:jc w:val="both"/>
        <w:rPr>
          <w:rFonts w:eastAsia="Times New Roman"/>
          <w:b/>
          <w:bCs/>
          <w:sz w:val="22"/>
          <w:szCs w:val="22"/>
          <w:lang w:val="en-IN" w:eastAsia="en-IN"/>
        </w:rPr>
      </w:pPr>
    </w:p>
    <w:p w14:paraId="0F762EA1" w14:textId="0C4720B6" w:rsidR="006D3252" w:rsidRPr="00DD43BA" w:rsidRDefault="00CF43A4" w:rsidP="00F95E2A">
      <w:pPr>
        <w:jc w:val="both"/>
        <w:rPr>
          <w:b/>
          <w:bCs/>
          <w:sz w:val="22"/>
          <w:szCs w:val="22"/>
        </w:rPr>
      </w:pPr>
      <w:r w:rsidRPr="00DD43BA">
        <w:rPr>
          <w:b/>
          <w:bCs/>
          <w:sz w:val="22"/>
          <w:szCs w:val="22"/>
        </w:rPr>
        <w:t>Proposal 7:</w:t>
      </w:r>
      <w:r w:rsidR="00AF534C" w:rsidRPr="00DD43BA">
        <w:rPr>
          <w:b/>
          <w:bCs/>
          <w:sz w:val="22"/>
          <w:szCs w:val="22"/>
        </w:rPr>
        <w:t xml:space="preserve"> </w:t>
      </w:r>
      <w:r w:rsidR="006D3252" w:rsidRPr="00DD43BA">
        <w:rPr>
          <w:b/>
          <w:bCs/>
          <w:sz w:val="22"/>
          <w:szCs w:val="22"/>
        </w:rPr>
        <w:t xml:space="preserve">Establish a unified blocking requirement that accounts for both coexistence scenarios: legacy TDD systems in the adjacent channel and new SBFD systems in the adjacent channel. </w:t>
      </w:r>
    </w:p>
    <w:p w14:paraId="1D560263" w14:textId="2D718C7B" w:rsidR="00DD43BA" w:rsidRDefault="00DD43BA" w:rsidP="00F95E2A">
      <w:pPr>
        <w:jc w:val="both"/>
        <w:rPr>
          <w:b/>
          <w:bCs/>
        </w:rPr>
      </w:pPr>
    </w:p>
    <w:p w14:paraId="0D6C7FFD" w14:textId="77777777" w:rsidR="007B5E82" w:rsidRPr="00A673E5" w:rsidRDefault="007B5E82" w:rsidP="007B5E82">
      <w:pPr>
        <w:jc w:val="both"/>
        <w:rPr>
          <w:rFonts w:eastAsia="Times New Roman"/>
          <w:b/>
          <w:bCs/>
          <w:sz w:val="22"/>
          <w:szCs w:val="22"/>
          <w:lang w:val="en-IN" w:eastAsia="en-IN"/>
        </w:rPr>
      </w:pPr>
      <w:r w:rsidRPr="00A673E5">
        <w:rPr>
          <w:rFonts w:eastAsia="Times New Roman"/>
          <w:b/>
          <w:bCs/>
          <w:sz w:val="22"/>
          <w:szCs w:val="22"/>
          <w:lang w:val="en-IN" w:eastAsia="en-IN"/>
        </w:rPr>
        <w:t>Observation 1</w:t>
      </w:r>
      <w:r>
        <w:rPr>
          <w:rFonts w:eastAsia="Times New Roman"/>
          <w:b/>
          <w:bCs/>
          <w:sz w:val="22"/>
          <w:szCs w:val="22"/>
          <w:lang w:val="en-IN" w:eastAsia="en-IN"/>
        </w:rPr>
        <w:t>5</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gNB-to-gNB CLI handling mechanisms, deployment scenario restrictions, or additional analog filters as proposed.</w:t>
      </w:r>
    </w:p>
    <w:p w14:paraId="1676C9FB" w14:textId="77777777" w:rsidR="007B5E82" w:rsidRPr="00013003" w:rsidRDefault="007B5E82" w:rsidP="007B5E82">
      <w:pPr>
        <w:jc w:val="both"/>
        <w:rPr>
          <w:rFonts w:eastAsia="Times New Roman"/>
          <w:b/>
          <w:bCs/>
          <w:sz w:val="14"/>
          <w:szCs w:val="14"/>
          <w:lang w:val="en-IN" w:eastAsia="en-IN"/>
        </w:rPr>
      </w:pPr>
    </w:p>
    <w:p w14:paraId="662F5715" w14:textId="77777777" w:rsidR="007B5E82" w:rsidRPr="00A673E5" w:rsidRDefault="007B5E82" w:rsidP="007B5E82">
      <w:pPr>
        <w:jc w:val="both"/>
        <w:rPr>
          <w:rFonts w:eastAsia="Times New Roman"/>
          <w:b/>
          <w:bCs/>
          <w:sz w:val="22"/>
          <w:szCs w:val="22"/>
          <w:lang w:val="en-IN" w:eastAsia="en-IN"/>
        </w:rPr>
      </w:pPr>
      <w:r w:rsidRPr="00A673E5">
        <w:rPr>
          <w:rFonts w:eastAsia="Times New Roman"/>
          <w:b/>
          <w:bCs/>
          <w:sz w:val="22"/>
          <w:szCs w:val="22"/>
          <w:lang w:val="en-IN" w:eastAsia="en-IN"/>
        </w:rPr>
        <w:t>Observation 1</w:t>
      </w:r>
      <w:r>
        <w:rPr>
          <w:rFonts w:eastAsia="Times New Roman"/>
          <w:b/>
          <w:bCs/>
          <w:sz w:val="22"/>
          <w:szCs w:val="22"/>
          <w:lang w:val="en-IN" w:eastAsia="en-IN"/>
        </w:rPr>
        <w:t>6</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the FR1 Urban Micro scenario with a medium-area BS and 10% grid shift, the existing in-band blocking requirement of -38 dBm should be increased.</w:t>
      </w:r>
    </w:p>
    <w:p w14:paraId="412CA39C" w14:textId="77777777" w:rsidR="007B5E82" w:rsidRPr="00A673E5" w:rsidRDefault="007B5E82" w:rsidP="007B5E82">
      <w:pPr>
        <w:jc w:val="both"/>
        <w:rPr>
          <w:rFonts w:eastAsia="Times New Roman"/>
          <w:b/>
          <w:bCs/>
          <w:sz w:val="22"/>
          <w:szCs w:val="22"/>
          <w:lang w:val="en-IN" w:eastAsia="en-IN"/>
        </w:rPr>
      </w:pPr>
    </w:p>
    <w:p w14:paraId="688D6F7C" w14:textId="77777777" w:rsidR="007B5E82" w:rsidRDefault="007B5E82" w:rsidP="007B5E82">
      <w:pPr>
        <w:jc w:val="both"/>
        <w:rPr>
          <w:rFonts w:eastAsia="Times New Roman"/>
          <w:b/>
          <w:bCs/>
          <w:sz w:val="22"/>
          <w:szCs w:val="22"/>
          <w:lang w:val="en-IN" w:eastAsia="en-IN"/>
        </w:rPr>
      </w:pPr>
      <w:r w:rsidRPr="00A673E5">
        <w:rPr>
          <w:rFonts w:eastAsia="Times New Roman"/>
          <w:b/>
          <w:bCs/>
          <w:sz w:val="22"/>
          <w:szCs w:val="22"/>
          <w:lang w:val="en-IN" w:eastAsia="en-IN"/>
        </w:rPr>
        <w:t xml:space="preserve">Observation </w:t>
      </w:r>
      <w:r>
        <w:rPr>
          <w:rFonts w:eastAsia="Times New Roman"/>
          <w:b/>
          <w:bCs/>
          <w:sz w:val="22"/>
          <w:szCs w:val="22"/>
          <w:lang w:val="en-IN" w:eastAsia="en-IN"/>
        </w:rPr>
        <w:t>17</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For both the FR1 Urban Macro and FR1 Urban Micro scenarios with 10% grid shift, the in-band blocking power requirement is significantly reduced for the Reduced Blocker Model when using the additional analog filters as proposed.</w:t>
      </w:r>
    </w:p>
    <w:p w14:paraId="14FAE3C2" w14:textId="77777777" w:rsidR="007B5E82" w:rsidRDefault="007B5E82" w:rsidP="007B5E82">
      <w:pPr>
        <w:jc w:val="both"/>
        <w:rPr>
          <w:rFonts w:eastAsia="Times New Roman"/>
          <w:b/>
          <w:bCs/>
          <w:sz w:val="22"/>
          <w:szCs w:val="22"/>
          <w:lang w:val="en-IN" w:eastAsia="en-IN"/>
        </w:rPr>
      </w:pPr>
    </w:p>
    <w:p w14:paraId="780038AE" w14:textId="77777777" w:rsidR="007B5E82" w:rsidRDefault="007B5E82" w:rsidP="007B5E82">
      <w:pPr>
        <w:jc w:val="both"/>
        <w:rPr>
          <w:b/>
          <w:bCs/>
          <w:sz w:val="22"/>
          <w:szCs w:val="22"/>
        </w:rPr>
      </w:pPr>
      <w:r w:rsidRPr="00647C00">
        <w:rPr>
          <w:b/>
          <w:bCs/>
          <w:sz w:val="22"/>
          <w:szCs w:val="22"/>
        </w:rPr>
        <w:t xml:space="preserve">Proposal </w:t>
      </w:r>
      <w:r>
        <w:rPr>
          <w:b/>
          <w:bCs/>
          <w:sz w:val="22"/>
          <w:szCs w:val="22"/>
        </w:rPr>
        <w:t>8</w:t>
      </w:r>
      <w:r w:rsidRPr="00647C00">
        <w:rPr>
          <w:sz w:val="22"/>
          <w:szCs w:val="22"/>
        </w:rPr>
        <w:t xml:space="preserve">: </w:t>
      </w:r>
      <w:r w:rsidRPr="003A21B3">
        <w:rPr>
          <w:b/>
          <w:bCs/>
          <w:sz w:val="22"/>
          <w:szCs w:val="22"/>
        </w:rPr>
        <w:t>For the FR1 Urban Micro scenario with 10% grid shifts, the existing in-band blocking requirement of -38 dBm should be increased for SBFD medium-area BSs to account for the elevated levels of in-band blocking power</w:t>
      </w:r>
      <w:r w:rsidRPr="00732AAD">
        <w:rPr>
          <w:b/>
          <w:bCs/>
          <w:sz w:val="22"/>
          <w:szCs w:val="22"/>
        </w:rPr>
        <w:t xml:space="preserve">. </w:t>
      </w:r>
    </w:p>
    <w:p w14:paraId="78270EB7" w14:textId="77777777" w:rsidR="007B5E82" w:rsidRPr="00AF534C" w:rsidRDefault="007B5E82" w:rsidP="00F95E2A">
      <w:pPr>
        <w:jc w:val="both"/>
        <w:rPr>
          <w:b/>
          <w:bCs/>
        </w:rPr>
      </w:pPr>
    </w:p>
    <w:p w14:paraId="1C092ADB" w14:textId="69A2B0B7" w:rsidR="00446A67" w:rsidRPr="008042A8" w:rsidRDefault="00446A67" w:rsidP="00446A67">
      <w:pPr>
        <w:pStyle w:val="Heading1"/>
        <w:rPr>
          <w:rFonts w:ascii="Times New Roman" w:hAnsi="Times New Roman"/>
          <w:b/>
          <w:bCs/>
        </w:rPr>
      </w:pPr>
      <w:r w:rsidRPr="008042A8">
        <w:rPr>
          <w:rFonts w:ascii="Times New Roman" w:hAnsi="Times New Roman"/>
          <w:b/>
          <w:bCs/>
        </w:rPr>
        <w:t>Referen</w:t>
      </w:r>
      <w:r w:rsidR="00E37799" w:rsidRPr="008042A8">
        <w:rPr>
          <w:rFonts w:ascii="Times New Roman" w:hAnsi="Times New Roman"/>
          <w:b/>
          <w:bCs/>
        </w:rPr>
        <w:t>ce</w:t>
      </w:r>
    </w:p>
    <w:p w14:paraId="026888EB" w14:textId="1EA6398A" w:rsidR="00767DF1" w:rsidRPr="00767DF1" w:rsidRDefault="00F23DEB" w:rsidP="00767DF1">
      <w:pPr>
        <w:pStyle w:val="ListParagraph"/>
        <w:numPr>
          <w:ilvl w:val="0"/>
          <w:numId w:val="1"/>
        </w:numPr>
        <w:spacing w:after="120"/>
        <w:rPr>
          <w:rFonts w:ascii="Times New Roman" w:eastAsia="tim" w:hAnsi="Times New Roman"/>
          <w:color w:val="000000" w:themeColor="text1"/>
          <w:lang w:val="en-GB"/>
        </w:rPr>
      </w:pPr>
      <w:r w:rsidRPr="00F23DEB">
        <w:rPr>
          <w:rFonts w:ascii="Times New Roman" w:eastAsia="tim" w:hAnsi="Times New Roman"/>
          <w:color w:val="000000" w:themeColor="text1"/>
          <w:lang w:val="en-GB"/>
        </w:rPr>
        <w:t>R4-2502380 Way Forward for [114][307] NR_duplex_evo_BSRF</w:t>
      </w:r>
    </w:p>
    <w:p w14:paraId="1C52B45E" w14:textId="497E03E7" w:rsidR="000A29E1" w:rsidRPr="00767DF1" w:rsidRDefault="656D31DE" w:rsidP="00767DF1">
      <w:pPr>
        <w:pStyle w:val="ListParagraph"/>
        <w:numPr>
          <w:ilvl w:val="0"/>
          <w:numId w:val="1"/>
        </w:numPr>
        <w:spacing w:after="120"/>
        <w:rPr>
          <w:rFonts w:ascii="Times New Roman" w:eastAsia="tim" w:hAnsi="Times New Roman"/>
          <w:color w:val="000000" w:themeColor="text1"/>
          <w:lang w:val="en-GB"/>
        </w:rPr>
      </w:pPr>
      <w:r w:rsidRPr="00767DF1">
        <w:rPr>
          <w:rFonts w:ascii="Times New Roman" w:hAnsi="Times New Roman"/>
          <w:lang w:val="en-GB"/>
        </w:rPr>
        <w:t>TR 38.858, “Study on evolution of NR duplex operation</w:t>
      </w:r>
      <w:r w:rsidR="46137A16" w:rsidRPr="00767DF1">
        <w:rPr>
          <w:rFonts w:ascii="Times New Roman" w:hAnsi="Times New Roman"/>
          <w:lang w:val="en-GB"/>
        </w:rPr>
        <w:t>,”</w:t>
      </w:r>
      <w:r w:rsidRPr="00767DF1">
        <w:rPr>
          <w:rFonts w:ascii="Times New Roman" w:hAnsi="Times New Roman"/>
          <w:lang w:val="en-GB"/>
        </w:rPr>
        <w:t xml:space="preserve"> 3GPP. </w:t>
      </w:r>
    </w:p>
    <w:p w14:paraId="6CBD6C24" w14:textId="4753EF37" w:rsidR="000A29E1" w:rsidRPr="00767DF1" w:rsidRDefault="000A29E1" w:rsidP="00A51D28">
      <w:pPr>
        <w:pStyle w:val="ListParagraph"/>
        <w:numPr>
          <w:ilvl w:val="0"/>
          <w:numId w:val="1"/>
        </w:numPr>
        <w:suppressAutoHyphens/>
        <w:spacing w:after="120"/>
        <w:rPr>
          <w:rFonts w:ascii="Times New Roman" w:eastAsia="SimSun" w:hAnsi="Times New Roman"/>
          <w:color w:val="000000" w:themeColor="text1"/>
        </w:rPr>
      </w:pPr>
      <w:r w:rsidRPr="00767DF1">
        <w:rPr>
          <w:rFonts w:ascii="Times New Roman" w:eastAsia="SimSun" w:hAnsi="Times New Roman"/>
          <w:color w:val="000000" w:themeColor="text1"/>
        </w:rPr>
        <w:t>R1-</w:t>
      </w:r>
      <w:r w:rsidRPr="00767DF1">
        <w:rPr>
          <w:rFonts w:ascii="Times New Roman" w:eastAsia="Times New Roman" w:hAnsi="Times New Roman"/>
          <w:color w:val="000000" w:themeColor="text1"/>
        </w:rPr>
        <w:t>2403894</w:t>
      </w:r>
      <w:r w:rsidRPr="00767DF1">
        <w:rPr>
          <w:rFonts w:ascii="Times New Roman" w:eastAsia="SimSun" w:hAnsi="Times New Roman"/>
          <w:color w:val="000000" w:themeColor="text1"/>
        </w:rPr>
        <w:t>, Discussion on gNB-gNB CLI handling, Tejas Networks Ltd.</w:t>
      </w:r>
      <w:bookmarkEnd w:id="5"/>
    </w:p>
    <w:p w14:paraId="0044479A" w14:textId="57A5536B" w:rsidR="00B647C9" w:rsidRDefault="00B647C9" w:rsidP="00A51D28">
      <w:pPr>
        <w:pStyle w:val="ListParagraph"/>
        <w:numPr>
          <w:ilvl w:val="0"/>
          <w:numId w:val="1"/>
        </w:numPr>
        <w:suppressAutoHyphens/>
        <w:spacing w:after="120"/>
        <w:rPr>
          <w:rFonts w:ascii="Times New Roman" w:eastAsia="SimSun" w:hAnsi="Times New Roman"/>
          <w:color w:val="000000" w:themeColor="text1"/>
        </w:rPr>
      </w:pPr>
      <w:r w:rsidRPr="00767DF1">
        <w:rPr>
          <w:rFonts w:ascii="Times New Roman" w:eastAsia="SimSun" w:hAnsi="Times New Roman"/>
          <w:color w:val="000000" w:themeColor="text1"/>
        </w:rPr>
        <w:t>R4-2415046</w:t>
      </w:r>
      <w:r w:rsidR="00384DFA" w:rsidRPr="00767DF1">
        <w:rPr>
          <w:rFonts w:ascii="Times New Roman" w:eastAsia="SimSun" w:hAnsi="Times New Roman"/>
          <w:color w:val="000000" w:themeColor="text1"/>
        </w:rPr>
        <w:t>, Views on modification of existing Rx requirements for SBFD, Tejas Networks Ltd.</w:t>
      </w:r>
    </w:p>
    <w:p w14:paraId="7C7E0908" w14:textId="6868F001" w:rsidR="004D47E6" w:rsidRPr="00767DF1" w:rsidRDefault="004D47E6" w:rsidP="00A51D28">
      <w:pPr>
        <w:pStyle w:val="ListParagraph"/>
        <w:numPr>
          <w:ilvl w:val="0"/>
          <w:numId w:val="1"/>
        </w:numPr>
        <w:suppressAutoHyphens/>
        <w:spacing w:after="120"/>
        <w:rPr>
          <w:rFonts w:ascii="Times New Roman" w:eastAsia="SimSun" w:hAnsi="Times New Roman"/>
          <w:color w:val="000000" w:themeColor="text1"/>
        </w:rPr>
      </w:pPr>
      <w:r w:rsidRPr="004D47E6">
        <w:rPr>
          <w:rFonts w:ascii="Times New Roman" w:eastAsia="SimSun" w:hAnsi="Times New Roman"/>
          <w:color w:val="000000" w:themeColor="text1"/>
        </w:rPr>
        <w:t>R4-2417789</w:t>
      </w:r>
      <w:r>
        <w:rPr>
          <w:rFonts w:ascii="Times New Roman" w:eastAsia="SimSun" w:hAnsi="Times New Roman"/>
          <w:color w:val="000000" w:themeColor="text1"/>
        </w:rPr>
        <w:t xml:space="preserve">, </w:t>
      </w:r>
      <w:r w:rsidRPr="004D47E6">
        <w:rPr>
          <w:rFonts w:ascii="Times New Roman" w:eastAsia="SimSun" w:hAnsi="Times New Roman"/>
          <w:color w:val="000000" w:themeColor="text1"/>
        </w:rPr>
        <w:t>Views on modification of existing Rx requirements for SBFD</w:t>
      </w:r>
      <w:r w:rsidR="007B5E82">
        <w:rPr>
          <w:rFonts w:ascii="Times New Roman" w:eastAsia="SimSun" w:hAnsi="Times New Roman"/>
          <w:color w:val="000000" w:themeColor="text1"/>
        </w:rPr>
        <w:t>,</w:t>
      </w:r>
      <w:r w:rsidR="007B5E82" w:rsidRPr="007B5E82">
        <w:rPr>
          <w:rFonts w:ascii="Times New Roman" w:eastAsia="SimSun" w:hAnsi="Times New Roman"/>
          <w:color w:val="000000" w:themeColor="text1"/>
        </w:rPr>
        <w:t xml:space="preserve"> </w:t>
      </w:r>
      <w:r w:rsidR="007B5E82" w:rsidRPr="00767DF1">
        <w:rPr>
          <w:rFonts w:ascii="Times New Roman" w:eastAsia="SimSun" w:hAnsi="Times New Roman"/>
          <w:color w:val="000000" w:themeColor="text1"/>
        </w:rPr>
        <w:t>Tejas Networks Ltd.</w:t>
      </w:r>
    </w:p>
    <w:sectPr w:rsidR="004D47E6" w:rsidRPr="00767D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DB39" w14:textId="77777777" w:rsidR="00944312" w:rsidRDefault="00944312" w:rsidP="00535554">
      <w:r>
        <w:separator/>
      </w:r>
    </w:p>
  </w:endnote>
  <w:endnote w:type="continuationSeparator" w:id="0">
    <w:p w14:paraId="2F0D7D2D" w14:textId="77777777" w:rsidR="00944312" w:rsidRDefault="00944312" w:rsidP="00535554">
      <w:r>
        <w:continuationSeparator/>
      </w:r>
    </w:p>
  </w:endnote>
  <w:endnote w:type="continuationNotice" w:id="1">
    <w:p w14:paraId="01357C0C" w14:textId="77777777" w:rsidR="00944312" w:rsidRDefault="00944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811C" w14:textId="77777777" w:rsidR="00944312" w:rsidRDefault="00944312" w:rsidP="00535554">
      <w:r>
        <w:separator/>
      </w:r>
    </w:p>
  </w:footnote>
  <w:footnote w:type="continuationSeparator" w:id="0">
    <w:p w14:paraId="59BE1C83" w14:textId="77777777" w:rsidR="00944312" w:rsidRDefault="00944312" w:rsidP="00535554">
      <w:r>
        <w:continuationSeparator/>
      </w:r>
    </w:p>
  </w:footnote>
  <w:footnote w:type="continuationNotice" w:id="1">
    <w:p w14:paraId="005AB343" w14:textId="77777777" w:rsidR="00944312" w:rsidRDefault="00944312"/>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WG0WrHam" int2:invalidationBookmarkName="" int2:hashCode="sJ0IuCSomVftAu" int2:id="AkjY5SYj">
      <int2:state int2:type="AugLoop_Text_Critique" int2:value="Rejected"/>
    </int2:bookmark>
    <int2:bookmark int2:bookmarkName="_Int_hKLRLDOM" int2:invalidationBookmarkName="" int2:hashCode="CVXdgYIGpA6JEB" int2:id="48YLU1Ms">
      <int2:state int2:type="AugLoop_Text_Critique" int2:value="Rejected"/>
    </int2:bookmark>
    <int2:bookmark int2:bookmarkName="_Int_TXik7csr" int2:invalidationBookmarkName="" int2:hashCode="P3rqxhR7QBTNMW" int2:id="nmRgqnQX">
      <int2:state int2:type="AugLoop_Text_Critique" int2:value="Rejected"/>
    </int2:bookmark>
    <int2:bookmark int2:bookmarkName="_Int_y82Ws820" int2:invalidationBookmarkName="" int2:hashCode="Bb0TfYRQnF3yLR" int2:id="Zokrsjfs">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3918DED4"/>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3"/>
  </w:num>
  <w:num w:numId="2">
    <w:abstractNumId w:val="5"/>
  </w:num>
  <w:num w:numId="3">
    <w:abstractNumId w:val="1"/>
  </w:num>
  <w:num w:numId="4">
    <w:abstractNumId w:val="21"/>
  </w:num>
  <w:num w:numId="5">
    <w:abstractNumId w:val="12"/>
  </w:num>
  <w:num w:numId="6">
    <w:abstractNumId w:val="22"/>
  </w:num>
  <w:num w:numId="7">
    <w:abstractNumId w:val="7"/>
  </w:num>
  <w:num w:numId="8">
    <w:abstractNumId w:val="8"/>
  </w:num>
  <w:num w:numId="9">
    <w:abstractNumId w:val="6"/>
  </w:num>
  <w:num w:numId="10">
    <w:abstractNumId w:val="2"/>
  </w:num>
  <w:num w:numId="11">
    <w:abstractNumId w:val="22"/>
  </w:num>
  <w:num w:numId="12">
    <w:abstractNumId w:val="4"/>
  </w:num>
  <w:num w:numId="13">
    <w:abstractNumId w:val="1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5"/>
  </w:num>
  <w:num w:numId="22">
    <w:abstractNumId w:val="16"/>
  </w:num>
  <w:num w:numId="23">
    <w:abstractNumId w:val="5"/>
  </w:num>
  <w:num w:numId="24">
    <w:abstractNumId w:val="5"/>
  </w:num>
  <w:num w:numId="25">
    <w:abstractNumId w:val="5"/>
  </w:num>
  <w:num w:numId="26">
    <w:abstractNumId w:val="5"/>
  </w:num>
  <w:num w:numId="27">
    <w:abstractNumId w:val="9"/>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D75"/>
    <w:rsid w:val="000B7245"/>
    <w:rsid w:val="000B7576"/>
    <w:rsid w:val="000C0258"/>
    <w:rsid w:val="000C0C68"/>
    <w:rsid w:val="000C1000"/>
    <w:rsid w:val="000C17E2"/>
    <w:rsid w:val="000C1FB5"/>
    <w:rsid w:val="000C208D"/>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F03"/>
    <w:rsid w:val="00232399"/>
    <w:rsid w:val="00232815"/>
    <w:rsid w:val="00232DC0"/>
    <w:rsid w:val="002330DB"/>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232"/>
    <w:rsid w:val="00277AA2"/>
    <w:rsid w:val="00277AF4"/>
    <w:rsid w:val="00277D11"/>
    <w:rsid w:val="002802FF"/>
    <w:rsid w:val="002824EF"/>
    <w:rsid w:val="00282D00"/>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5239"/>
    <w:rsid w:val="00315786"/>
    <w:rsid w:val="00315CD0"/>
    <w:rsid w:val="00316518"/>
    <w:rsid w:val="003171C8"/>
    <w:rsid w:val="00317E1F"/>
    <w:rsid w:val="0032013F"/>
    <w:rsid w:val="0032053D"/>
    <w:rsid w:val="0032065C"/>
    <w:rsid w:val="00320F1F"/>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ADB"/>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A00E9"/>
    <w:rsid w:val="004A01E0"/>
    <w:rsid w:val="004A0A8D"/>
    <w:rsid w:val="004A0C24"/>
    <w:rsid w:val="004A1771"/>
    <w:rsid w:val="004A193A"/>
    <w:rsid w:val="004A1E46"/>
    <w:rsid w:val="004A21B4"/>
    <w:rsid w:val="004A250D"/>
    <w:rsid w:val="004A2CD3"/>
    <w:rsid w:val="004A3497"/>
    <w:rsid w:val="004A3CC6"/>
    <w:rsid w:val="004A3F1A"/>
    <w:rsid w:val="004A5159"/>
    <w:rsid w:val="004A58E4"/>
    <w:rsid w:val="004A5A70"/>
    <w:rsid w:val="004A5DB1"/>
    <w:rsid w:val="004A5EE2"/>
    <w:rsid w:val="004A7811"/>
    <w:rsid w:val="004A79BC"/>
    <w:rsid w:val="004A7E5B"/>
    <w:rsid w:val="004B0E0C"/>
    <w:rsid w:val="004B16F2"/>
    <w:rsid w:val="004B1920"/>
    <w:rsid w:val="004B1E93"/>
    <w:rsid w:val="004B2281"/>
    <w:rsid w:val="004B266C"/>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7E6"/>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507B7"/>
    <w:rsid w:val="00550B15"/>
    <w:rsid w:val="00550BFE"/>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34FE"/>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7C85"/>
    <w:rsid w:val="005C00E4"/>
    <w:rsid w:val="005C1BEC"/>
    <w:rsid w:val="005C1EED"/>
    <w:rsid w:val="005C233E"/>
    <w:rsid w:val="005C2464"/>
    <w:rsid w:val="005C2A30"/>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821"/>
    <w:rsid w:val="006B6B98"/>
    <w:rsid w:val="006B6D60"/>
    <w:rsid w:val="006B6E6D"/>
    <w:rsid w:val="006B6F71"/>
    <w:rsid w:val="006B6FD5"/>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E39"/>
    <w:rsid w:val="007472AE"/>
    <w:rsid w:val="00747586"/>
    <w:rsid w:val="00747775"/>
    <w:rsid w:val="007477A5"/>
    <w:rsid w:val="00747841"/>
    <w:rsid w:val="00747AC6"/>
    <w:rsid w:val="00747B02"/>
    <w:rsid w:val="00747D6A"/>
    <w:rsid w:val="00747E45"/>
    <w:rsid w:val="00747F9E"/>
    <w:rsid w:val="00750A6F"/>
    <w:rsid w:val="00751A33"/>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F045D"/>
    <w:rsid w:val="007F04A8"/>
    <w:rsid w:val="007F0849"/>
    <w:rsid w:val="007F0D84"/>
    <w:rsid w:val="007F144B"/>
    <w:rsid w:val="007F2468"/>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BE3"/>
    <w:rsid w:val="00845EC4"/>
    <w:rsid w:val="00845FC3"/>
    <w:rsid w:val="008475F3"/>
    <w:rsid w:val="00847D95"/>
    <w:rsid w:val="00847FB3"/>
    <w:rsid w:val="008506BE"/>
    <w:rsid w:val="008508CE"/>
    <w:rsid w:val="00850D9D"/>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E06"/>
    <w:rsid w:val="00866838"/>
    <w:rsid w:val="00867357"/>
    <w:rsid w:val="0086738E"/>
    <w:rsid w:val="008675A5"/>
    <w:rsid w:val="00870439"/>
    <w:rsid w:val="008711FE"/>
    <w:rsid w:val="0087181A"/>
    <w:rsid w:val="008718B7"/>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EFD"/>
    <w:rsid w:val="00883F35"/>
    <w:rsid w:val="008841D5"/>
    <w:rsid w:val="00884F70"/>
    <w:rsid w:val="008859FA"/>
    <w:rsid w:val="00885B3B"/>
    <w:rsid w:val="00886132"/>
    <w:rsid w:val="008870A0"/>
    <w:rsid w:val="008875CB"/>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7319"/>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46B0"/>
    <w:rsid w:val="00924E81"/>
    <w:rsid w:val="00925B26"/>
    <w:rsid w:val="00925BEA"/>
    <w:rsid w:val="0092610C"/>
    <w:rsid w:val="009262B6"/>
    <w:rsid w:val="009266B1"/>
    <w:rsid w:val="00926FB1"/>
    <w:rsid w:val="009274FB"/>
    <w:rsid w:val="00927CBA"/>
    <w:rsid w:val="00927D79"/>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7509"/>
    <w:rsid w:val="009379D8"/>
    <w:rsid w:val="009423BB"/>
    <w:rsid w:val="00942C49"/>
    <w:rsid w:val="0094327F"/>
    <w:rsid w:val="00944312"/>
    <w:rsid w:val="00944351"/>
    <w:rsid w:val="0094446C"/>
    <w:rsid w:val="0094483D"/>
    <w:rsid w:val="0094502F"/>
    <w:rsid w:val="00945230"/>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20A69"/>
    <w:rsid w:val="00A20F0E"/>
    <w:rsid w:val="00A2186A"/>
    <w:rsid w:val="00A22097"/>
    <w:rsid w:val="00A220AA"/>
    <w:rsid w:val="00A220F3"/>
    <w:rsid w:val="00A2214A"/>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22C8"/>
    <w:rsid w:val="00A5277A"/>
    <w:rsid w:val="00A535C5"/>
    <w:rsid w:val="00A53D65"/>
    <w:rsid w:val="00A54057"/>
    <w:rsid w:val="00A54647"/>
    <w:rsid w:val="00A546FE"/>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C05"/>
    <w:rsid w:val="00B14C2C"/>
    <w:rsid w:val="00B14EA8"/>
    <w:rsid w:val="00B15298"/>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C06B5"/>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1FD1"/>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5BBA"/>
    <w:rsid w:val="00C35C59"/>
    <w:rsid w:val="00C35E1C"/>
    <w:rsid w:val="00C3624A"/>
    <w:rsid w:val="00C36D90"/>
    <w:rsid w:val="00C36FFE"/>
    <w:rsid w:val="00C373B5"/>
    <w:rsid w:val="00C37551"/>
    <w:rsid w:val="00C37A98"/>
    <w:rsid w:val="00C37C11"/>
    <w:rsid w:val="00C37E2C"/>
    <w:rsid w:val="00C37F78"/>
    <w:rsid w:val="00C408CA"/>
    <w:rsid w:val="00C41B4E"/>
    <w:rsid w:val="00C422DE"/>
    <w:rsid w:val="00C4259F"/>
    <w:rsid w:val="00C4284D"/>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23CF"/>
    <w:rsid w:val="00DC2A72"/>
    <w:rsid w:val="00DC3D91"/>
    <w:rsid w:val="00DC41BF"/>
    <w:rsid w:val="00DC4FD5"/>
    <w:rsid w:val="00DC5191"/>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B36"/>
    <w:rsid w:val="00E700A7"/>
    <w:rsid w:val="00E7045C"/>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432"/>
    <w:rsid w:val="00EB563D"/>
    <w:rsid w:val="00EB595A"/>
    <w:rsid w:val="00EB5DC1"/>
    <w:rsid w:val="00EB6324"/>
    <w:rsid w:val="00EB6342"/>
    <w:rsid w:val="00EB64AE"/>
    <w:rsid w:val="00EB67AB"/>
    <w:rsid w:val="00EB6D46"/>
    <w:rsid w:val="00EB746E"/>
    <w:rsid w:val="00EB74ED"/>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773"/>
    <w:rsid w:val="00F10847"/>
    <w:rsid w:val="00F10CDF"/>
    <w:rsid w:val="00F11510"/>
    <w:rsid w:val="00F11B13"/>
    <w:rsid w:val="00F11F1F"/>
    <w:rsid w:val="00F11FD9"/>
    <w:rsid w:val="00F12A15"/>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numbering" Target="numbering.xm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EE5D8056-8475-4351-BFC4-BD2E649CD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4536</Words>
  <Characters>25861</Characters>
  <Application>Microsoft Office Word</Application>
  <DocSecurity>0</DocSecurity>
  <Lines>215</Lines>
  <Paragraphs>60</Paragraphs>
  <ScaleCrop>false</ScaleCrop>
  <Company>Tejas Networks Ltd.</Company>
  <LinksUpToDate>false</LinksUpToDate>
  <CharactersWithSpaces>30337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732</cp:revision>
  <cp:lastPrinted>2024-09-30T13:27:00Z</cp:lastPrinted>
  <dcterms:created xsi:type="dcterms:W3CDTF">2024-07-25T23:24:00Z</dcterms:created>
  <dcterms:modified xsi:type="dcterms:W3CDTF">2025-03-28T10:42:00Z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