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4A0F2F" w14:textId="4C97CB52" w:rsidR="007C0680" w:rsidRPr="007C0680" w:rsidRDefault="007C0680" w:rsidP="007C0680">
      <w:pPr>
        <w:tabs>
          <w:tab w:val="left" w:pos="1980"/>
        </w:tabs>
        <w:spacing w:after="180"/>
        <w:ind w:left="1980" w:hanging="1980"/>
        <w:rPr>
          <w:rFonts w:ascii="Arial" w:eastAsia="MS Mincho" w:hAnsi="Arial" w:cs="Arial"/>
          <w:b/>
          <w:sz w:val="24"/>
          <w:szCs w:val="24"/>
          <w:lang w:eastAsia="en-US"/>
        </w:rPr>
      </w:pPr>
      <w:r w:rsidRPr="007C0680">
        <w:rPr>
          <w:rFonts w:ascii="Arial" w:eastAsia="MS Mincho" w:hAnsi="Arial" w:cs="Arial"/>
          <w:b/>
          <w:sz w:val="24"/>
          <w:szCs w:val="24"/>
          <w:lang w:eastAsia="en-US"/>
        </w:rPr>
        <w:t>3GPP TSG-RAN4 Meeting #107</w:t>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r>
      <w:r w:rsidRPr="007C0680">
        <w:rPr>
          <w:rFonts w:ascii="Arial" w:eastAsia="MS Mincho" w:hAnsi="Arial" w:cs="Arial"/>
          <w:b/>
          <w:sz w:val="24"/>
          <w:szCs w:val="24"/>
          <w:lang w:eastAsia="en-US"/>
        </w:rPr>
        <w:tab/>
        <w:t>R4-2308204</w:t>
      </w:r>
    </w:p>
    <w:p w14:paraId="61C46C5A" w14:textId="60354F12" w:rsidR="004E3E65" w:rsidRPr="00F852CC" w:rsidRDefault="007C0680" w:rsidP="007C0680">
      <w:pPr>
        <w:tabs>
          <w:tab w:val="left" w:pos="1980"/>
        </w:tabs>
        <w:spacing w:after="180"/>
        <w:ind w:left="1980" w:hanging="1980"/>
        <w:rPr>
          <w:rFonts w:ascii="Arial" w:eastAsia="MS Mincho" w:hAnsi="Arial" w:cs="Arial"/>
          <w:b/>
          <w:sz w:val="24"/>
          <w:szCs w:val="24"/>
          <w:lang w:eastAsia="en-US"/>
        </w:rPr>
      </w:pPr>
      <w:r w:rsidRPr="007C0680">
        <w:rPr>
          <w:rFonts w:ascii="Arial" w:eastAsia="MS Mincho" w:hAnsi="Arial" w:cs="Arial"/>
          <w:b/>
          <w:sz w:val="24"/>
          <w:szCs w:val="24"/>
          <w:lang w:eastAsia="en-US"/>
        </w:rPr>
        <w:t>Incheon, Korea (Republic Of), 22nd May 2023 - 26th May 2023</w:t>
      </w:r>
    </w:p>
    <w:p w14:paraId="544E0D55" w14:textId="51EF6A6D"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Agenda item:</w:t>
      </w:r>
      <w:r w:rsidRPr="00F852CC">
        <w:rPr>
          <w:rFonts w:ascii="Arial" w:eastAsia="MS Mincho" w:hAnsi="Arial" w:cs="Arial"/>
          <w:b/>
          <w:sz w:val="24"/>
          <w:szCs w:val="24"/>
          <w:lang w:eastAsia="en-US"/>
        </w:rPr>
        <w:tab/>
      </w:r>
      <w:r w:rsidR="007C0680">
        <w:rPr>
          <w:rFonts w:ascii="Arial" w:eastAsia="MS Mincho" w:hAnsi="Arial" w:cs="Arial"/>
          <w:b/>
          <w:sz w:val="24"/>
          <w:szCs w:val="24"/>
          <w:lang w:eastAsia="en-US"/>
        </w:rPr>
        <w:t>8.29.1.1</w:t>
      </w:r>
    </w:p>
    <w:p w14:paraId="516263DF"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Source: </w:t>
      </w:r>
      <w:r w:rsidRPr="00F852CC">
        <w:rPr>
          <w:rFonts w:ascii="Arial" w:eastAsia="MS Mincho" w:hAnsi="Arial" w:cs="Arial"/>
          <w:b/>
          <w:sz w:val="24"/>
          <w:szCs w:val="24"/>
          <w:lang w:eastAsia="en-US"/>
        </w:rPr>
        <w:tab/>
        <w:t>CMCC</w:t>
      </w:r>
    </w:p>
    <w:p w14:paraId="469E54BA" w14:textId="56D6F972"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Title: </w:t>
      </w:r>
      <w:r w:rsidRPr="00F852CC">
        <w:rPr>
          <w:rFonts w:ascii="Arial" w:eastAsia="MS Mincho" w:hAnsi="Arial" w:cs="Arial"/>
          <w:b/>
          <w:sz w:val="24"/>
          <w:szCs w:val="24"/>
          <w:lang w:eastAsia="en-US"/>
        </w:rPr>
        <w:tab/>
      </w:r>
      <w:r>
        <w:rPr>
          <w:rFonts w:ascii="Arial" w:eastAsia="MS Mincho" w:hAnsi="Arial" w:cs="Arial"/>
          <w:b/>
          <w:sz w:val="24"/>
          <w:szCs w:val="24"/>
          <w:lang w:eastAsia="en-US"/>
        </w:rPr>
        <w:t xml:space="preserve">Discussion on </w:t>
      </w:r>
      <w:r w:rsidR="00A61390" w:rsidRPr="00A61390">
        <w:rPr>
          <w:rFonts w:ascii="Arial" w:eastAsia="MS Mincho" w:hAnsi="Arial" w:cs="Arial" w:hint="eastAsia"/>
          <w:b/>
          <w:sz w:val="24"/>
          <w:szCs w:val="24"/>
          <w:lang w:eastAsia="en-US"/>
        </w:rPr>
        <w:t>NCR</w:t>
      </w:r>
      <w:r w:rsidR="00A61390">
        <w:rPr>
          <w:rFonts w:ascii="Arial" w:eastAsia="MS Mincho" w:hAnsi="Arial" w:cs="Arial"/>
          <w:b/>
          <w:sz w:val="24"/>
          <w:szCs w:val="24"/>
          <w:lang w:eastAsia="en-US"/>
        </w:rPr>
        <w:t xml:space="preserve"> </w:t>
      </w:r>
      <w:r w:rsidR="00AA5A07">
        <w:rPr>
          <w:rFonts w:ascii="Arial" w:eastAsia="MS Mincho" w:hAnsi="Arial" w:cs="Arial"/>
          <w:b/>
          <w:sz w:val="24"/>
          <w:szCs w:val="24"/>
          <w:lang w:eastAsia="en-US"/>
        </w:rPr>
        <w:t xml:space="preserve">MT </w:t>
      </w:r>
      <w:r w:rsidR="00DE0EF7" w:rsidRPr="00DE0EF7">
        <w:rPr>
          <w:rFonts w:ascii="Arial" w:eastAsia="MS Mincho" w:hAnsi="Arial" w:cs="Arial" w:hint="eastAsia"/>
          <w:b/>
          <w:sz w:val="24"/>
          <w:szCs w:val="24"/>
          <w:lang w:eastAsia="en-US"/>
        </w:rPr>
        <w:t>feature</w:t>
      </w:r>
      <w:r w:rsidR="00DE0EF7">
        <w:rPr>
          <w:rFonts w:ascii="Arial" w:eastAsia="MS Mincho" w:hAnsi="Arial" w:cs="Arial"/>
          <w:b/>
          <w:sz w:val="24"/>
          <w:szCs w:val="24"/>
          <w:lang w:eastAsia="en-US"/>
        </w:rPr>
        <w:t xml:space="preserve"> list</w:t>
      </w:r>
    </w:p>
    <w:p w14:paraId="432540EE"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Document for:</w:t>
      </w:r>
      <w:r w:rsidRPr="00F852CC">
        <w:rPr>
          <w:rFonts w:ascii="Arial" w:eastAsia="MS Mincho" w:hAnsi="Arial" w:cs="Arial"/>
          <w:b/>
          <w:sz w:val="24"/>
          <w:szCs w:val="24"/>
          <w:lang w:eastAsia="en-US"/>
        </w:rPr>
        <w:tab/>
        <w:t>Discussion</w:t>
      </w:r>
    </w:p>
    <w:p w14:paraId="0738D0B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1. Introduction</w:t>
      </w:r>
    </w:p>
    <w:p w14:paraId="29ACBA2E" w14:textId="510B96E1" w:rsidR="00F852CC" w:rsidRDefault="00727663" w:rsidP="007C461A">
      <w:pPr>
        <w:rPr>
          <w:rFonts w:ascii="Times New Roman" w:eastAsia="宋体" w:hAnsi="Times New Roman" w:cs="Times New Roman"/>
          <w:sz w:val="20"/>
        </w:rPr>
      </w:pPr>
      <w:r>
        <w:rPr>
          <w:rFonts w:ascii="Times New Roman" w:eastAsia="宋体" w:hAnsi="Times New Roman" w:cs="Times New Roman"/>
          <w:sz w:val="20"/>
        </w:rPr>
        <w:t xml:space="preserve">In last RAN4 meeting, a WF is approved [1]. </w:t>
      </w:r>
      <w:r w:rsidR="00F852CC" w:rsidRPr="00F852CC">
        <w:rPr>
          <w:rFonts w:ascii="Times New Roman" w:eastAsia="宋体" w:hAnsi="Times New Roman" w:cs="Times New Roman"/>
          <w:sz w:val="20"/>
        </w:rPr>
        <w:t xml:space="preserve">In this meeting, we focus on the </w:t>
      </w:r>
      <w:r w:rsidR="00C25EAC">
        <w:rPr>
          <w:rFonts w:ascii="Times New Roman" w:eastAsia="宋体" w:hAnsi="Times New Roman" w:cs="Times New Roman"/>
          <w:sz w:val="20"/>
        </w:rPr>
        <w:t xml:space="preserve">discussion of </w:t>
      </w:r>
      <w:r w:rsidR="00C25EAC" w:rsidRPr="003C13E7">
        <w:rPr>
          <w:rFonts w:ascii="Times New Roman" w:eastAsia="宋体" w:hAnsi="Times New Roman" w:cs="Times New Roman"/>
          <w:b/>
          <w:bCs/>
          <w:sz w:val="20"/>
        </w:rPr>
        <w:t>NCR</w:t>
      </w:r>
      <w:r w:rsidR="00E85E67" w:rsidRPr="003C13E7">
        <w:rPr>
          <w:rFonts w:ascii="Times New Roman" w:eastAsia="宋体" w:hAnsi="Times New Roman" w:cs="Times New Roman"/>
          <w:b/>
          <w:bCs/>
          <w:sz w:val="20"/>
        </w:rPr>
        <w:t xml:space="preserve"> </w:t>
      </w:r>
      <w:r w:rsidR="00B83BF2" w:rsidRPr="003C13E7">
        <w:rPr>
          <w:rFonts w:ascii="Times New Roman" w:eastAsia="宋体" w:hAnsi="Times New Roman" w:cs="Times New Roman"/>
          <w:b/>
          <w:bCs/>
          <w:sz w:val="20"/>
        </w:rPr>
        <w:t>RF feature list</w:t>
      </w:r>
      <w:r w:rsidR="00F852CC" w:rsidRPr="00F852CC">
        <w:rPr>
          <w:rFonts w:ascii="Times New Roman" w:eastAsia="宋体" w:hAnsi="Times New Roman" w:cs="Times New Roman"/>
          <w:sz w:val="20"/>
        </w:rPr>
        <w:t>.</w:t>
      </w:r>
    </w:p>
    <w:p w14:paraId="4608953E" w14:textId="77777777" w:rsidR="0094534F" w:rsidRDefault="0094534F" w:rsidP="0094534F">
      <w:pPr>
        <w:spacing w:after="120"/>
        <w:rPr>
          <w:rFonts w:ascii="Times New Roman" w:eastAsia="宋体" w:hAnsi="Times New Roman" w:cs="Times New Roman"/>
          <w:sz w:val="20"/>
        </w:rPr>
      </w:pPr>
      <w:r>
        <w:rPr>
          <w:rFonts w:ascii="Times New Roman" w:eastAsia="宋体" w:hAnsi="Times New Roman" w:cs="Times New Roman"/>
          <w:sz w:val="20"/>
        </w:rPr>
        <w:t>The agreement for NCR feature list is listed as below:</w:t>
      </w:r>
    </w:p>
    <w:tbl>
      <w:tblPr>
        <w:tblStyle w:val="TableGrid"/>
        <w:tblW w:w="14737" w:type="dxa"/>
        <w:tblLook w:val="04A0" w:firstRow="1" w:lastRow="0" w:firstColumn="1" w:lastColumn="0" w:noHBand="0" w:noVBand="1"/>
      </w:tblPr>
      <w:tblGrid>
        <w:gridCol w:w="14737"/>
      </w:tblGrid>
      <w:tr w:rsidR="0094534F" w14:paraId="7B79C711" w14:textId="77777777" w:rsidTr="00B83BF2">
        <w:tc>
          <w:tcPr>
            <w:tcW w:w="14737" w:type="dxa"/>
          </w:tcPr>
          <w:p w14:paraId="52524E5B" w14:textId="77777777" w:rsidR="0094534F" w:rsidRPr="00C212C6" w:rsidRDefault="0094534F" w:rsidP="0094534F">
            <w:pPr>
              <w:pStyle w:val="ListParagraph"/>
              <w:numPr>
                <w:ilvl w:val="0"/>
                <w:numId w:val="13"/>
              </w:numPr>
              <w:spacing w:after="120"/>
              <w:ind w:firstLineChars="0"/>
              <w:rPr>
                <w:rFonts w:ascii="Times New Roman" w:eastAsia="宋体" w:hAnsi="Times New Roman" w:cs="Times New Roman"/>
                <w:sz w:val="20"/>
              </w:rPr>
            </w:pPr>
            <w:r w:rsidRPr="00C212C6">
              <w:rPr>
                <w:rFonts w:ascii="Times New Roman" w:eastAsia="宋体" w:hAnsi="Times New Roman" w:cs="Times New Roman"/>
                <w:sz w:val="20"/>
              </w:rPr>
              <w:t>Further discuss NCR-MT feature list, FFS whether feature list required or not for NCR-fwd from RAN4 perspective</w:t>
            </w:r>
          </w:p>
          <w:p w14:paraId="3A94D9F1" w14:textId="77777777" w:rsidR="0094534F" w:rsidRPr="00C212C6" w:rsidRDefault="0094534F" w:rsidP="0094534F">
            <w:pPr>
              <w:pStyle w:val="ListParagraph"/>
              <w:numPr>
                <w:ilvl w:val="0"/>
                <w:numId w:val="13"/>
              </w:numPr>
              <w:spacing w:after="120"/>
              <w:ind w:firstLineChars="0"/>
              <w:rPr>
                <w:rFonts w:ascii="Times New Roman" w:eastAsia="宋体" w:hAnsi="Times New Roman" w:cs="Times New Roman"/>
                <w:sz w:val="20"/>
              </w:rPr>
            </w:pPr>
            <w:r w:rsidRPr="00C212C6">
              <w:rPr>
                <w:rFonts w:ascii="Times New Roman" w:eastAsia="宋体" w:hAnsi="Times New Roman" w:cs="Times New Roman"/>
                <w:sz w:val="20"/>
              </w:rPr>
              <w:t xml:space="preserve">to focus on the mandatory UE capability firstly and to check whether this is still applicable for NCR-MT and identify some features which are not applicable for NCR-MT; [for the rest of UE features, it should be optional for NCR-MT].  </w:t>
            </w:r>
          </w:p>
        </w:tc>
      </w:tr>
    </w:tbl>
    <w:p w14:paraId="626F302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 xml:space="preserve">2. </w:t>
      </w:r>
      <w:r w:rsidRPr="00F852CC">
        <w:rPr>
          <w:rFonts w:ascii="Arial" w:hAnsi="Arial" w:hint="eastAsia"/>
          <w:sz w:val="32"/>
          <w:szCs w:val="36"/>
        </w:rPr>
        <w:t>Discussion</w:t>
      </w:r>
    </w:p>
    <w:p w14:paraId="66440D0A" w14:textId="275D22B2" w:rsidR="00BB3EAC" w:rsidRDefault="00BB3EAC" w:rsidP="0017530A">
      <w:pPr>
        <w:pStyle w:val="Heading2"/>
      </w:pPr>
      <w:r w:rsidRPr="00BB3EAC">
        <w:t xml:space="preserve">2.1 </w:t>
      </w:r>
      <w:r w:rsidR="0094534F">
        <w:t>R15</w:t>
      </w:r>
      <w:r w:rsidR="00C0200C">
        <w:t xml:space="preserve"> feature list</w:t>
      </w:r>
    </w:p>
    <w:p w14:paraId="097AB006" w14:textId="29B2609F" w:rsidR="009101CF" w:rsidRPr="00202607" w:rsidRDefault="006F77FB" w:rsidP="009101CF">
      <w:pPr>
        <w:spacing w:before="120" w:after="120"/>
        <w:rPr>
          <w:rFonts w:ascii="Times New Roman" w:hAnsi="Times New Roman" w:cs="Times New Roman"/>
          <w:sz w:val="20"/>
          <w:szCs w:val="20"/>
        </w:rPr>
      </w:pPr>
      <w:r w:rsidRPr="00202607">
        <w:rPr>
          <w:rFonts w:ascii="Times New Roman" w:hAnsi="Times New Roman" w:cs="Times New Roman"/>
          <w:sz w:val="20"/>
          <w:szCs w:val="20"/>
        </w:rPr>
        <w:t xml:space="preserve">Following table list all the feature in TR 38.822 for R15 RF part. </w:t>
      </w:r>
      <w:r w:rsidR="00202607" w:rsidRPr="00202607">
        <w:rPr>
          <w:rFonts w:ascii="Times New Roman" w:hAnsi="Times New Roman" w:cs="Times New Roman"/>
          <w:sz w:val="20"/>
          <w:szCs w:val="20"/>
        </w:rPr>
        <w:t>We have following observations:</w:t>
      </w:r>
    </w:p>
    <w:p w14:paraId="5B04FFE2" w14:textId="6A9A7D98" w:rsidR="006F77FB" w:rsidRPr="00202607" w:rsidRDefault="009101CF" w:rsidP="009101CF">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 xml:space="preserve">Observation </w:t>
      </w:r>
      <w:r w:rsidR="00DD7DDF">
        <w:rPr>
          <w:rFonts w:ascii="Times New Roman" w:hAnsi="Times New Roman" w:cs="Times New Roman"/>
          <w:b/>
          <w:bCs/>
          <w:sz w:val="20"/>
          <w:szCs w:val="20"/>
        </w:rPr>
        <w:t>1</w:t>
      </w:r>
      <w:r w:rsidRPr="00202607">
        <w:rPr>
          <w:rFonts w:ascii="Times New Roman" w:hAnsi="Times New Roman" w:cs="Times New Roman"/>
          <w:b/>
          <w:bCs/>
          <w:sz w:val="20"/>
          <w:szCs w:val="20"/>
        </w:rPr>
        <w:t>: summary of all R1</w:t>
      </w:r>
      <w:r w:rsidR="00DD7DDF">
        <w:rPr>
          <w:rFonts w:ascii="Times New Roman" w:hAnsi="Times New Roman" w:cs="Times New Roman"/>
          <w:b/>
          <w:bCs/>
          <w:sz w:val="20"/>
          <w:szCs w:val="20"/>
        </w:rPr>
        <w:t>5</w:t>
      </w:r>
      <w:r w:rsidRPr="00202607">
        <w:rPr>
          <w:rFonts w:ascii="Times New Roman" w:hAnsi="Times New Roman" w:cs="Times New Roman"/>
          <w:b/>
          <w:bCs/>
          <w:sz w:val="20"/>
          <w:szCs w:val="20"/>
        </w:rPr>
        <w:t xml:space="preserve"> UE features:</w:t>
      </w:r>
    </w:p>
    <w:p w14:paraId="60924E7D" w14:textId="37A60920" w:rsidR="006F77FB" w:rsidRPr="00202607" w:rsidRDefault="006F77FB" w:rsidP="009101CF">
      <w:pPr>
        <w:pStyle w:val="ListParagraph"/>
        <w:numPr>
          <w:ilvl w:val="0"/>
          <w:numId w:val="19"/>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Following are mandatory feature without capability signaling</w:t>
      </w:r>
    </w:p>
    <w:p w14:paraId="4D72E599" w14:textId="1179A0D1" w:rsidR="008C0229" w:rsidRPr="00202607" w:rsidRDefault="008C0229"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64 QAM, 256 QAM and pi/2-BPSK related, i.e. index 1-2, 1-3, 1-4, 1-6, 1-7</w:t>
      </w:r>
    </w:p>
    <w:p w14:paraId="7F11DAFF" w14:textId="0F2BD9F7" w:rsidR="00101C05" w:rsidRPr="00202607" w:rsidRDefault="00101C05"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7.5kHz UL raster shift</w:t>
      </w:r>
      <w:r w:rsidR="00ED55B6" w:rsidRPr="00202607">
        <w:rPr>
          <w:rFonts w:ascii="Times New Roman" w:hAnsi="Times New Roman" w:cs="Times New Roman"/>
          <w:b/>
          <w:bCs/>
          <w:sz w:val="20"/>
          <w:szCs w:val="20"/>
        </w:rPr>
        <w:t xml:space="preserve">, </w:t>
      </w:r>
      <w:r w:rsidRPr="00202607">
        <w:rPr>
          <w:rFonts w:ascii="Times New Roman" w:hAnsi="Times New Roman" w:cs="Times New Roman"/>
          <w:b/>
          <w:bCs/>
          <w:sz w:val="20"/>
          <w:szCs w:val="20"/>
        </w:rPr>
        <w:t>i.e</w:t>
      </w:r>
      <w:r w:rsidR="00637D60" w:rsidRPr="00202607">
        <w:rPr>
          <w:rFonts w:ascii="Times New Roman" w:hAnsi="Times New Roman" w:cs="Times New Roman"/>
          <w:b/>
          <w:bCs/>
          <w:sz w:val="20"/>
          <w:szCs w:val="20"/>
        </w:rPr>
        <w:t>.</w:t>
      </w:r>
      <w:r w:rsidRPr="00202607">
        <w:rPr>
          <w:rFonts w:ascii="Times New Roman" w:hAnsi="Times New Roman" w:cs="Times New Roman"/>
          <w:b/>
          <w:bCs/>
          <w:sz w:val="20"/>
          <w:szCs w:val="20"/>
        </w:rPr>
        <w:t xml:space="preserve"> index 1-11</w:t>
      </w:r>
    </w:p>
    <w:p w14:paraId="0060A5BC" w14:textId="213D3B4B" w:rsidR="00ED55B6" w:rsidRPr="00202607" w:rsidRDefault="00ED55B6"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Max CBW, i.e. index 2-1</w:t>
      </w:r>
    </w:p>
    <w:p w14:paraId="13359EF0" w14:textId="77777777" w:rsidR="00A24C93" w:rsidRPr="00202607" w:rsidRDefault="00876998"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Band combination related, i.e. </w:t>
      </w:r>
    </w:p>
    <w:p w14:paraId="45C2EDE8" w14:textId="77777777" w:rsidR="00A24C93" w:rsidRPr="00202607" w:rsidRDefault="00876998" w:rsidP="009101CF">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index 2-2 Simultaneous reception or transmission with same or different numerologies in CA, </w:t>
      </w:r>
    </w:p>
    <w:p w14:paraId="6D358F07" w14:textId="77777777" w:rsidR="00A24C93" w:rsidRPr="00202607" w:rsidRDefault="00A24C93" w:rsidP="009101CF">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index </w:t>
      </w:r>
      <w:r w:rsidR="00876998" w:rsidRPr="00202607">
        <w:rPr>
          <w:rFonts w:ascii="Times New Roman" w:hAnsi="Times New Roman" w:cs="Times New Roman"/>
          <w:b/>
          <w:bCs/>
          <w:sz w:val="20"/>
          <w:szCs w:val="20"/>
        </w:rPr>
        <w:t xml:space="preserve">2-3 Non-contiguous intra-band CA frequency separation class for FR2, </w:t>
      </w:r>
    </w:p>
    <w:p w14:paraId="7B0609AC" w14:textId="67F17384" w:rsidR="00A24C93" w:rsidRPr="00202607" w:rsidRDefault="00876998" w:rsidP="009101CF">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2-4, 2-5</w:t>
      </w:r>
      <w:r w:rsidR="00A24C93" w:rsidRPr="00202607">
        <w:rPr>
          <w:rFonts w:ascii="Times New Roman" w:hAnsi="Times New Roman" w:cs="Times New Roman"/>
          <w:b/>
          <w:bCs/>
          <w:sz w:val="20"/>
          <w:szCs w:val="20"/>
        </w:rPr>
        <w:t>, 2-9</w:t>
      </w:r>
      <w:r w:rsidRPr="00202607">
        <w:rPr>
          <w:rFonts w:ascii="Times New Roman" w:hAnsi="Times New Roman" w:cs="Times New Roman"/>
          <w:b/>
          <w:bCs/>
          <w:sz w:val="20"/>
          <w:szCs w:val="20"/>
        </w:rPr>
        <w:t xml:space="preserve"> Simultaneous reception and transmission</w:t>
      </w:r>
      <w:r w:rsidR="00A24C93" w:rsidRPr="00202607">
        <w:rPr>
          <w:rFonts w:ascii="Times New Roman" w:hAnsi="Times New Roman" w:cs="Times New Roman"/>
          <w:b/>
          <w:bCs/>
          <w:sz w:val="20"/>
          <w:szCs w:val="20"/>
        </w:rPr>
        <w:t xml:space="preserve">, </w:t>
      </w:r>
    </w:p>
    <w:p w14:paraId="63F30B8C" w14:textId="45D5490B" w:rsidR="00876998" w:rsidRPr="00202607" w:rsidRDefault="00A24C93" w:rsidP="009101CF">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2-16, 2-17 PA architectures</w:t>
      </w:r>
    </w:p>
    <w:p w14:paraId="29AEB0C0" w14:textId="77777777" w:rsidR="009C6553" w:rsidRPr="00202607" w:rsidRDefault="0020527F"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UE power class, i.e. index 2-8</w:t>
      </w:r>
    </w:p>
    <w:p w14:paraId="2AFA41D0" w14:textId="5B4DC014" w:rsidR="009C6553" w:rsidRPr="00202607" w:rsidRDefault="009C6553"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eastAsia="Times New Roman" w:hAnsi="Times New Roman" w:cs="Times New Roman"/>
          <w:b/>
          <w:bCs/>
          <w:sz w:val="20"/>
          <w:szCs w:val="20"/>
          <w:lang w:eastAsia="ja-JP"/>
        </w:rPr>
        <w:t>Multiple frequency band indication, i.e. index 2-10</w:t>
      </w:r>
    </w:p>
    <w:p w14:paraId="08278E12" w14:textId="7D276198" w:rsidR="00F35DFC" w:rsidRPr="00202607" w:rsidRDefault="00F35DFC" w:rsidP="009101CF">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Multiple NS/P-Max, i.e. </w:t>
      </w:r>
      <w:r w:rsidR="003669ED" w:rsidRPr="00202607">
        <w:rPr>
          <w:rFonts w:ascii="Times New Roman" w:hAnsi="Times New Roman" w:cs="Times New Roman"/>
          <w:b/>
          <w:bCs/>
          <w:sz w:val="20"/>
          <w:szCs w:val="20"/>
        </w:rPr>
        <w:t xml:space="preserve">index </w:t>
      </w:r>
      <w:r w:rsidRPr="00202607">
        <w:rPr>
          <w:rFonts w:ascii="Times New Roman" w:hAnsi="Times New Roman" w:cs="Times New Roman"/>
          <w:b/>
          <w:bCs/>
          <w:sz w:val="20"/>
          <w:szCs w:val="20"/>
        </w:rPr>
        <w:t>2-12</w:t>
      </w:r>
    </w:p>
    <w:p w14:paraId="2E4140D9" w14:textId="1DD456CA" w:rsidR="009568BE" w:rsidRPr="00202607" w:rsidRDefault="009568BE" w:rsidP="009568BE">
      <w:pPr>
        <w:spacing w:before="120" w:after="120"/>
        <w:rPr>
          <w:rFonts w:ascii="Times New Roman" w:hAnsi="Times New Roman" w:cs="Times New Roman"/>
          <w:sz w:val="20"/>
          <w:szCs w:val="20"/>
        </w:rPr>
      </w:pPr>
      <w:r w:rsidRPr="00202607">
        <w:rPr>
          <w:rFonts w:ascii="Times New Roman" w:hAnsi="Times New Roman" w:cs="Times New Roman"/>
          <w:sz w:val="20"/>
          <w:szCs w:val="20"/>
        </w:rPr>
        <w:t>Before we have conclusion of all features for NCR-MT, we should find out following issues:</w:t>
      </w:r>
    </w:p>
    <w:p w14:paraId="3630CC2D" w14:textId="0B0B371A" w:rsidR="009568BE" w:rsidRPr="00202607" w:rsidRDefault="009568BE"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whether 256QAM, 64QAM and pi/2 BPSK are mandatory supported or not and whether</w:t>
      </w:r>
      <w:r w:rsidR="00127719">
        <w:rPr>
          <w:rFonts w:ascii="Times New Roman" w:hAnsi="Times New Roman" w:cs="Times New Roman"/>
          <w:sz w:val="20"/>
          <w:szCs w:val="20"/>
        </w:rPr>
        <w:t xml:space="preserve"> </w:t>
      </w:r>
      <w:r w:rsidRPr="00202607">
        <w:rPr>
          <w:rFonts w:ascii="Times New Roman" w:hAnsi="Times New Roman" w:cs="Times New Roman"/>
          <w:sz w:val="20"/>
          <w:szCs w:val="20"/>
        </w:rPr>
        <w:t>related RF requirements are needed or not</w:t>
      </w:r>
    </w:p>
    <w:p w14:paraId="5156492F" w14:textId="245DB66B" w:rsidR="009568BE" w:rsidRPr="00202607" w:rsidRDefault="009568BE"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for 7.5kHz raster shift, this feature is applicable for the band that is re-farmed from LTE or even 2G era. RF repeater has been deployed from 2G era in our commercial network, so the re-farmed spectrum will also</w:t>
      </w:r>
      <w:r w:rsidR="00127719">
        <w:rPr>
          <w:rFonts w:ascii="Times New Roman" w:hAnsi="Times New Roman" w:cs="Times New Roman"/>
          <w:sz w:val="20"/>
          <w:szCs w:val="20"/>
        </w:rPr>
        <w:t xml:space="preserve"> be</w:t>
      </w:r>
      <w:r w:rsidRPr="00202607">
        <w:rPr>
          <w:rFonts w:ascii="Times New Roman" w:hAnsi="Times New Roman" w:cs="Times New Roman"/>
          <w:sz w:val="20"/>
          <w:szCs w:val="20"/>
        </w:rPr>
        <w:t xml:space="preserve"> used by NCR, therefore, this feature is suggested to be mandatory for NCR-MT</w:t>
      </w:r>
    </w:p>
    <w:p w14:paraId="64788F2C" w14:textId="7E9DDCF3" w:rsidR="009568BE" w:rsidRPr="00202607" w:rsidRDefault="009568BE"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for max CBW, considering NCR is fixed, it is not mandatory to support all CBW and it can only support the CBW that are used by commercial network. so this feature is suggested as optional</w:t>
      </w:r>
      <w:r w:rsidR="00AB61A7" w:rsidRPr="00202607">
        <w:rPr>
          <w:rFonts w:ascii="Times New Roman" w:hAnsi="Times New Roman" w:cs="Times New Roman"/>
          <w:sz w:val="20"/>
          <w:szCs w:val="20"/>
        </w:rPr>
        <w:t>;</w:t>
      </w:r>
    </w:p>
    <w:p w14:paraId="6C770FA1" w14:textId="7FECE35A" w:rsidR="00AB61A7" w:rsidRPr="00202607" w:rsidRDefault="00AB61A7"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for band combination related feature, at first we should find out whether NCR-MT should support band combination including CA, EN-DC, SUL in this WID. If only single CC is supported for NCR-MT, we can ignore all these band-combination related feature. We are open on this issue.</w:t>
      </w:r>
    </w:p>
    <w:p w14:paraId="419CA9A0" w14:textId="00661327" w:rsidR="00AB61A7" w:rsidRPr="00202607" w:rsidRDefault="006C7655"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 xml:space="preserve">UE power class, this wait for the conclusion of MT UL power class, if we reuse the same agreements as RF repeater UL, power class feature is not needed because UE max output power will depend on declaration and output power granularity would be different from 3dB. </w:t>
      </w:r>
      <w:r w:rsidR="00B958F6" w:rsidRPr="00202607">
        <w:rPr>
          <w:rFonts w:ascii="Times New Roman" w:hAnsi="Times New Roman" w:cs="Times New Roman"/>
          <w:sz w:val="20"/>
          <w:szCs w:val="20"/>
        </w:rPr>
        <w:t>but for MT part</w:t>
      </w:r>
      <w:r w:rsidR="00127719">
        <w:rPr>
          <w:rFonts w:ascii="Times New Roman" w:hAnsi="Times New Roman" w:cs="Times New Roman"/>
          <w:sz w:val="20"/>
          <w:szCs w:val="20"/>
        </w:rPr>
        <w:t xml:space="preserve"> since it plays the same role as UE</w:t>
      </w:r>
      <w:r w:rsidR="00B958F6" w:rsidRPr="00202607">
        <w:rPr>
          <w:rFonts w:ascii="Times New Roman" w:hAnsi="Times New Roman" w:cs="Times New Roman"/>
          <w:sz w:val="20"/>
          <w:szCs w:val="20"/>
        </w:rPr>
        <w:t xml:space="preserve"> it seems the same power class as normal UE is also reasonable.</w:t>
      </w:r>
    </w:p>
    <w:p w14:paraId="4D94240B" w14:textId="7282C485" w:rsidR="006C7655" w:rsidRPr="00202607" w:rsidRDefault="006C7655"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Multiple frequency band indication, this feature is also suggested as mandatory for NCR-MT since it should support all operator’s operation bands.</w:t>
      </w:r>
    </w:p>
    <w:p w14:paraId="3517C975" w14:textId="0CA7BA30" w:rsidR="00620F6D" w:rsidRPr="00202607" w:rsidRDefault="00620F6D" w:rsidP="009568BE">
      <w:pPr>
        <w:pStyle w:val="ListParagraph"/>
        <w:numPr>
          <w:ilvl w:val="0"/>
          <w:numId w:val="20"/>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Multiple NS/P-max, this also needs to wait for the NS signaling discussion. From our perspective, such feature should be mandatory.</w:t>
      </w:r>
    </w:p>
    <w:p w14:paraId="2B07820E" w14:textId="46AC992C" w:rsidR="00D04EB9" w:rsidRPr="00202607" w:rsidRDefault="00D04EB9" w:rsidP="00D04EB9">
      <w:pPr>
        <w:spacing w:before="120" w:after="120"/>
        <w:rPr>
          <w:rFonts w:ascii="Times New Roman" w:hAnsi="Times New Roman" w:cs="Times New Roman"/>
          <w:sz w:val="20"/>
          <w:szCs w:val="20"/>
        </w:rPr>
      </w:pPr>
      <w:r w:rsidRPr="00202607">
        <w:rPr>
          <w:rFonts w:ascii="Times New Roman" w:hAnsi="Times New Roman" w:cs="Times New Roman"/>
          <w:sz w:val="20"/>
          <w:szCs w:val="20"/>
        </w:rPr>
        <w:t>Based on above analysis, we have following proposals and observations:</w:t>
      </w:r>
    </w:p>
    <w:p w14:paraId="23043232" w14:textId="79BD5630" w:rsidR="00AA2924" w:rsidRPr="00202607" w:rsidRDefault="00D04EB9" w:rsidP="00D04EB9">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1: it’s suggested to discuss whether 256 QAM, 64 QAM and pi/2 BPSK modulation scheme are mandatory or not for NCR-MT</w:t>
      </w:r>
      <w:r w:rsidR="00AA2924" w:rsidRPr="00202607">
        <w:rPr>
          <w:rFonts w:ascii="Times New Roman" w:hAnsi="Times New Roman" w:cs="Times New Roman"/>
          <w:b/>
          <w:bCs/>
          <w:sz w:val="20"/>
          <w:szCs w:val="20"/>
        </w:rPr>
        <w:t xml:space="preserve"> before concluding related feature. Our suggestion is </w:t>
      </w:r>
      <w:r w:rsidR="00127719">
        <w:rPr>
          <w:rFonts w:ascii="Times New Roman" w:hAnsi="Times New Roman" w:cs="Times New Roman"/>
          <w:b/>
          <w:bCs/>
          <w:sz w:val="20"/>
          <w:szCs w:val="20"/>
        </w:rPr>
        <w:t>as below</w:t>
      </w:r>
      <w:r w:rsidR="00AA2924" w:rsidRPr="00202607">
        <w:rPr>
          <w:rFonts w:ascii="Times New Roman" w:hAnsi="Times New Roman" w:cs="Times New Roman"/>
          <w:b/>
          <w:bCs/>
          <w:sz w:val="20"/>
          <w:szCs w:val="20"/>
        </w:rPr>
        <w:t xml:space="preserve"> </w:t>
      </w:r>
    </w:p>
    <w:p w14:paraId="4BC99EEC" w14:textId="2104039A" w:rsidR="00AA2924" w:rsidRPr="00202607" w:rsidRDefault="00AA2924" w:rsidP="008E2F85">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64 QAM mandatory for both FR1 and FR2 UL and DL</w:t>
      </w:r>
    </w:p>
    <w:p w14:paraId="26AD5FAF" w14:textId="7BF46B08" w:rsidR="00AA2924" w:rsidRPr="00202607" w:rsidRDefault="00AA2924" w:rsidP="008E2F85">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256QAM mandatory for FR1 DL, optional for FR1 UL and FR2 UL and DL</w:t>
      </w:r>
    </w:p>
    <w:p w14:paraId="021DFD25" w14:textId="549F7548" w:rsidR="00D04EB9" w:rsidRPr="00202607" w:rsidRDefault="00AA2924" w:rsidP="008E2F85">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lastRenderedPageBreak/>
        <w:t xml:space="preserve">pi/2 BPSK optional for FR1 and mandatory for FR2 </w:t>
      </w:r>
    </w:p>
    <w:p w14:paraId="7D992715" w14:textId="5990F200" w:rsidR="002C5C7D" w:rsidRPr="00202607" w:rsidRDefault="002C5C7D" w:rsidP="008E2F85">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Power boosting for Pi/2 BPSK NCR-MT is</w:t>
      </w:r>
      <w:r w:rsidR="008E2F85" w:rsidRPr="00202607">
        <w:rPr>
          <w:rFonts w:ascii="Times New Roman" w:hAnsi="Times New Roman" w:cs="Times New Roman"/>
          <w:sz w:val="20"/>
          <w:szCs w:val="20"/>
        </w:rPr>
        <w:t xml:space="preserve"> </w:t>
      </w:r>
      <w:r w:rsidRPr="00202607">
        <w:rPr>
          <w:rFonts w:ascii="Times New Roman" w:hAnsi="Times New Roman" w:cs="Times New Roman"/>
          <w:sz w:val="20"/>
          <w:szCs w:val="20"/>
        </w:rPr>
        <w:t>optional</w:t>
      </w:r>
      <w:r w:rsidR="00127719">
        <w:rPr>
          <w:rFonts w:ascii="Times New Roman" w:hAnsi="Times New Roman" w:cs="Times New Roman"/>
          <w:sz w:val="20"/>
          <w:szCs w:val="20"/>
        </w:rPr>
        <w:t>, the same as UE</w:t>
      </w:r>
    </w:p>
    <w:p w14:paraId="20AB78AC" w14:textId="613B3DB9" w:rsidR="00AA2924" w:rsidRPr="00202607" w:rsidRDefault="00AA2924" w:rsidP="00D04EB9">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2: 7.5kHz raster shift</w:t>
      </w:r>
      <w:r w:rsidR="00894291" w:rsidRPr="00202607">
        <w:rPr>
          <w:rFonts w:ascii="Times New Roman" w:hAnsi="Times New Roman" w:cs="Times New Roman"/>
          <w:b/>
          <w:bCs/>
          <w:sz w:val="20"/>
          <w:szCs w:val="20"/>
        </w:rPr>
        <w:t>, multiple frequency band indication and Multiple NS/P-max are</w:t>
      </w:r>
      <w:r w:rsidRPr="00202607">
        <w:rPr>
          <w:rFonts w:ascii="Times New Roman" w:hAnsi="Times New Roman" w:cs="Times New Roman"/>
          <w:b/>
          <w:bCs/>
          <w:sz w:val="20"/>
          <w:szCs w:val="20"/>
        </w:rPr>
        <w:t xml:space="preserve"> mandatory for NCR-MT</w:t>
      </w:r>
    </w:p>
    <w:p w14:paraId="582C53AB" w14:textId="2720E3CA" w:rsidR="00AA2924" w:rsidRPr="00202607" w:rsidRDefault="00AA2924" w:rsidP="00D04EB9">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3: max CBW is optional for NCR-MT</w:t>
      </w:r>
    </w:p>
    <w:p w14:paraId="39FFE5B4" w14:textId="7D949805" w:rsidR="00AA2924" w:rsidRPr="00202607" w:rsidRDefault="00AA2924" w:rsidP="00D04EB9">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 xml:space="preserve">proposal 4: it’s suggested to figure out whether NCR-MT could support band combinations or only </w:t>
      </w:r>
      <w:r w:rsidR="00F34D4D">
        <w:rPr>
          <w:rFonts w:ascii="Times New Roman" w:hAnsi="Times New Roman" w:cs="Times New Roman"/>
          <w:b/>
          <w:bCs/>
          <w:sz w:val="20"/>
          <w:szCs w:val="20"/>
        </w:rPr>
        <w:t xml:space="preserve">support </w:t>
      </w:r>
      <w:r w:rsidRPr="00202607">
        <w:rPr>
          <w:rFonts w:ascii="Times New Roman" w:hAnsi="Times New Roman" w:cs="Times New Roman"/>
          <w:b/>
          <w:bCs/>
          <w:sz w:val="20"/>
          <w:szCs w:val="20"/>
        </w:rPr>
        <w:t>single carrier in this release.</w:t>
      </w:r>
      <w:r w:rsidR="00E25D75" w:rsidRPr="00202607">
        <w:rPr>
          <w:rFonts w:ascii="Times New Roman" w:hAnsi="Times New Roman" w:cs="Times New Roman"/>
          <w:b/>
          <w:bCs/>
          <w:sz w:val="20"/>
          <w:szCs w:val="20"/>
        </w:rPr>
        <w:t xml:space="preserve"> If NCR-MT support band-combinations, the same feature as UE except for max duty</w:t>
      </w:r>
      <w:r w:rsidR="00894291" w:rsidRPr="00202607">
        <w:rPr>
          <w:rFonts w:ascii="Times New Roman" w:hAnsi="Times New Roman" w:cs="Times New Roman"/>
          <w:b/>
          <w:bCs/>
          <w:sz w:val="20"/>
          <w:szCs w:val="20"/>
        </w:rPr>
        <w:t xml:space="preserve"> </w:t>
      </w:r>
      <w:r w:rsidR="00E25D75" w:rsidRPr="00202607">
        <w:rPr>
          <w:rFonts w:ascii="Times New Roman" w:hAnsi="Times New Roman" w:cs="Times New Roman"/>
          <w:b/>
          <w:bCs/>
          <w:sz w:val="20"/>
          <w:szCs w:val="20"/>
        </w:rPr>
        <w:t>cycle related feature which need further check</w:t>
      </w:r>
    </w:p>
    <w:p w14:paraId="60191521" w14:textId="2BFA94B4" w:rsidR="001A13D1" w:rsidRPr="00202607" w:rsidRDefault="001A13D1" w:rsidP="00D04EB9">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5: UE power class feature wait for conclusion of NCR-MT power class/class definition.</w:t>
      </w:r>
    </w:p>
    <w:p w14:paraId="18CD4022" w14:textId="50E84933" w:rsidR="00894291" w:rsidRPr="00202607" w:rsidRDefault="00F34D4D" w:rsidP="009101CF">
      <w:pPr>
        <w:spacing w:before="120" w:after="120"/>
        <w:rPr>
          <w:rFonts w:ascii="Times New Roman" w:hAnsi="Times New Roman" w:cs="Times New Roman"/>
          <w:sz w:val="20"/>
          <w:szCs w:val="20"/>
        </w:rPr>
      </w:pPr>
      <w:r>
        <w:rPr>
          <w:rFonts w:ascii="Times New Roman" w:hAnsi="Times New Roman" w:cs="Times New Roman"/>
          <w:sz w:val="20"/>
          <w:szCs w:val="20"/>
        </w:rPr>
        <w:t xml:space="preserve">As </w:t>
      </w:r>
      <w:r w:rsidR="00894291" w:rsidRPr="00202607">
        <w:rPr>
          <w:rFonts w:ascii="Times New Roman" w:hAnsi="Times New Roman" w:cs="Times New Roman"/>
          <w:sz w:val="20"/>
          <w:szCs w:val="20"/>
        </w:rPr>
        <w:t>for optional feature, one issue is whether MPR should be defined for NCR-MT, it so, Modified MPR behaviour is also suggested for NCR-MT as optional.</w:t>
      </w:r>
    </w:p>
    <w:p w14:paraId="6A1FD61E" w14:textId="0B99BA3E" w:rsidR="00894291" w:rsidRPr="00202607" w:rsidRDefault="00894291" w:rsidP="009101CF">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6: if MPR requirements are defined for NCR-MT, then Modified MPR behaviour is still optional for NCR-MT</w:t>
      </w:r>
      <w:r w:rsidR="003E033A" w:rsidRPr="00202607">
        <w:rPr>
          <w:rFonts w:ascii="Times New Roman" w:hAnsi="Times New Roman" w:cs="Times New Roman"/>
          <w:b/>
          <w:bCs/>
          <w:sz w:val="20"/>
          <w:szCs w:val="20"/>
        </w:rPr>
        <w:t>, otherwise, such feature is not applicable</w:t>
      </w:r>
    </w:p>
    <w:p w14:paraId="2F7DB91C" w14:textId="0A1693EF" w:rsidR="00924129" w:rsidRPr="00202607" w:rsidRDefault="00924129" w:rsidP="009101CF">
      <w:pPr>
        <w:spacing w:before="120" w:after="120"/>
        <w:rPr>
          <w:rFonts w:ascii="Times New Roman" w:hAnsi="Times New Roman" w:cs="Times New Roman"/>
          <w:sz w:val="20"/>
          <w:szCs w:val="20"/>
        </w:rPr>
      </w:pPr>
      <w:r w:rsidRPr="00202607">
        <w:rPr>
          <w:rFonts w:ascii="Times New Roman" w:hAnsi="Times New Roman" w:cs="Times New Roman"/>
          <w:sz w:val="20"/>
          <w:szCs w:val="20"/>
        </w:rPr>
        <w:t>As for max duty cycle feature, since NCR-MT is not in close proximity as UE, such feature is not applicable for NCR-MT.</w:t>
      </w:r>
    </w:p>
    <w:p w14:paraId="758D583E" w14:textId="56B3679B" w:rsidR="00924129" w:rsidRPr="00202607" w:rsidRDefault="00924129" w:rsidP="009101CF">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7: max duty cycle related feature are not applicable for NCR-MT.</w:t>
      </w:r>
    </w:p>
    <w:p w14:paraId="073A0317" w14:textId="77777777" w:rsidR="00101C05" w:rsidRPr="00202607" w:rsidRDefault="00101C05" w:rsidP="006F77FB"/>
    <w:tbl>
      <w:tblPr>
        <w:tblpPr w:leftFromText="180" w:rightFromText="180" w:vertAnchor="text" w:horzAnchor="page" w:tblpXSpec="center" w:tblpY="-76"/>
        <w:tblW w:w="43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687"/>
        <w:gridCol w:w="1800"/>
        <w:gridCol w:w="1706"/>
        <w:gridCol w:w="1418"/>
        <w:gridCol w:w="2987"/>
        <w:gridCol w:w="3117"/>
      </w:tblGrid>
      <w:tr w:rsidR="00894291" w:rsidRPr="00101C05" w14:paraId="76493AD3" w14:textId="735AE3C2" w:rsidTr="00894291">
        <w:tc>
          <w:tcPr>
            <w:tcW w:w="407" w:type="pct"/>
            <w:hideMark/>
          </w:tcPr>
          <w:p w14:paraId="49E5C75E" w14:textId="77777777"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lastRenderedPageBreak/>
              <w:t>Features</w:t>
            </w:r>
          </w:p>
        </w:tc>
        <w:tc>
          <w:tcPr>
            <w:tcW w:w="269" w:type="pct"/>
            <w:hideMark/>
          </w:tcPr>
          <w:p w14:paraId="0F1E2B68" w14:textId="77777777"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t>Index</w:t>
            </w:r>
          </w:p>
        </w:tc>
        <w:tc>
          <w:tcPr>
            <w:tcW w:w="706" w:type="pct"/>
            <w:hideMark/>
          </w:tcPr>
          <w:p w14:paraId="1373E87C" w14:textId="77777777"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t>Feature group</w:t>
            </w:r>
          </w:p>
        </w:tc>
        <w:tc>
          <w:tcPr>
            <w:tcW w:w="669" w:type="pct"/>
            <w:hideMark/>
          </w:tcPr>
          <w:p w14:paraId="60AA9D42" w14:textId="77777777"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t>Components</w:t>
            </w:r>
          </w:p>
        </w:tc>
        <w:tc>
          <w:tcPr>
            <w:tcW w:w="556" w:type="pct"/>
            <w:hideMark/>
          </w:tcPr>
          <w:p w14:paraId="0C5FE05F" w14:textId="77777777"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t>Need of FR1/FR2 differentiation</w:t>
            </w:r>
          </w:p>
        </w:tc>
        <w:tc>
          <w:tcPr>
            <w:tcW w:w="1171" w:type="pct"/>
            <w:hideMark/>
          </w:tcPr>
          <w:p w14:paraId="552F457F" w14:textId="77777777"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t>Note</w:t>
            </w:r>
          </w:p>
        </w:tc>
        <w:tc>
          <w:tcPr>
            <w:tcW w:w="1223" w:type="pct"/>
            <w:hideMark/>
          </w:tcPr>
          <w:p w14:paraId="118A00B1" w14:textId="3A7E83E3" w:rsidR="00894291" w:rsidRPr="00101C05" w:rsidRDefault="00894291" w:rsidP="00FF6923">
            <w:pPr>
              <w:keepNext/>
              <w:keepLines/>
              <w:widowControl/>
              <w:overflowPunct w:val="0"/>
              <w:autoSpaceDE w:val="0"/>
              <w:autoSpaceDN w:val="0"/>
              <w:adjustRightInd w:val="0"/>
              <w:jc w:val="center"/>
              <w:rPr>
                <w:rFonts w:ascii="Arial" w:eastAsia="Times New Roman" w:hAnsi="Arial" w:cs="Arial"/>
                <w:b/>
                <w:sz w:val="18"/>
                <w:lang w:eastAsia="ja-JP"/>
              </w:rPr>
            </w:pPr>
            <w:r w:rsidRPr="00101C05">
              <w:rPr>
                <w:rFonts w:ascii="Arial" w:eastAsia="Times New Roman" w:hAnsi="Arial" w:cs="Arial"/>
                <w:b/>
                <w:sz w:val="18"/>
                <w:lang w:eastAsia="ja-JP"/>
              </w:rPr>
              <w:t>Mandatory/Optional</w:t>
            </w:r>
            <w:r>
              <w:rPr>
                <w:rFonts w:ascii="Arial" w:eastAsia="Times New Roman" w:hAnsi="Arial" w:cs="Arial"/>
                <w:b/>
                <w:sz w:val="18"/>
                <w:lang w:eastAsia="ja-JP"/>
              </w:rPr>
              <w:t xml:space="preserve"> for UE</w:t>
            </w:r>
          </w:p>
        </w:tc>
      </w:tr>
      <w:tr w:rsidR="00894291" w:rsidRPr="00101C05" w14:paraId="6E1A770E" w14:textId="405F51EC" w:rsidTr="00894291">
        <w:tc>
          <w:tcPr>
            <w:tcW w:w="407" w:type="pct"/>
            <w:hideMark/>
          </w:tcPr>
          <w:p w14:paraId="7262972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System parameter</w:t>
            </w:r>
          </w:p>
        </w:tc>
        <w:tc>
          <w:tcPr>
            <w:tcW w:w="269" w:type="pct"/>
            <w:hideMark/>
          </w:tcPr>
          <w:p w14:paraId="4B4D9F9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1-1</w:t>
            </w:r>
          </w:p>
        </w:tc>
        <w:tc>
          <w:tcPr>
            <w:tcW w:w="706" w:type="pct"/>
            <w:hideMark/>
          </w:tcPr>
          <w:p w14:paraId="7BF0376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60kHz of subcarrier spacing for FR1</w:t>
            </w:r>
          </w:p>
        </w:tc>
        <w:tc>
          <w:tcPr>
            <w:tcW w:w="669" w:type="pct"/>
            <w:hideMark/>
          </w:tcPr>
          <w:p w14:paraId="498A323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60kHz subcarrier spacing for data channel in FR1</w:t>
            </w:r>
          </w:p>
        </w:tc>
        <w:tc>
          <w:tcPr>
            <w:tcW w:w="556" w:type="pct"/>
            <w:hideMark/>
          </w:tcPr>
          <w:p w14:paraId="55B4A8F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FR1</w:t>
            </w:r>
          </w:p>
        </w:tc>
        <w:tc>
          <w:tcPr>
            <w:tcW w:w="1171" w:type="pct"/>
          </w:tcPr>
          <w:p w14:paraId="0EC2EEC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tc>
        <w:tc>
          <w:tcPr>
            <w:tcW w:w="1223" w:type="pct"/>
            <w:hideMark/>
          </w:tcPr>
          <w:p w14:paraId="674F73C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75321C3C" w14:textId="7BE79EDF" w:rsidTr="00894291">
        <w:tc>
          <w:tcPr>
            <w:tcW w:w="407" w:type="pct"/>
            <w:vAlign w:val="center"/>
            <w:hideMark/>
          </w:tcPr>
          <w:p w14:paraId="08565065"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7256F35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1-2</w:t>
            </w:r>
          </w:p>
        </w:tc>
        <w:tc>
          <w:tcPr>
            <w:tcW w:w="706" w:type="pct"/>
            <w:hideMark/>
          </w:tcPr>
          <w:p w14:paraId="0CC2BA8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64QAM modulation for FR2 PDSCH</w:t>
            </w:r>
          </w:p>
        </w:tc>
        <w:tc>
          <w:tcPr>
            <w:tcW w:w="669" w:type="pct"/>
            <w:hideMark/>
          </w:tcPr>
          <w:p w14:paraId="257AD08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64QAM modulation for FR2 PDSCH</w:t>
            </w:r>
          </w:p>
        </w:tc>
        <w:tc>
          <w:tcPr>
            <w:tcW w:w="556" w:type="pct"/>
            <w:hideMark/>
          </w:tcPr>
          <w:p w14:paraId="739F35D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FR2</w:t>
            </w:r>
          </w:p>
        </w:tc>
        <w:tc>
          <w:tcPr>
            <w:tcW w:w="1171" w:type="pct"/>
            <w:hideMark/>
          </w:tcPr>
          <w:p w14:paraId="3DE2698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Capability can be discussed in future, e.g. when low cost device (e.g. IoT) and/or higher frequency band in FR2 are introduced</w:t>
            </w:r>
          </w:p>
        </w:tc>
        <w:tc>
          <w:tcPr>
            <w:tcW w:w="1223" w:type="pct"/>
            <w:hideMark/>
          </w:tcPr>
          <w:p w14:paraId="31F73ED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without capability signalling</w:t>
            </w:r>
          </w:p>
        </w:tc>
      </w:tr>
      <w:tr w:rsidR="00894291" w:rsidRPr="00101C05" w14:paraId="41BBF9A7" w14:textId="099439E3" w:rsidTr="00894291">
        <w:tc>
          <w:tcPr>
            <w:tcW w:w="407" w:type="pct"/>
            <w:vAlign w:val="center"/>
            <w:hideMark/>
          </w:tcPr>
          <w:p w14:paraId="1E72261B"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1C2C9A7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1-3</w:t>
            </w:r>
          </w:p>
        </w:tc>
        <w:tc>
          <w:tcPr>
            <w:tcW w:w="706" w:type="pct"/>
            <w:hideMark/>
          </w:tcPr>
          <w:p w14:paraId="762EE46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64QAM for PUSCH</w:t>
            </w:r>
          </w:p>
        </w:tc>
        <w:tc>
          <w:tcPr>
            <w:tcW w:w="669" w:type="pct"/>
            <w:hideMark/>
          </w:tcPr>
          <w:p w14:paraId="7FFE2CF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64QAM for PUSCH</w:t>
            </w:r>
          </w:p>
        </w:tc>
        <w:tc>
          <w:tcPr>
            <w:tcW w:w="556" w:type="pct"/>
            <w:hideMark/>
          </w:tcPr>
          <w:p w14:paraId="550F29C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hideMark/>
          </w:tcPr>
          <w:p w14:paraId="41C2F72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Capability can be discussed in future, e.g. when low cost device (e.g. IoT) and/or higher frequency band in FR2 are introduced</w:t>
            </w:r>
          </w:p>
        </w:tc>
        <w:tc>
          <w:tcPr>
            <w:tcW w:w="1223" w:type="pct"/>
            <w:hideMark/>
          </w:tcPr>
          <w:p w14:paraId="6F91A6E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without capability signalling</w:t>
            </w:r>
          </w:p>
        </w:tc>
      </w:tr>
      <w:tr w:rsidR="00894291" w:rsidRPr="00101C05" w14:paraId="59A34F25" w14:textId="63AF77E5" w:rsidTr="00894291">
        <w:trPr>
          <w:trHeight w:val="960"/>
        </w:trPr>
        <w:tc>
          <w:tcPr>
            <w:tcW w:w="407" w:type="pct"/>
            <w:vAlign w:val="center"/>
            <w:hideMark/>
          </w:tcPr>
          <w:p w14:paraId="63655581"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restart"/>
            <w:hideMark/>
          </w:tcPr>
          <w:p w14:paraId="418E2DE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1-4</w:t>
            </w:r>
          </w:p>
        </w:tc>
        <w:tc>
          <w:tcPr>
            <w:tcW w:w="706" w:type="pct"/>
            <w:vMerge w:val="restart"/>
            <w:hideMark/>
          </w:tcPr>
          <w:p w14:paraId="0683A9F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256QAM for PDSCH</w:t>
            </w:r>
          </w:p>
        </w:tc>
        <w:tc>
          <w:tcPr>
            <w:tcW w:w="669" w:type="pct"/>
            <w:vMerge w:val="restart"/>
            <w:hideMark/>
          </w:tcPr>
          <w:p w14:paraId="041B772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256QAM for PDSCH</w:t>
            </w:r>
          </w:p>
        </w:tc>
        <w:tc>
          <w:tcPr>
            <w:tcW w:w="556" w:type="pct"/>
            <w:vMerge w:val="restart"/>
            <w:hideMark/>
          </w:tcPr>
          <w:p w14:paraId="2CB66BD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Yes</w:t>
            </w:r>
          </w:p>
        </w:tc>
        <w:tc>
          <w:tcPr>
            <w:tcW w:w="1171" w:type="pct"/>
            <w:hideMark/>
          </w:tcPr>
          <w:p w14:paraId="6D53965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FR1, it can be revisited in the future whether the 256QAM is mandated in all UE types or categories</w:t>
            </w:r>
          </w:p>
        </w:tc>
        <w:tc>
          <w:tcPr>
            <w:tcW w:w="1223" w:type="pct"/>
            <w:hideMark/>
          </w:tcPr>
          <w:p w14:paraId="3ABC01F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 capability signalling for FR1</w:t>
            </w:r>
          </w:p>
        </w:tc>
      </w:tr>
      <w:tr w:rsidR="00894291" w:rsidRPr="00101C05" w14:paraId="66546177" w14:textId="1728F070" w:rsidTr="00894291">
        <w:trPr>
          <w:trHeight w:val="1095"/>
        </w:trPr>
        <w:tc>
          <w:tcPr>
            <w:tcW w:w="407" w:type="pct"/>
            <w:vAlign w:val="center"/>
            <w:hideMark/>
          </w:tcPr>
          <w:p w14:paraId="69201B0D"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ign w:val="center"/>
            <w:hideMark/>
          </w:tcPr>
          <w:p w14:paraId="0FBAAF0C"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706" w:type="pct"/>
            <w:vMerge/>
            <w:vAlign w:val="center"/>
            <w:hideMark/>
          </w:tcPr>
          <w:p w14:paraId="07DA135D"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669" w:type="pct"/>
            <w:vMerge/>
            <w:vAlign w:val="center"/>
            <w:hideMark/>
          </w:tcPr>
          <w:p w14:paraId="54258C82"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556" w:type="pct"/>
            <w:vMerge/>
            <w:vAlign w:val="center"/>
            <w:hideMark/>
          </w:tcPr>
          <w:p w14:paraId="3F8C3A22"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171" w:type="pct"/>
            <w:hideMark/>
          </w:tcPr>
          <w:p w14:paraId="019EFB3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FR2, RAN4 agreed that no BS and UE requirements will be introduced in Rel.15.</w:t>
            </w:r>
          </w:p>
        </w:tc>
        <w:tc>
          <w:tcPr>
            <w:tcW w:w="1223" w:type="pct"/>
            <w:hideMark/>
          </w:tcPr>
          <w:p w14:paraId="4B17ACF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 for FR2</w:t>
            </w:r>
          </w:p>
        </w:tc>
      </w:tr>
      <w:tr w:rsidR="00894291" w:rsidRPr="00101C05" w14:paraId="103E3A6E" w14:textId="51232F49" w:rsidTr="00894291">
        <w:tc>
          <w:tcPr>
            <w:tcW w:w="407" w:type="pct"/>
            <w:vAlign w:val="center"/>
            <w:hideMark/>
          </w:tcPr>
          <w:p w14:paraId="4E2C0BB0"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0AC949A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1-5</w:t>
            </w:r>
          </w:p>
        </w:tc>
        <w:tc>
          <w:tcPr>
            <w:tcW w:w="706" w:type="pct"/>
            <w:hideMark/>
          </w:tcPr>
          <w:p w14:paraId="671ABED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256QAM for PUSCH</w:t>
            </w:r>
          </w:p>
        </w:tc>
        <w:tc>
          <w:tcPr>
            <w:tcW w:w="669" w:type="pct"/>
            <w:hideMark/>
          </w:tcPr>
          <w:p w14:paraId="08191D8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256QAM for PUSCH</w:t>
            </w:r>
          </w:p>
        </w:tc>
        <w:tc>
          <w:tcPr>
            <w:tcW w:w="556" w:type="pct"/>
            <w:hideMark/>
          </w:tcPr>
          <w:p w14:paraId="468E4D1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Yes</w:t>
            </w:r>
          </w:p>
        </w:tc>
        <w:tc>
          <w:tcPr>
            <w:tcW w:w="1171" w:type="pct"/>
            <w:hideMark/>
          </w:tcPr>
          <w:p w14:paraId="5C31042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FR1, RAN4 can further discuss to mandate 256QAM for PUSCH for FR1 in future release.</w:t>
            </w:r>
          </w:p>
          <w:p w14:paraId="5F7A772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FR2, RAN4 agreed that no BS and UE requirements will be introduced in Rel.15.</w:t>
            </w:r>
          </w:p>
        </w:tc>
        <w:tc>
          <w:tcPr>
            <w:tcW w:w="1223" w:type="pct"/>
            <w:hideMark/>
          </w:tcPr>
          <w:p w14:paraId="783B266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 (for both FR1 and FR2)</w:t>
            </w:r>
          </w:p>
        </w:tc>
      </w:tr>
      <w:tr w:rsidR="00894291" w:rsidRPr="00101C05" w14:paraId="31425D40" w14:textId="3C5849B6" w:rsidTr="00894291">
        <w:tc>
          <w:tcPr>
            <w:tcW w:w="407" w:type="pct"/>
            <w:vAlign w:val="center"/>
            <w:hideMark/>
          </w:tcPr>
          <w:p w14:paraId="3E545A2A"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4513CCA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1-6</w:t>
            </w:r>
          </w:p>
        </w:tc>
        <w:tc>
          <w:tcPr>
            <w:tcW w:w="706" w:type="pct"/>
            <w:hideMark/>
          </w:tcPr>
          <w:p w14:paraId="23A01DB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pi/2-BPSK for PUSCH</w:t>
            </w:r>
          </w:p>
        </w:tc>
        <w:tc>
          <w:tcPr>
            <w:tcW w:w="669" w:type="pct"/>
            <w:hideMark/>
          </w:tcPr>
          <w:p w14:paraId="50A165B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pi/2-BPSK for PUSCH</w:t>
            </w:r>
          </w:p>
        </w:tc>
        <w:tc>
          <w:tcPr>
            <w:tcW w:w="556" w:type="pct"/>
            <w:hideMark/>
          </w:tcPr>
          <w:p w14:paraId="5AC76AE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Yes</w:t>
            </w:r>
          </w:p>
        </w:tc>
        <w:tc>
          <w:tcPr>
            <w:tcW w:w="1171" w:type="pct"/>
            <w:hideMark/>
          </w:tcPr>
          <w:p w14:paraId="2F5D08D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RAN4 will define the same minimum requirements for pulse-shaped pi/2 BPSK and non-pulse shaped pi/2 BPSK for FR2.</w:t>
            </w:r>
          </w:p>
        </w:tc>
        <w:tc>
          <w:tcPr>
            <w:tcW w:w="1223" w:type="pct"/>
          </w:tcPr>
          <w:p w14:paraId="1F281F2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 for FR1</w:t>
            </w:r>
          </w:p>
          <w:p w14:paraId="6140043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6FEEA52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 capability signalling for FR2</w:t>
            </w:r>
          </w:p>
        </w:tc>
      </w:tr>
      <w:tr w:rsidR="00894291" w:rsidRPr="00101C05" w14:paraId="79265C03" w14:textId="740257C2" w:rsidTr="00894291">
        <w:tc>
          <w:tcPr>
            <w:tcW w:w="407" w:type="pct"/>
            <w:vAlign w:val="center"/>
            <w:hideMark/>
          </w:tcPr>
          <w:p w14:paraId="5A002DCD"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53E9EB3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1-7</w:t>
            </w:r>
          </w:p>
        </w:tc>
        <w:tc>
          <w:tcPr>
            <w:tcW w:w="706" w:type="pct"/>
            <w:hideMark/>
          </w:tcPr>
          <w:p w14:paraId="4FF24DD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pi/2-BPSK for PUCCH format 3/4</w:t>
            </w:r>
          </w:p>
        </w:tc>
        <w:tc>
          <w:tcPr>
            <w:tcW w:w="669" w:type="pct"/>
            <w:hideMark/>
          </w:tcPr>
          <w:p w14:paraId="1DA1F4C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pi/2-BPSK for PUCCH format 3/4</w:t>
            </w:r>
          </w:p>
        </w:tc>
        <w:tc>
          <w:tcPr>
            <w:tcW w:w="556" w:type="pct"/>
            <w:hideMark/>
          </w:tcPr>
          <w:p w14:paraId="693903F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Yes</w:t>
            </w:r>
          </w:p>
        </w:tc>
        <w:tc>
          <w:tcPr>
            <w:tcW w:w="1171" w:type="pct"/>
          </w:tcPr>
          <w:p w14:paraId="4B59C3A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tc>
        <w:tc>
          <w:tcPr>
            <w:tcW w:w="1223" w:type="pct"/>
          </w:tcPr>
          <w:p w14:paraId="4DB34B2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 for FR1</w:t>
            </w:r>
          </w:p>
          <w:p w14:paraId="725742E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18AE7E0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 capability signalling for FR2</w:t>
            </w:r>
          </w:p>
        </w:tc>
      </w:tr>
      <w:tr w:rsidR="00894291" w:rsidRPr="00101C05" w14:paraId="65E9C9A5" w14:textId="20E2F04F" w:rsidTr="00894291">
        <w:tc>
          <w:tcPr>
            <w:tcW w:w="407" w:type="pct"/>
            <w:vAlign w:val="center"/>
            <w:hideMark/>
          </w:tcPr>
          <w:p w14:paraId="045AD3D4"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2B7D2FA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1-9</w:t>
            </w:r>
          </w:p>
        </w:tc>
        <w:tc>
          <w:tcPr>
            <w:tcW w:w="706" w:type="pct"/>
            <w:hideMark/>
          </w:tcPr>
          <w:p w14:paraId="7C9ADA8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Support of EN-DC with LTE-NR coexistence in UL sharing from UE perspective</w:t>
            </w:r>
          </w:p>
        </w:tc>
        <w:tc>
          <w:tcPr>
            <w:tcW w:w="669" w:type="pct"/>
            <w:hideMark/>
          </w:tcPr>
          <w:p w14:paraId="5BBDA52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LTE and NR UL Transmission in the shared carrier via TDM only</w:t>
            </w:r>
          </w:p>
          <w:p w14:paraId="1576F4F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 LTE and NR UL Transmission in the shared carrier via FDM only</w:t>
            </w:r>
          </w:p>
          <w:p w14:paraId="0F9F4E2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3) LTE and NR UL transmission in the shared carrier via FDM or TDM</w:t>
            </w:r>
          </w:p>
        </w:tc>
        <w:tc>
          <w:tcPr>
            <w:tcW w:w="556" w:type="pct"/>
            <w:hideMark/>
          </w:tcPr>
          <w:p w14:paraId="6D85825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FR1</w:t>
            </w:r>
          </w:p>
        </w:tc>
        <w:tc>
          <w:tcPr>
            <w:tcW w:w="1171" w:type="pct"/>
          </w:tcPr>
          <w:p w14:paraId="35E5ED1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tc>
        <w:tc>
          <w:tcPr>
            <w:tcW w:w="1223" w:type="pct"/>
            <w:hideMark/>
          </w:tcPr>
          <w:p w14:paraId="50C663A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648C3AD4" w14:textId="0736A6BC" w:rsidTr="00894291">
        <w:tc>
          <w:tcPr>
            <w:tcW w:w="407" w:type="pct"/>
            <w:vAlign w:val="center"/>
            <w:hideMark/>
          </w:tcPr>
          <w:p w14:paraId="54E99FD3"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21A5362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1-10</w:t>
            </w:r>
          </w:p>
        </w:tc>
        <w:tc>
          <w:tcPr>
            <w:tcW w:w="706" w:type="pct"/>
            <w:hideMark/>
          </w:tcPr>
          <w:p w14:paraId="5A1C0BA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Switching time between LTE UL and NR UL for EN-DC with LTE-NR coexistence in UL sharing from UE perspective</w:t>
            </w:r>
          </w:p>
        </w:tc>
        <w:tc>
          <w:tcPr>
            <w:tcW w:w="669" w:type="pct"/>
            <w:hideMark/>
          </w:tcPr>
          <w:p w14:paraId="00F6EA9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Support of switching type between LTE UL and NR UL for EN-DC with LTE-NR coexistence in UL sharing from UE perspective.</w:t>
            </w:r>
          </w:p>
          <w:p w14:paraId="1B9196A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Type 1: &lt;0.5us</w:t>
            </w:r>
          </w:p>
          <w:p w14:paraId="3B4DD75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Type 2: &lt;20us</w:t>
            </w:r>
          </w:p>
        </w:tc>
        <w:tc>
          <w:tcPr>
            <w:tcW w:w="556" w:type="pct"/>
            <w:hideMark/>
          </w:tcPr>
          <w:p w14:paraId="344C0DC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FR1</w:t>
            </w:r>
          </w:p>
        </w:tc>
        <w:tc>
          <w:tcPr>
            <w:tcW w:w="1171" w:type="pct"/>
          </w:tcPr>
          <w:p w14:paraId="64BA28C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This feature is the switching time between LTE UL and NR UL in the same carrier</w:t>
            </w:r>
          </w:p>
          <w:p w14:paraId="54BAE95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21970F1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combination signalling</w:t>
            </w:r>
          </w:p>
          <w:p w14:paraId="3B2AC6B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731525E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UE Capability signalling elements.</w:t>
            </w:r>
          </w:p>
          <w:p w14:paraId="0D5BF23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&lt;0.5us switching type.</w:t>
            </w:r>
          </w:p>
          <w:p w14:paraId="1B675BE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 &lt;20us switching type.</w:t>
            </w:r>
          </w:p>
        </w:tc>
        <w:tc>
          <w:tcPr>
            <w:tcW w:w="1223" w:type="pct"/>
            <w:hideMark/>
          </w:tcPr>
          <w:p w14:paraId="673E854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to support either type 1 or type 2 with capability signalling if UE reports its capability in 1-10 as 1) LTE and NR UL Transmission in the shared carrier via TDM only, or 3) LTE and NR UL transmission in the shared carrier via FDM or TDM</w:t>
            </w:r>
          </w:p>
        </w:tc>
      </w:tr>
      <w:tr w:rsidR="00894291" w:rsidRPr="00101C05" w14:paraId="74746760" w14:textId="686E2143" w:rsidTr="00894291">
        <w:tc>
          <w:tcPr>
            <w:tcW w:w="407" w:type="pct"/>
            <w:vAlign w:val="center"/>
            <w:hideMark/>
          </w:tcPr>
          <w:p w14:paraId="72B9B3C6"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5932AE2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1-11</w:t>
            </w:r>
          </w:p>
        </w:tc>
        <w:tc>
          <w:tcPr>
            <w:tcW w:w="706" w:type="pct"/>
            <w:hideMark/>
          </w:tcPr>
          <w:p w14:paraId="085139A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7.5kHz UL raster shift</w:t>
            </w:r>
          </w:p>
        </w:tc>
        <w:tc>
          <w:tcPr>
            <w:tcW w:w="669" w:type="pct"/>
            <w:hideMark/>
          </w:tcPr>
          <w:p w14:paraId="2F1CDFA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7.5kHz UL raster shift</w:t>
            </w:r>
          </w:p>
        </w:tc>
        <w:tc>
          <w:tcPr>
            <w:tcW w:w="556" w:type="pct"/>
            <w:hideMark/>
          </w:tcPr>
          <w:p w14:paraId="01BD07C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tcPr>
          <w:p w14:paraId="4BE0054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tc>
        <w:tc>
          <w:tcPr>
            <w:tcW w:w="1223" w:type="pct"/>
          </w:tcPr>
          <w:p w14:paraId="6C385B0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in the SUL bands with uplink sharing either from UE perspective or from network perspective</w:t>
            </w:r>
          </w:p>
          <w:p w14:paraId="4908F64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77DD00C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 xml:space="preserve">7.5KHz raster shift as mandatory without capability signalling. 7.5kHz </w:t>
            </w:r>
            <w:r w:rsidRPr="00101C05">
              <w:rPr>
                <w:rFonts w:ascii="Arial" w:eastAsia="Times New Roman" w:hAnsi="Arial" w:cs="Arial"/>
                <w:sz w:val="18"/>
                <w:lang w:eastAsia="ja-JP"/>
              </w:rPr>
              <w:lastRenderedPageBreak/>
              <w:t>UL raster shift is mandatory for the bands described in clause 5.4.2.1 of Release 15 TS 38.101-1. RAN4 can revisit the above bands in the future release. 7.5KHz raster shift is not mandatory for other LTE refarming band except the bands which were agreed to support 7.5kHz UL raster shift as mandatory</w:t>
            </w:r>
          </w:p>
        </w:tc>
      </w:tr>
      <w:tr w:rsidR="00894291" w:rsidRPr="00101C05" w14:paraId="103BA857" w14:textId="459581EC" w:rsidTr="00894291">
        <w:trPr>
          <w:trHeight w:val="1284"/>
        </w:trPr>
        <w:tc>
          <w:tcPr>
            <w:tcW w:w="407" w:type="pct"/>
            <w:vMerge w:val="restart"/>
            <w:hideMark/>
          </w:tcPr>
          <w:p w14:paraId="30AEC2F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2. UE RF</w:t>
            </w:r>
          </w:p>
        </w:tc>
        <w:tc>
          <w:tcPr>
            <w:tcW w:w="269" w:type="pct"/>
            <w:vMerge w:val="restart"/>
            <w:hideMark/>
          </w:tcPr>
          <w:p w14:paraId="3B7B3A2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w:t>
            </w:r>
          </w:p>
        </w:tc>
        <w:tc>
          <w:tcPr>
            <w:tcW w:w="706" w:type="pct"/>
            <w:vMerge w:val="restart"/>
            <w:hideMark/>
          </w:tcPr>
          <w:p w14:paraId="0172C6A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Maximum channel bandwidth supported in each band for DL and UL separately and for each SCS that UE supports within a single CC</w:t>
            </w:r>
          </w:p>
        </w:tc>
        <w:tc>
          <w:tcPr>
            <w:tcW w:w="669" w:type="pct"/>
            <w:vMerge w:val="restart"/>
            <w:hideMark/>
          </w:tcPr>
          <w:p w14:paraId="2B3AEDE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FR1 channel bandwidths in TS38.101-1 Table 5.3.5-1</w:t>
            </w:r>
          </w:p>
          <w:p w14:paraId="0EC4669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 FR2 channel bandwidths in TS38.101-2 Table 5.3.5-1</w:t>
            </w:r>
          </w:p>
        </w:tc>
        <w:tc>
          <w:tcPr>
            <w:tcW w:w="556" w:type="pct"/>
            <w:vMerge w:val="restart"/>
            <w:hideMark/>
          </w:tcPr>
          <w:p w14:paraId="1FA1A23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vMerge w:val="restart"/>
          </w:tcPr>
          <w:p w14:paraId="16D9D06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UE capability signalling shall follow RP-172832 (Per-band capability signalling, separately for DL and UL and for each SCS)</w:t>
            </w:r>
          </w:p>
          <w:p w14:paraId="3D1C86C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0A6C28F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Whether a bandwidth newly introduced in future is mandatory for UE shall be discussed case by case.</w:t>
            </w:r>
          </w:p>
        </w:tc>
        <w:tc>
          <w:tcPr>
            <w:tcW w:w="1223" w:type="pct"/>
            <w:vMerge w:val="restart"/>
          </w:tcPr>
          <w:p w14:paraId="726CA6F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FR1, all the bandwidths listed in TS38.101-1 v15.0.0 Table 5.3.5-1 for each band shall be mandatory with a single CC. The bandwidths listed in the slide #3 of R4-1805985 are mandatory with a single CC. 90MHz is optional for n41, n77, n78.</w:t>
            </w:r>
          </w:p>
          <w:p w14:paraId="4D4ED2C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63FA312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FR2, the set of mandatory CBW is 50, 100, 200 MHz.</w:t>
            </w:r>
          </w:p>
        </w:tc>
      </w:tr>
      <w:tr w:rsidR="00894291" w:rsidRPr="00101C05" w14:paraId="6D4A91E7" w14:textId="683BDCDF" w:rsidTr="00894291">
        <w:trPr>
          <w:trHeight w:val="1118"/>
        </w:trPr>
        <w:tc>
          <w:tcPr>
            <w:tcW w:w="407" w:type="pct"/>
            <w:vMerge/>
            <w:vAlign w:val="center"/>
            <w:hideMark/>
          </w:tcPr>
          <w:p w14:paraId="5BB5D3EA"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ign w:val="center"/>
            <w:hideMark/>
          </w:tcPr>
          <w:p w14:paraId="698FAEB1"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706" w:type="pct"/>
            <w:vMerge/>
            <w:vAlign w:val="center"/>
            <w:hideMark/>
          </w:tcPr>
          <w:p w14:paraId="482DB1B7"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669" w:type="pct"/>
            <w:vMerge/>
            <w:vAlign w:val="center"/>
            <w:hideMark/>
          </w:tcPr>
          <w:p w14:paraId="1C078529"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556" w:type="pct"/>
            <w:vMerge/>
            <w:vAlign w:val="center"/>
            <w:hideMark/>
          </w:tcPr>
          <w:p w14:paraId="678C3AE7"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171" w:type="pct"/>
            <w:vMerge/>
            <w:vAlign w:val="center"/>
            <w:hideMark/>
          </w:tcPr>
          <w:p w14:paraId="09BC94ED"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223" w:type="pct"/>
            <w:vMerge/>
            <w:vAlign w:val="center"/>
            <w:hideMark/>
          </w:tcPr>
          <w:p w14:paraId="22A9F5E2"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r>
      <w:tr w:rsidR="00894291" w:rsidRPr="00101C05" w14:paraId="16E55F5A" w14:textId="06E17CF7" w:rsidTr="00894291">
        <w:trPr>
          <w:trHeight w:val="975"/>
        </w:trPr>
        <w:tc>
          <w:tcPr>
            <w:tcW w:w="407" w:type="pct"/>
            <w:vMerge/>
            <w:vAlign w:val="center"/>
            <w:hideMark/>
          </w:tcPr>
          <w:p w14:paraId="60CC2A9A"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ign w:val="center"/>
            <w:hideMark/>
          </w:tcPr>
          <w:p w14:paraId="138B2E24"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706" w:type="pct"/>
            <w:vMerge/>
            <w:vAlign w:val="center"/>
            <w:hideMark/>
          </w:tcPr>
          <w:p w14:paraId="5D75C689"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669" w:type="pct"/>
            <w:vMerge/>
            <w:vAlign w:val="center"/>
            <w:hideMark/>
          </w:tcPr>
          <w:p w14:paraId="0A4E5D19"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556" w:type="pct"/>
            <w:vMerge/>
            <w:vAlign w:val="center"/>
            <w:hideMark/>
          </w:tcPr>
          <w:p w14:paraId="7B564E10"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171" w:type="pct"/>
            <w:vMerge/>
            <w:vAlign w:val="center"/>
            <w:hideMark/>
          </w:tcPr>
          <w:p w14:paraId="38FDAEAE"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223" w:type="pct"/>
            <w:vMerge/>
            <w:vAlign w:val="center"/>
            <w:hideMark/>
          </w:tcPr>
          <w:p w14:paraId="77230E38"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r>
      <w:tr w:rsidR="00894291" w:rsidRPr="00101C05" w14:paraId="0E453D97" w14:textId="3F9A08CC" w:rsidTr="00894291">
        <w:trPr>
          <w:trHeight w:val="3795"/>
        </w:trPr>
        <w:tc>
          <w:tcPr>
            <w:tcW w:w="407" w:type="pct"/>
            <w:vMerge/>
            <w:vAlign w:val="center"/>
            <w:hideMark/>
          </w:tcPr>
          <w:p w14:paraId="7887AD79"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restart"/>
            <w:hideMark/>
          </w:tcPr>
          <w:p w14:paraId="0816FA7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2-2</w:t>
            </w:r>
          </w:p>
        </w:tc>
        <w:tc>
          <w:tcPr>
            <w:tcW w:w="706" w:type="pct"/>
            <w:vMerge w:val="restart"/>
            <w:hideMark/>
          </w:tcPr>
          <w:p w14:paraId="749446E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Simultaneous reception or transmission with same or different numerologies in CA</w:t>
            </w:r>
          </w:p>
        </w:tc>
        <w:tc>
          <w:tcPr>
            <w:tcW w:w="669" w:type="pct"/>
            <w:vMerge w:val="restart"/>
            <w:hideMark/>
          </w:tcPr>
          <w:p w14:paraId="77700BC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Support of simultaneous reception or transmission with same or different numerologies in CA</w:t>
            </w:r>
          </w:p>
        </w:tc>
        <w:tc>
          <w:tcPr>
            <w:tcW w:w="556" w:type="pct"/>
            <w:vMerge w:val="restart"/>
            <w:hideMark/>
          </w:tcPr>
          <w:p w14:paraId="20812D8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vMerge w:val="restart"/>
          </w:tcPr>
          <w:p w14:paraId="16BBA81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From RAN4 perspective UE shall be able to signal the supported SCS per CC for each band combination</w:t>
            </w:r>
          </w:p>
          <w:p w14:paraId="382B9E3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7C60ADF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Same numerology for intra-band NR CA including both continuous and non-continuous is mandatory support for Rel15</w:t>
            </w:r>
          </w:p>
          <w:p w14:paraId="23FED9B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02F2F41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The capability of supporting SCS within the single carrier in the CA configuration will be signalled separately, i.e., there is no need to mandatory UE to support mixed numerologies in CA case</w:t>
            </w:r>
          </w:p>
          <w:p w14:paraId="3D89AE3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65EDCB8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If a UE supports inter-band NR CA including both FR1 band(s) and FR2 band(s), the UE shall support two mixed numerologies between FR1 band(s) and FR2 band(s) in DL and UL with capability signalling.</w:t>
            </w:r>
          </w:p>
        </w:tc>
        <w:tc>
          <w:tcPr>
            <w:tcW w:w="1223" w:type="pct"/>
            <w:vMerge w:val="restart"/>
            <w:hideMark/>
          </w:tcPr>
          <w:p w14:paraId="6EA6C0F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Same numerology for intra-band NR CA including both continuous and non-continuous is mandatory with capability in both FR1 and FR2. Two mixed numerologies between FR1 band(s) and FR2 band(s) in DL and UL are mandatory with capability if UE supports inter-band NR CA including both FR1 band(s) and FR2 band(s). Optional for other cases.</w:t>
            </w:r>
          </w:p>
        </w:tc>
      </w:tr>
      <w:tr w:rsidR="00894291" w:rsidRPr="00101C05" w14:paraId="47CD8412" w14:textId="0DA86C52" w:rsidTr="00894291">
        <w:trPr>
          <w:trHeight w:val="4275"/>
        </w:trPr>
        <w:tc>
          <w:tcPr>
            <w:tcW w:w="407" w:type="pct"/>
            <w:vMerge/>
            <w:vAlign w:val="center"/>
            <w:hideMark/>
          </w:tcPr>
          <w:p w14:paraId="11588188"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ign w:val="center"/>
            <w:hideMark/>
          </w:tcPr>
          <w:p w14:paraId="0B6DF050"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706" w:type="pct"/>
            <w:vMerge/>
            <w:vAlign w:val="center"/>
            <w:hideMark/>
          </w:tcPr>
          <w:p w14:paraId="13A8DF7E"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669" w:type="pct"/>
            <w:vMerge/>
            <w:vAlign w:val="center"/>
            <w:hideMark/>
          </w:tcPr>
          <w:p w14:paraId="5092A19D"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556" w:type="pct"/>
            <w:vMerge/>
            <w:vAlign w:val="center"/>
            <w:hideMark/>
          </w:tcPr>
          <w:p w14:paraId="244EF0C2"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171" w:type="pct"/>
            <w:vMerge/>
            <w:vAlign w:val="center"/>
            <w:hideMark/>
          </w:tcPr>
          <w:p w14:paraId="03770B76"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223" w:type="pct"/>
            <w:vMerge/>
            <w:vAlign w:val="center"/>
            <w:hideMark/>
          </w:tcPr>
          <w:p w14:paraId="08FF5E33"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r>
      <w:tr w:rsidR="00894291" w:rsidRPr="00101C05" w14:paraId="2D750732" w14:textId="4EC88AD4" w:rsidTr="00894291">
        <w:trPr>
          <w:trHeight w:val="1215"/>
        </w:trPr>
        <w:tc>
          <w:tcPr>
            <w:tcW w:w="407" w:type="pct"/>
            <w:vMerge/>
            <w:vAlign w:val="center"/>
            <w:hideMark/>
          </w:tcPr>
          <w:p w14:paraId="32509390"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restart"/>
            <w:hideMark/>
          </w:tcPr>
          <w:p w14:paraId="5839B9C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2-3</w:t>
            </w:r>
          </w:p>
        </w:tc>
        <w:tc>
          <w:tcPr>
            <w:tcW w:w="706" w:type="pct"/>
            <w:vMerge w:val="restart"/>
            <w:hideMark/>
          </w:tcPr>
          <w:p w14:paraId="3999DA0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Non-contiguous intra-band CA frequency separation class for FR2</w:t>
            </w:r>
          </w:p>
        </w:tc>
        <w:tc>
          <w:tcPr>
            <w:tcW w:w="669" w:type="pct"/>
            <w:vMerge w:val="restart"/>
            <w:hideMark/>
          </w:tcPr>
          <w:p w14:paraId="5E4EB96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Support of frequency separation classes to handle the total frequency span for DL for intra-band non-contiguous CA</w:t>
            </w:r>
          </w:p>
          <w:p w14:paraId="0D2B835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 Support of frequency separation classes to handle the total frequency span for UL for intra-band non-contiguous CA</w:t>
            </w:r>
          </w:p>
        </w:tc>
        <w:tc>
          <w:tcPr>
            <w:tcW w:w="556" w:type="pct"/>
            <w:vMerge w:val="restart"/>
            <w:hideMark/>
          </w:tcPr>
          <w:p w14:paraId="595AF2D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FR2</w:t>
            </w:r>
          </w:p>
        </w:tc>
        <w:tc>
          <w:tcPr>
            <w:tcW w:w="1171" w:type="pct"/>
            <w:vMerge w:val="restart"/>
          </w:tcPr>
          <w:p w14:paraId="1123894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UE signals the supported Frequency separation classes with per band granularity (Type 1) based on R4-1803363</w:t>
            </w:r>
          </w:p>
          <w:p w14:paraId="1B5590A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3C9C25A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Separate Frequency separation classes can be signalled for DL and UL</w:t>
            </w:r>
          </w:p>
        </w:tc>
        <w:tc>
          <w:tcPr>
            <w:tcW w:w="1223" w:type="pct"/>
            <w:vMerge w:val="restart"/>
            <w:hideMark/>
          </w:tcPr>
          <w:p w14:paraId="4D5E15B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to support a frequency separation class within {I, II, III} specified in TS38.101-2 with capability if UE supports non-contiguous CA in FR2</w:t>
            </w:r>
          </w:p>
        </w:tc>
      </w:tr>
      <w:tr w:rsidR="00894291" w:rsidRPr="00101C05" w14:paraId="1335753D" w14:textId="7C71DD98" w:rsidTr="00894291">
        <w:trPr>
          <w:trHeight w:val="1260"/>
        </w:trPr>
        <w:tc>
          <w:tcPr>
            <w:tcW w:w="407" w:type="pct"/>
            <w:vMerge/>
            <w:vAlign w:val="center"/>
            <w:hideMark/>
          </w:tcPr>
          <w:p w14:paraId="7DA1D596"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ign w:val="center"/>
            <w:hideMark/>
          </w:tcPr>
          <w:p w14:paraId="448BE62F"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706" w:type="pct"/>
            <w:vMerge/>
            <w:vAlign w:val="center"/>
            <w:hideMark/>
          </w:tcPr>
          <w:p w14:paraId="460A7B4E"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669" w:type="pct"/>
            <w:vMerge/>
            <w:vAlign w:val="center"/>
            <w:hideMark/>
          </w:tcPr>
          <w:p w14:paraId="1B293E33"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556" w:type="pct"/>
            <w:vMerge/>
            <w:vAlign w:val="center"/>
            <w:hideMark/>
          </w:tcPr>
          <w:p w14:paraId="1843DC5B"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171" w:type="pct"/>
            <w:vMerge/>
            <w:vAlign w:val="center"/>
            <w:hideMark/>
          </w:tcPr>
          <w:p w14:paraId="7E6960E0"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223" w:type="pct"/>
            <w:vMerge/>
            <w:vAlign w:val="center"/>
            <w:hideMark/>
          </w:tcPr>
          <w:p w14:paraId="2BB67F11"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r>
      <w:tr w:rsidR="00894291" w:rsidRPr="00101C05" w14:paraId="49A639F3" w14:textId="6DA922D3" w:rsidTr="00894291">
        <w:tc>
          <w:tcPr>
            <w:tcW w:w="407" w:type="pct"/>
            <w:vMerge/>
            <w:vAlign w:val="center"/>
            <w:hideMark/>
          </w:tcPr>
          <w:p w14:paraId="04DF5245"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0663E1E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2-4</w:t>
            </w:r>
          </w:p>
        </w:tc>
        <w:tc>
          <w:tcPr>
            <w:tcW w:w="706" w:type="pct"/>
            <w:hideMark/>
          </w:tcPr>
          <w:p w14:paraId="40DD532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 xml:space="preserve">Simultaneous reception and transmission for inter-band EN-DC </w:t>
            </w:r>
            <w:r w:rsidRPr="00101C05">
              <w:rPr>
                <w:rFonts w:ascii="Arial" w:eastAsia="Times New Roman" w:hAnsi="Arial" w:cs="Arial"/>
                <w:sz w:val="18"/>
                <w:lang w:eastAsia="ja-JP"/>
              </w:rPr>
              <w:lastRenderedPageBreak/>
              <w:t>(TDD-TDD or TDD-FDD)</w:t>
            </w:r>
          </w:p>
        </w:tc>
        <w:tc>
          <w:tcPr>
            <w:tcW w:w="669" w:type="pct"/>
            <w:hideMark/>
          </w:tcPr>
          <w:p w14:paraId="05CBAD8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 xml:space="preserve">Simultaneous reception and transmission for inter-band EN-DC </w:t>
            </w:r>
            <w:r w:rsidRPr="00101C05">
              <w:rPr>
                <w:rFonts w:ascii="Arial" w:eastAsia="Times New Roman" w:hAnsi="Arial" w:cs="Arial"/>
                <w:sz w:val="18"/>
                <w:lang w:eastAsia="ja-JP"/>
              </w:rPr>
              <w:lastRenderedPageBreak/>
              <w:t>(TDD-TDD or TDD-FDD)</w:t>
            </w:r>
          </w:p>
        </w:tc>
        <w:tc>
          <w:tcPr>
            <w:tcW w:w="556" w:type="pct"/>
            <w:hideMark/>
          </w:tcPr>
          <w:p w14:paraId="71CDBE6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No</w:t>
            </w:r>
          </w:p>
        </w:tc>
        <w:tc>
          <w:tcPr>
            <w:tcW w:w="1171" w:type="pct"/>
          </w:tcPr>
          <w:p w14:paraId="7D0E80D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 xml:space="preserve">For TDD-FDD and TDD-TDD band combinations for which simultaneous RxTx capability is agreed to be supported, </w:t>
            </w:r>
            <w:r w:rsidRPr="00101C05">
              <w:rPr>
                <w:rFonts w:ascii="Arial" w:eastAsia="Times New Roman" w:hAnsi="Arial" w:cs="Arial"/>
                <w:sz w:val="18"/>
                <w:lang w:eastAsia="ja-JP"/>
              </w:rPr>
              <w:lastRenderedPageBreak/>
              <w:t>corresponding capability indication must be set to "supported".</w:t>
            </w:r>
          </w:p>
          <w:p w14:paraId="3072531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2CEB354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Band combinations for which simultaneous RxTx capability is mandatory EN-DC combinations (Both FR1 LTE – FR1 NR and FR1 LTE- FR2 NR) are captured in TS 38.101-3.</w:t>
            </w:r>
          </w:p>
        </w:tc>
        <w:tc>
          <w:tcPr>
            <w:tcW w:w="1223" w:type="pct"/>
            <w:hideMark/>
          </w:tcPr>
          <w:p w14:paraId="566707E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Mandatory/Optional support depends on band combination and captured in TS 38.101-3</w:t>
            </w:r>
          </w:p>
        </w:tc>
      </w:tr>
      <w:tr w:rsidR="00894291" w:rsidRPr="00101C05" w14:paraId="16A778B0" w14:textId="6FB41B9E" w:rsidTr="00894291">
        <w:tc>
          <w:tcPr>
            <w:tcW w:w="407" w:type="pct"/>
            <w:vMerge/>
            <w:vAlign w:val="center"/>
            <w:hideMark/>
          </w:tcPr>
          <w:p w14:paraId="0909F8BF"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5E98663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2-5</w:t>
            </w:r>
          </w:p>
        </w:tc>
        <w:tc>
          <w:tcPr>
            <w:tcW w:w="706" w:type="pct"/>
            <w:hideMark/>
          </w:tcPr>
          <w:p w14:paraId="179639F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Simultaneous reception and transmission for inter band CA (TDD-TDD or TDD-FDD)</w:t>
            </w:r>
          </w:p>
        </w:tc>
        <w:tc>
          <w:tcPr>
            <w:tcW w:w="669" w:type="pct"/>
            <w:hideMark/>
          </w:tcPr>
          <w:p w14:paraId="793AF82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Simultaneous reception and transmission for inter band CA (TDD-TDD or TDD-FDD)</w:t>
            </w:r>
          </w:p>
        </w:tc>
        <w:tc>
          <w:tcPr>
            <w:tcW w:w="556" w:type="pct"/>
            <w:hideMark/>
          </w:tcPr>
          <w:p w14:paraId="664F8D5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tcPr>
          <w:p w14:paraId="14EE4F6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For TDD-FDD and TDD-TDD band combinations for which simultaneous RxTx capability is agreed to be supported, corresponding capability indication must be set to "supported".</w:t>
            </w:r>
          </w:p>
          <w:p w14:paraId="1568BB2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6DE0520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Band combinations for which simultaneous RxTx capability is mandatory are captured in TS 38.101-1, TS 38.101-2 and TS 38.101-3.</w:t>
            </w:r>
          </w:p>
        </w:tc>
        <w:tc>
          <w:tcPr>
            <w:tcW w:w="1223" w:type="pct"/>
            <w:hideMark/>
          </w:tcPr>
          <w:p w14:paraId="51B7E3B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Mandatory/Optional support depends on band combination and captured in TS 38.101-1, TS 38.101-2 and TS 38.101-3</w:t>
            </w:r>
          </w:p>
        </w:tc>
      </w:tr>
      <w:tr w:rsidR="00894291" w:rsidRPr="00101C05" w14:paraId="4864A621" w14:textId="36863F6C" w:rsidTr="00894291">
        <w:tc>
          <w:tcPr>
            <w:tcW w:w="407" w:type="pct"/>
            <w:vMerge/>
            <w:vAlign w:val="center"/>
            <w:hideMark/>
          </w:tcPr>
          <w:p w14:paraId="31CDBAED"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3C88D86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2-6</w:t>
            </w:r>
          </w:p>
        </w:tc>
        <w:tc>
          <w:tcPr>
            <w:tcW w:w="706" w:type="pct"/>
            <w:hideMark/>
          </w:tcPr>
          <w:p w14:paraId="68E3047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Asynchronous FDD-FDD intra-band EN-DC DC</w:t>
            </w:r>
          </w:p>
        </w:tc>
        <w:tc>
          <w:tcPr>
            <w:tcW w:w="669" w:type="pct"/>
            <w:hideMark/>
          </w:tcPr>
          <w:p w14:paraId="682F3EA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Asynchronous FDD-FDD intra-band EN-DC</w:t>
            </w:r>
          </w:p>
        </w:tc>
        <w:tc>
          <w:tcPr>
            <w:tcW w:w="556" w:type="pct"/>
            <w:hideMark/>
          </w:tcPr>
          <w:p w14:paraId="77830B9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FR1</w:t>
            </w:r>
          </w:p>
        </w:tc>
        <w:tc>
          <w:tcPr>
            <w:tcW w:w="1171" w:type="pct"/>
          </w:tcPr>
          <w:p w14:paraId="796197C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tc>
        <w:tc>
          <w:tcPr>
            <w:tcW w:w="1223" w:type="pct"/>
            <w:hideMark/>
          </w:tcPr>
          <w:p w14:paraId="300845A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186F4E92" w14:textId="2CAF16AF" w:rsidTr="00894291">
        <w:tc>
          <w:tcPr>
            <w:tcW w:w="407" w:type="pct"/>
            <w:vMerge/>
            <w:vAlign w:val="center"/>
            <w:hideMark/>
          </w:tcPr>
          <w:p w14:paraId="58461C00"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14AD07F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2-7</w:t>
            </w:r>
          </w:p>
        </w:tc>
        <w:tc>
          <w:tcPr>
            <w:tcW w:w="706" w:type="pct"/>
            <w:hideMark/>
          </w:tcPr>
          <w:p w14:paraId="4D16572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Almost contiguous UL CP-OFDM</w:t>
            </w:r>
          </w:p>
        </w:tc>
        <w:tc>
          <w:tcPr>
            <w:tcW w:w="669" w:type="pct"/>
            <w:hideMark/>
          </w:tcPr>
          <w:p w14:paraId="6D1A729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Support of almost contiguous UL CP-OFDM transmissions</w:t>
            </w:r>
          </w:p>
        </w:tc>
        <w:tc>
          <w:tcPr>
            <w:tcW w:w="556" w:type="pct"/>
            <w:hideMark/>
          </w:tcPr>
          <w:p w14:paraId="2AAC167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Yes</w:t>
            </w:r>
          </w:p>
        </w:tc>
        <w:tc>
          <w:tcPr>
            <w:tcW w:w="1171" w:type="pct"/>
            <w:hideMark/>
          </w:tcPr>
          <w:p w14:paraId="26E7228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RAN4 had defined the requirements for "Almost contiguous UL CP-OFDM" in Rel-15.</w:t>
            </w:r>
          </w:p>
        </w:tc>
        <w:tc>
          <w:tcPr>
            <w:tcW w:w="1223" w:type="pct"/>
            <w:hideMark/>
          </w:tcPr>
          <w:p w14:paraId="0C25926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002477EA" w14:textId="078C248C" w:rsidTr="00894291">
        <w:trPr>
          <w:trHeight w:val="2070"/>
        </w:trPr>
        <w:tc>
          <w:tcPr>
            <w:tcW w:w="407" w:type="pct"/>
            <w:vMerge/>
            <w:vAlign w:val="center"/>
            <w:hideMark/>
          </w:tcPr>
          <w:p w14:paraId="0125EAE5"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restart"/>
            <w:hideMark/>
          </w:tcPr>
          <w:p w14:paraId="26B0FAF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2-8</w:t>
            </w:r>
          </w:p>
        </w:tc>
        <w:tc>
          <w:tcPr>
            <w:tcW w:w="706" w:type="pct"/>
            <w:vMerge w:val="restart"/>
            <w:hideMark/>
          </w:tcPr>
          <w:p w14:paraId="6E9933F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UE power class</w:t>
            </w:r>
          </w:p>
        </w:tc>
        <w:tc>
          <w:tcPr>
            <w:tcW w:w="669" w:type="pct"/>
            <w:vMerge w:val="restart"/>
            <w:hideMark/>
          </w:tcPr>
          <w:p w14:paraId="066B8CB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Support of FR1 UE power class</w:t>
            </w:r>
          </w:p>
          <w:p w14:paraId="6701519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 Support of FR2 UE power class</w:t>
            </w:r>
          </w:p>
          <w:p w14:paraId="38A31DC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3) Support of FR1 UE power class for EN-DC</w:t>
            </w:r>
          </w:p>
          <w:p w14:paraId="64B9A5D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4) Support of FR1 UE power class for NR-CA</w:t>
            </w:r>
          </w:p>
        </w:tc>
        <w:tc>
          <w:tcPr>
            <w:tcW w:w="556" w:type="pct"/>
            <w:vMerge w:val="restart"/>
            <w:hideMark/>
          </w:tcPr>
          <w:p w14:paraId="411D224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vMerge w:val="restart"/>
          </w:tcPr>
          <w:p w14:paraId="15B97FA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Capability signalling</w:t>
            </w:r>
          </w:p>
          <w:p w14:paraId="0861D19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FR1 UE power class (per band)</w:t>
            </w:r>
          </w:p>
          <w:p w14:paraId="2BB1D3F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FR2 UE power class (per band)</w:t>
            </w:r>
          </w:p>
          <w:p w14:paraId="601C685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FR1 UE power class for EN-DC (per band combination)</w:t>
            </w:r>
          </w:p>
          <w:p w14:paraId="3CDCB13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FR1 UE power class for NR CA (per band combination)</w:t>
            </w:r>
          </w:p>
          <w:p w14:paraId="7988823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04F8915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Default power class for each component is indicated in TS38.101-1/2/3. If the default power class is not indicated, UE shall report supported power class. The component 2) is also used as power class for intra-band NR-CA in FR2</w:t>
            </w:r>
          </w:p>
        </w:tc>
        <w:tc>
          <w:tcPr>
            <w:tcW w:w="1223" w:type="pct"/>
            <w:vMerge w:val="restart"/>
            <w:hideMark/>
          </w:tcPr>
          <w:p w14:paraId="4EED495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to support at least one power class with capability. The capability signalling is absent if UE supports only default power class</w:t>
            </w:r>
          </w:p>
        </w:tc>
      </w:tr>
      <w:tr w:rsidR="00894291" w:rsidRPr="00101C05" w14:paraId="090AA4CF" w14:textId="34843D66" w:rsidTr="00894291">
        <w:trPr>
          <w:trHeight w:val="2265"/>
        </w:trPr>
        <w:tc>
          <w:tcPr>
            <w:tcW w:w="407" w:type="pct"/>
            <w:vMerge/>
            <w:vAlign w:val="center"/>
            <w:hideMark/>
          </w:tcPr>
          <w:p w14:paraId="1218FA8B"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vMerge/>
            <w:vAlign w:val="center"/>
            <w:hideMark/>
          </w:tcPr>
          <w:p w14:paraId="63505241"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706" w:type="pct"/>
            <w:vMerge/>
            <w:vAlign w:val="center"/>
            <w:hideMark/>
          </w:tcPr>
          <w:p w14:paraId="1B7072D2"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669" w:type="pct"/>
            <w:vMerge/>
            <w:vAlign w:val="center"/>
            <w:hideMark/>
          </w:tcPr>
          <w:p w14:paraId="43F19ADC"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556" w:type="pct"/>
            <w:vMerge/>
            <w:vAlign w:val="center"/>
            <w:hideMark/>
          </w:tcPr>
          <w:p w14:paraId="26CEC915"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171" w:type="pct"/>
            <w:vMerge/>
            <w:vAlign w:val="center"/>
            <w:hideMark/>
          </w:tcPr>
          <w:p w14:paraId="6604F854"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1223" w:type="pct"/>
            <w:vMerge/>
            <w:vAlign w:val="center"/>
            <w:hideMark/>
          </w:tcPr>
          <w:p w14:paraId="67B79637"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r>
      <w:tr w:rsidR="00894291" w:rsidRPr="00101C05" w14:paraId="6117F7F7" w14:textId="016D2093" w:rsidTr="00894291">
        <w:tc>
          <w:tcPr>
            <w:tcW w:w="407" w:type="pct"/>
            <w:vMerge/>
            <w:vAlign w:val="center"/>
            <w:hideMark/>
          </w:tcPr>
          <w:p w14:paraId="78615118"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4870F2E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2-9</w:t>
            </w:r>
          </w:p>
        </w:tc>
        <w:tc>
          <w:tcPr>
            <w:tcW w:w="706" w:type="pct"/>
            <w:hideMark/>
          </w:tcPr>
          <w:p w14:paraId="3022E15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Simultaneous reception and transmission for SA SUL band combinations</w:t>
            </w:r>
          </w:p>
        </w:tc>
        <w:tc>
          <w:tcPr>
            <w:tcW w:w="669" w:type="pct"/>
            <w:hideMark/>
          </w:tcPr>
          <w:p w14:paraId="452B3ED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Simultaneous reception and transmission for SA SUL band combinations</w:t>
            </w:r>
          </w:p>
        </w:tc>
        <w:tc>
          <w:tcPr>
            <w:tcW w:w="556" w:type="pct"/>
            <w:hideMark/>
          </w:tcPr>
          <w:p w14:paraId="27158F9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tcPr>
          <w:p w14:paraId="0132B8D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tc>
        <w:tc>
          <w:tcPr>
            <w:tcW w:w="1223" w:type="pct"/>
            <w:hideMark/>
          </w:tcPr>
          <w:p w14:paraId="11EA35A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Mandatory/Optional support depends on band combination and captured in TS 38.101-1</w:t>
            </w:r>
          </w:p>
        </w:tc>
      </w:tr>
      <w:tr w:rsidR="00894291" w:rsidRPr="00101C05" w14:paraId="3E8D0D97" w14:textId="2D37C11A" w:rsidTr="00894291">
        <w:tc>
          <w:tcPr>
            <w:tcW w:w="407" w:type="pct"/>
            <w:vMerge/>
            <w:vAlign w:val="center"/>
            <w:hideMark/>
          </w:tcPr>
          <w:p w14:paraId="6F90B6F3"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1DC7864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2-10</w:t>
            </w:r>
          </w:p>
        </w:tc>
        <w:tc>
          <w:tcPr>
            <w:tcW w:w="706" w:type="pct"/>
            <w:hideMark/>
          </w:tcPr>
          <w:p w14:paraId="0A784C4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Multiple frequency band indication</w:t>
            </w:r>
          </w:p>
        </w:tc>
        <w:tc>
          <w:tcPr>
            <w:tcW w:w="669" w:type="pct"/>
            <w:hideMark/>
          </w:tcPr>
          <w:p w14:paraId="4412455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Multiple frequency band indication</w:t>
            </w:r>
          </w:p>
        </w:tc>
        <w:tc>
          <w:tcPr>
            <w:tcW w:w="556" w:type="pct"/>
            <w:hideMark/>
          </w:tcPr>
          <w:p w14:paraId="0BFBBBE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hideMark/>
          </w:tcPr>
          <w:p w14:paraId="536472D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UE capability</w:t>
            </w:r>
          </w:p>
        </w:tc>
        <w:tc>
          <w:tcPr>
            <w:tcW w:w="1223" w:type="pct"/>
            <w:hideMark/>
          </w:tcPr>
          <w:p w14:paraId="4F95BD5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without capability signalling</w:t>
            </w:r>
          </w:p>
        </w:tc>
      </w:tr>
      <w:tr w:rsidR="00894291" w:rsidRPr="00101C05" w14:paraId="3D6F30CD" w14:textId="15DECD4A" w:rsidTr="00894291">
        <w:tc>
          <w:tcPr>
            <w:tcW w:w="407" w:type="pct"/>
            <w:vMerge/>
            <w:vAlign w:val="center"/>
            <w:hideMark/>
          </w:tcPr>
          <w:p w14:paraId="444F3E09"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2F0BB37E"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2-11</w:t>
            </w:r>
          </w:p>
        </w:tc>
        <w:tc>
          <w:tcPr>
            <w:tcW w:w="706" w:type="pct"/>
            <w:hideMark/>
          </w:tcPr>
          <w:p w14:paraId="6EF1A28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Modified MPR behaviour</w:t>
            </w:r>
          </w:p>
        </w:tc>
        <w:tc>
          <w:tcPr>
            <w:tcW w:w="669" w:type="pct"/>
            <w:hideMark/>
          </w:tcPr>
          <w:p w14:paraId="46F58A0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Modified MPR behaviour</w:t>
            </w:r>
          </w:p>
        </w:tc>
        <w:tc>
          <w:tcPr>
            <w:tcW w:w="556" w:type="pct"/>
            <w:hideMark/>
          </w:tcPr>
          <w:p w14:paraId="54BE3A1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hideMark/>
          </w:tcPr>
          <w:p w14:paraId="20C759A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capability</w:t>
            </w:r>
          </w:p>
        </w:tc>
        <w:tc>
          <w:tcPr>
            <w:tcW w:w="1223" w:type="pct"/>
            <w:hideMark/>
          </w:tcPr>
          <w:p w14:paraId="1AC61DB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7212B3C8" w14:textId="185EC273" w:rsidTr="00894291">
        <w:tc>
          <w:tcPr>
            <w:tcW w:w="407" w:type="pct"/>
            <w:vMerge/>
            <w:vAlign w:val="center"/>
            <w:hideMark/>
          </w:tcPr>
          <w:p w14:paraId="6DB00635"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14EB020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2-12</w:t>
            </w:r>
          </w:p>
        </w:tc>
        <w:tc>
          <w:tcPr>
            <w:tcW w:w="706" w:type="pct"/>
            <w:hideMark/>
          </w:tcPr>
          <w:p w14:paraId="16B8F02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Multiple NS/P-Max</w:t>
            </w:r>
          </w:p>
        </w:tc>
        <w:tc>
          <w:tcPr>
            <w:tcW w:w="669" w:type="pct"/>
            <w:hideMark/>
          </w:tcPr>
          <w:p w14:paraId="4FE1D17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Multiple NS/P-Max</w:t>
            </w:r>
          </w:p>
        </w:tc>
        <w:tc>
          <w:tcPr>
            <w:tcW w:w="556" w:type="pct"/>
            <w:hideMark/>
          </w:tcPr>
          <w:p w14:paraId="252CF4F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hideMark/>
          </w:tcPr>
          <w:p w14:paraId="48BF109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UE capability</w:t>
            </w:r>
          </w:p>
        </w:tc>
        <w:tc>
          <w:tcPr>
            <w:tcW w:w="1223" w:type="pct"/>
            <w:hideMark/>
          </w:tcPr>
          <w:p w14:paraId="64ECF8D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without capability signalling</w:t>
            </w:r>
          </w:p>
        </w:tc>
      </w:tr>
      <w:tr w:rsidR="00894291" w:rsidRPr="00101C05" w14:paraId="14ED5E3B" w14:textId="3C0254EF" w:rsidTr="00894291">
        <w:tc>
          <w:tcPr>
            <w:tcW w:w="407" w:type="pct"/>
            <w:vMerge/>
            <w:vAlign w:val="center"/>
            <w:hideMark/>
          </w:tcPr>
          <w:p w14:paraId="5287E688"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42A3D86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2-13</w:t>
            </w:r>
          </w:p>
        </w:tc>
        <w:tc>
          <w:tcPr>
            <w:tcW w:w="706" w:type="pct"/>
            <w:hideMark/>
          </w:tcPr>
          <w:p w14:paraId="22B0ED7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Maximum uplink duty cycle for FR1 power class 2 UE</w:t>
            </w:r>
          </w:p>
        </w:tc>
        <w:tc>
          <w:tcPr>
            <w:tcW w:w="669" w:type="pct"/>
            <w:hideMark/>
          </w:tcPr>
          <w:p w14:paraId="7891A04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 xml:space="preserve">Maximum percentage of uplink symbols can be scheduled within a certain evaluation period provided by regulatory bodies. The value range is </w:t>
            </w:r>
            <w:r w:rsidRPr="00101C05">
              <w:rPr>
                <w:rFonts w:ascii="Arial" w:eastAsia="Times New Roman" w:hAnsi="Arial" w:cs="Arial"/>
                <w:sz w:val="18"/>
                <w:lang w:eastAsia="ja-JP"/>
              </w:rPr>
              <w:lastRenderedPageBreak/>
              <w:t>{60%, 70%, 80%, 90%, 100%}. If the field is absent, 50% shall be applied.</w:t>
            </w:r>
          </w:p>
        </w:tc>
        <w:tc>
          <w:tcPr>
            <w:tcW w:w="556" w:type="pct"/>
            <w:hideMark/>
          </w:tcPr>
          <w:p w14:paraId="05BDAAC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Applicable only to FR1</w:t>
            </w:r>
          </w:p>
        </w:tc>
        <w:tc>
          <w:tcPr>
            <w:tcW w:w="1171" w:type="pct"/>
          </w:tcPr>
          <w:p w14:paraId="584DE4D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capability.</w:t>
            </w:r>
          </w:p>
          <w:p w14:paraId="3F50132C"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7DFC526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 xml:space="preserve">If this capability is absent and the percentage of uplink symbols transmitted in a certain evaluation period is larger than 50%, or this capability is not absent and the percentage of uplink symbols transmitted in a certain evaluation </w:t>
            </w:r>
            <w:r w:rsidRPr="00101C05">
              <w:rPr>
                <w:rFonts w:ascii="Arial" w:eastAsia="Times New Roman" w:hAnsi="Arial" w:cs="Arial"/>
                <w:sz w:val="18"/>
                <w:lang w:eastAsia="ja-JP"/>
              </w:rPr>
              <w:lastRenderedPageBreak/>
              <w:t>period is larger than this capability, apply all requirements for the default power class. The evaluation period is up to UE implementation, no less than one radio frame.</w:t>
            </w:r>
          </w:p>
          <w:p w14:paraId="53F1337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674F7EF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UE do not need to do UL duty cycle calculation when it's transmit power is below 23dBm and all the UL/DL configurations can be scheduled.</w:t>
            </w:r>
          </w:p>
        </w:tc>
        <w:tc>
          <w:tcPr>
            <w:tcW w:w="1223" w:type="pct"/>
            <w:hideMark/>
          </w:tcPr>
          <w:p w14:paraId="6FC5DE48"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Optional with capability signalling. The capability signalling is absent if UE supports 50%</w:t>
            </w:r>
          </w:p>
        </w:tc>
      </w:tr>
      <w:tr w:rsidR="00894291" w:rsidRPr="00101C05" w14:paraId="6F596771" w14:textId="342D80DB" w:rsidTr="00894291">
        <w:tc>
          <w:tcPr>
            <w:tcW w:w="407" w:type="pct"/>
            <w:vMerge/>
            <w:vAlign w:val="center"/>
            <w:hideMark/>
          </w:tcPr>
          <w:p w14:paraId="7144AA76"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724C777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2-14</w:t>
            </w:r>
          </w:p>
        </w:tc>
        <w:tc>
          <w:tcPr>
            <w:tcW w:w="706" w:type="pct"/>
            <w:hideMark/>
          </w:tcPr>
          <w:p w14:paraId="7A8EE63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Power boosting for Pi/2 BPSK for power class 3 UE</w:t>
            </w:r>
          </w:p>
        </w:tc>
        <w:tc>
          <w:tcPr>
            <w:tcW w:w="669" w:type="pct"/>
            <w:hideMark/>
          </w:tcPr>
          <w:p w14:paraId="5722C6C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Power boosting for Pi/2 BPSK for power class 3 UE in TDD bands n40, n77, n78 and n79 with duty cycle less than 40%</w:t>
            </w:r>
          </w:p>
        </w:tc>
        <w:tc>
          <w:tcPr>
            <w:tcW w:w="556" w:type="pct"/>
            <w:hideMark/>
          </w:tcPr>
          <w:p w14:paraId="6C31022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FR1</w:t>
            </w:r>
          </w:p>
        </w:tc>
        <w:tc>
          <w:tcPr>
            <w:tcW w:w="1171" w:type="pct"/>
            <w:hideMark/>
          </w:tcPr>
          <w:p w14:paraId="2F2BA88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capability</w:t>
            </w:r>
          </w:p>
        </w:tc>
        <w:tc>
          <w:tcPr>
            <w:tcW w:w="1223" w:type="pct"/>
            <w:hideMark/>
          </w:tcPr>
          <w:p w14:paraId="38ECCBF6"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200080FD" w14:textId="51D5D3A6" w:rsidTr="00894291">
        <w:tc>
          <w:tcPr>
            <w:tcW w:w="407" w:type="pct"/>
            <w:vMerge/>
            <w:vAlign w:val="center"/>
            <w:hideMark/>
          </w:tcPr>
          <w:p w14:paraId="53E25A67"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2DB3011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2-15</w:t>
            </w:r>
          </w:p>
        </w:tc>
        <w:tc>
          <w:tcPr>
            <w:tcW w:w="706" w:type="pct"/>
            <w:hideMark/>
          </w:tcPr>
          <w:p w14:paraId="473E1A9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Maximum uplink duty cycle for FR2</w:t>
            </w:r>
          </w:p>
        </w:tc>
        <w:tc>
          <w:tcPr>
            <w:tcW w:w="669" w:type="pct"/>
            <w:hideMark/>
          </w:tcPr>
          <w:p w14:paraId="348DD12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1) Maximum percentage of uplink transmission time that can be scheduled within 1s time window in order to ensure compliance with applicable electromagnetic power density exposure requirements provided by regulatory bodies. The value range is {15%, 20%, 25%, 30%, 40%, 50%, 60%, 70%, 80%, 90%, 100%}.</w:t>
            </w:r>
          </w:p>
        </w:tc>
        <w:tc>
          <w:tcPr>
            <w:tcW w:w="556" w:type="pct"/>
            <w:hideMark/>
          </w:tcPr>
          <w:p w14:paraId="3F9E23B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Applicable only to FR2</w:t>
            </w:r>
          </w:p>
        </w:tc>
        <w:tc>
          <w:tcPr>
            <w:tcW w:w="1171" w:type="pct"/>
          </w:tcPr>
          <w:p w14:paraId="30CC9C5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capability.</w:t>
            </w:r>
          </w:p>
          <w:p w14:paraId="34976BCF"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If the field of UE capability is present and the percentage of uplink symbols transmitted within any 1 s evaluation period is larger than this capability, the UE follows the uplink scheduling and can apply P-MPR as in TS38.101-2. If the field of UE capability is absent, the compliance to electromagnetic power density exposure requirements are ensured by means of scaling down the power density or by other means.</w:t>
            </w:r>
          </w:p>
          <w:p w14:paraId="300FBDB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p>
          <w:p w14:paraId="66EED7D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This capability is applicable for all power classes in FR2</w:t>
            </w:r>
          </w:p>
        </w:tc>
        <w:tc>
          <w:tcPr>
            <w:tcW w:w="1223" w:type="pct"/>
            <w:hideMark/>
          </w:tcPr>
          <w:p w14:paraId="73DA7D2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Optional with capability signalling</w:t>
            </w:r>
          </w:p>
        </w:tc>
      </w:tr>
      <w:tr w:rsidR="00894291" w:rsidRPr="00101C05" w14:paraId="3B1ECE61" w14:textId="1BB37E20" w:rsidTr="00894291">
        <w:tc>
          <w:tcPr>
            <w:tcW w:w="407" w:type="pct"/>
            <w:vMerge/>
            <w:vAlign w:val="center"/>
            <w:hideMark/>
          </w:tcPr>
          <w:p w14:paraId="4E611D63"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7EB130A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2-16</w:t>
            </w:r>
          </w:p>
        </w:tc>
        <w:tc>
          <w:tcPr>
            <w:tcW w:w="706" w:type="pct"/>
            <w:hideMark/>
          </w:tcPr>
          <w:p w14:paraId="6EA3B69A"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PA architectures for intra-band EN-DC</w:t>
            </w:r>
          </w:p>
        </w:tc>
        <w:tc>
          <w:tcPr>
            <w:tcW w:w="669" w:type="pct"/>
            <w:hideMark/>
          </w:tcPr>
          <w:p w14:paraId="19A1269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Support of dual PA</w:t>
            </w:r>
          </w:p>
        </w:tc>
        <w:tc>
          <w:tcPr>
            <w:tcW w:w="556" w:type="pct"/>
            <w:hideMark/>
          </w:tcPr>
          <w:p w14:paraId="5653017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hideMark/>
          </w:tcPr>
          <w:p w14:paraId="496C276B"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per band combination capability</w:t>
            </w:r>
          </w:p>
          <w:p w14:paraId="55311102"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Single PA is default architecture</w:t>
            </w:r>
          </w:p>
          <w:p w14:paraId="56664B19"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The following requirements are involved by this capability</w:t>
            </w:r>
          </w:p>
          <w:p w14:paraId="2D5BE1F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A-MPR/MPR and MSD values for dual uplink. Whether two sets of requirements will be introduced in RAN4 can be further discussed for each specific band combination</w:t>
            </w:r>
          </w:p>
          <w:p w14:paraId="38F87914"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Switching time between LTE UL and NR UL in single switched UL operation mode for intra-band EN-DC</w:t>
            </w:r>
          </w:p>
        </w:tc>
        <w:tc>
          <w:tcPr>
            <w:tcW w:w="1223" w:type="pct"/>
            <w:hideMark/>
          </w:tcPr>
          <w:p w14:paraId="2F49BE8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Mandatory to support either single or dual PA architectures with capability if UE supports intra-band EN-DC configuration in uplink. The capability signalling is absent if UE supports single PA architecture.</w:t>
            </w:r>
          </w:p>
        </w:tc>
      </w:tr>
      <w:tr w:rsidR="00894291" w:rsidRPr="00101C05" w14:paraId="0E280DFE" w14:textId="510E5309" w:rsidTr="00894291">
        <w:tc>
          <w:tcPr>
            <w:tcW w:w="407" w:type="pct"/>
            <w:vMerge/>
            <w:vAlign w:val="center"/>
            <w:hideMark/>
          </w:tcPr>
          <w:p w14:paraId="27E045D1" w14:textId="77777777" w:rsidR="00894291" w:rsidRPr="00101C05" w:rsidRDefault="00894291" w:rsidP="00FF6923">
            <w:pPr>
              <w:widowControl/>
              <w:jc w:val="left"/>
              <w:rPr>
                <w:rFonts w:ascii="Arial" w:eastAsia="Times New Roman" w:hAnsi="Arial" w:cs="Times New Roman"/>
                <w:kern w:val="0"/>
                <w:sz w:val="18"/>
                <w:szCs w:val="20"/>
                <w:lang w:val="en-GB" w:eastAsia="ja-JP"/>
              </w:rPr>
            </w:pPr>
          </w:p>
        </w:tc>
        <w:tc>
          <w:tcPr>
            <w:tcW w:w="269" w:type="pct"/>
            <w:hideMark/>
          </w:tcPr>
          <w:p w14:paraId="61E32FF3"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2-17</w:t>
            </w:r>
          </w:p>
        </w:tc>
        <w:tc>
          <w:tcPr>
            <w:tcW w:w="706" w:type="pct"/>
            <w:hideMark/>
          </w:tcPr>
          <w:p w14:paraId="63B372F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PA architectures for intra-band UL CA</w:t>
            </w:r>
          </w:p>
        </w:tc>
        <w:tc>
          <w:tcPr>
            <w:tcW w:w="669" w:type="pct"/>
            <w:hideMark/>
          </w:tcPr>
          <w:p w14:paraId="764F3B7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Support of dual PA</w:t>
            </w:r>
          </w:p>
        </w:tc>
        <w:tc>
          <w:tcPr>
            <w:tcW w:w="556" w:type="pct"/>
            <w:hideMark/>
          </w:tcPr>
          <w:p w14:paraId="58A8F8C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No</w:t>
            </w:r>
          </w:p>
        </w:tc>
        <w:tc>
          <w:tcPr>
            <w:tcW w:w="1171" w:type="pct"/>
            <w:hideMark/>
          </w:tcPr>
          <w:p w14:paraId="655BEAB0"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Per band per band combination capability</w:t>
            </w:r>
          </w:p>
          <w:p w14:paraId="12475555"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Single PA is default architecture</w:t>
            </w:r>
          </w:p>
          <w:p w14:paraId="55A146DD"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The following requirements are involved by this capability</w:t>
            </w:r>
          </w:p>
          <w:p w14:paraId="272873D7"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t>-</w:t>
            </w:r>
            <w:r w:rsidRPr="00101C05">
              <w:rPr>
                <w:rFonts w:ascii="Arial" w:eastAsia="Times New Roman" w:hAnsi="Arial" w:cs="Arial"/>
                <w:sz w:val="18"/>
                <w:lang w:eastAsia="ja-JP"/>
              </w:rPr>
              <w:tab/>
              <w:t xml:space="preserve">A-MPR/MPR and MSD values for dual uplink. Whether two sets of requirements will be introduced in RAN4 can be further </w:t>
            </w:r>
            <w:r w:rsidRPr="00101C05">
              <w:rPr>
                <w:rFonts w:ascii="Arial" w:eastAsia="Times New Roman" w:hAnsi="Arial" w:cs="Arial"/>
                <w:sz w:val="18"/>
                <w:lang w:eastAsia="ja-JP"/>
              </w:rPr>
              <w:lastRenderedPageBreak/>
              <w:t>discussed for each specific band combination</w:t>
            </w:r>
          </w:p>
        </w:tc>
        <w:tc>
          <w:tcPr>
            <w:tcW w:w="1223" w:type="pct"/>
            <w:hideMark/>
          </w:tcPr>
          <w:p w14:paraId="55F0B3A1" w14:textId="77777777" w:rsidR="00894291" w:rsidRPr="00101C05" w:rsidRDefault="00894291" w:rsidP="00FF6923">
            <w:pPr>
              <w:keepNext/>
              <w:keepLines/>
              <w:widowControl/>
              <w:overflowPunct w:val="0"/>
              <w:autoSpaceDE w:val="0"/>
              <w:autoSpaceDN w:val="0"/>
              <w:adjustRightInd w:val="0"/>
              <w:jc w:val="left"/>
              <w:rPr>
                <w:rFonts w:ascii="Arial" w:eastAsia="Times New Roman" w:hAnsi="Arial" w:cs="Arial"/>
                <w:sz w:val="18"/>
                <w:lang w:eastAsia="ja-JP"/>
              </w:rPr>
            </w:pPr>
            <w:r w:rsidRPr="00101C05">
              <w:rPr>
                <w:rFonts w:ascii="Arial" w:eastAsia="Times New Roman" w:hAnsi="Arial" w:cs="Arial"/>
                <w:sz w:val="18"/>
                <w:lang w:eastAsia="ja-JP"/>
              </w:rPr>
              <w:lastRenderedPageBreak/>
              <w:t>Mandatory to support either single or dual PA architectures with capability if UE supports intra-band CA configuration in uplink. The capability signalling is absent if UE supports single PA architecture</w:t>
            </w:r>
          </w:p>
        </w:tc>
      </w:tr>
    </w:tbl>
    <w:p w14:paraId="23C551CD" w14:textId="77777777" w:rsidR="00101C05" w:rsidRPr="00101C05" w:rsidRDefault="00101C05" w:rsidP="006F77FB"/>
    <w:p w14:paraId="1E6D2A1F" w14:textId="77777777" w:rsidR="00101C05" w:rsidRPr="00101C05" w:rsidRDefault="00101C05" w:rsidP="006F77FB"/>
    <w:p w14:paraId="12968832" w14:textId="77777777" w:rsidR="00101C05" w:rsidRDefault="00101C05" w:rsidP="006F77FB"/>
    <w:p w14:paraId="1091CEBE" w14:textId="77777777" w:rsidR="00B83BF2" w:rsidRPr="00ED64D7" w:rsidRDefault="00B83BF2" w:rsidP="00ED64D7"/>
    <w:p w14:paraId="2EEE532A" w14:textId="25D22C5B" w:rsidR="00C212C6" w:rsidRDefault="00C212C6" w:rsidP="00C212C6">
      <w:pPr>
        <w:pStyle w:val="Heading2"/>
      </w:pPr>
      <w:r w:rsidRPr="00BB3EAC">
        <w:t>2.</w:t>
      </w:r>
      <w:r w:rsidR="00EC5B7E">
        <w:t>2</w:t>
      </w:r>
      <w:r w:rsidRPr="00BB3EAC">
        <w:t xml:space="preserve"> </w:t>
      </w:r>
      <w:r w:rsidR="007C0DA3">
        <w:t>R16 feature list</w:t>
      </w:r>
    </w:p>
    <w:p w14:paraId="45FCAB00" w14:textId="162C0FFC" w:rsidR="007512C1" w:rsidRPr="004F0673" w:rsidRDefault="007512C1" w:rsidP="007512C1">
      <w:pPr>
        <w:spacing w:before="120" w:after="120"/>
        <w:rPr>
          <w:rFonts w:ascii="Times New Roman" w:hAnsi="Times New Roman" w:cs="Times New Roman"/>
          <w:sz w:val="20"/>
          <w:szCs w:val="21"/>
        </w:rPr>
      </w:pPr>
      <w:r w:rsidRPr="004F0673">
        <w:rPr>
          <w:rFonts w:ascii="Times New Roman" w:hAnsi="Times New Roman" w:cs="Times New Roman"/>
          <w:sz w:val="20"/>
          <w:szCs w:val="21"/>
        </w:rPr>
        <w:t xml:space="preserve">According to the analysis as in </w:t>
      </w:r>
      <w:r w:rsidR="004F0673">
        <w:rPr>
          <w:rFonts w:ascii="Times New Roman" w:hAnsi="Times New Roman" w:cs="Times New Roman"/>
          <w:sz w:val="20"/>
          <w:szCs w:val="21"/>
        </w:rPr>
        <w:t xml:space="preserve">section </w:t>
      </w:r>
      <w:r w:rsidRPr="004F0673">
        <w:rPr>
          <w:rFonts w:ascii="Times New Roman" w:hAnsi="Times New Roman" w:cs="Times New Roman"/>
          <w:sz w:val="20"/>
          <w:szCs w:val="21"/>
        </w:rPr>
        <w:t>2.2.1 ~2.2.3, we have following observations:</w:t>
      </w:r>
    </w:p>
    <w:p w14:paraId="1CEFDDA7" w14:textId="4B838AE1" w:rsidR="007512C1" w:rsidRPr="004F0673" w:rsidRDefault="007512C1" w:rsidP="007512C1">
      <w:pPr>
        <w:spacing w:before="120" w:after="120"/>
        <w:rPr>
          <w:rFonts w:ascii="Times New Roman" w:hAnsi="Times New Roman" w:cs="Times New Roman"/>
          <w:b/>
          <w:bCs/>
          <w:sz w:val="20"/>
          <w:szCs w:val="21"/>
        </w:rPr>
      </w:pPr>
      <w:r w:rsidRPr="004F0673">
        <w:rPr>
          <w:rFonts w:ascii="Times New Roman" w:hAnsi="Times New Roman" w:cs="Times New Roman"/>
          <w:b/>
          <w:bCs/>
          <w:sz w:val="20"/>
          <w:szCs w:val="21"/>
        </w:rPr>
        <w:t>Observation 2: summary of all R16 UE features:</w:t>
      </w:r>
    </w:p>
    <w:p w14:paraId="78D917BA" w14:textId="3FF83F2D" w:rsidR="007512C1" w:rsidRPr="004F0673" w:rsidRDefault="007512C1" w:rsidP="007512C1">
      <w:pPr>
        <w:pStyle w:val="ListParagraph"/>
        <w:numPr>
          <w:ilvl w:val="0"/>
          <w:numId w:val="16"/>
        </w:numPr>
        <w:ind w:firstLineChars="0"/>
        <w:rPr>
          <w:rFonts w:ascii="Times New Roman" w:hAnsi="Times New Roman" w:cs="Times New Roman"/>
          <w:b/>
          <w:bCs/>
          <w:sz w:val="20"/>
          <w:szCs w:val="21"/>
        </w:rPr>
      </w:pPr>
      <w:r w:rsidRPr="004F0673">
        <w:rPr>
          <w:rFonts w:ascii="Times New Roman" w:hAnsi="Times New Roman" w:cs="Times New Roman"/>
          <w:b/>
          <w:bCs/>
          <w:sz w:val="20"/>
          <w:szCs w:val="21"/>
        </w:rPr>
        <w:t>There is only one mandatory feature, i.e. feature index 8-5 Inter-band DL CA</w:t>
      </w:r>
      <w:r w:rsidR="007B25AD" w:rsidRPr="004F0673">
        <w:rPr>
          <w:rFonts w:ascii="Times New Roman" w:hAnsi="Times New Roman" w:cs="Times New Roman"/>
          <w:b/>
          <w:bCs/>
          <w:sz w:val="20"/>
          <w:szCs w:val="21"/>
        </w:rPr>
        <w:t>(FR2)</w:t>
      </w:r>
      <w:r w:rsidRPr="004F0673">
        <w:rPr>
          <w:rFonts w:ascii="Times New Roman" w:hAnsi="Times New Roman" w:cs="Times New Roman"/>
          <w:b/>
          <w:bCs/>
          <w:sz w:val="20"/>
          <w:szCs w:val="21"/>
        </w:rPr>
        <w:t xml:space="preserve"> to report supported beam management type in TR 38.822, all other feature are optional.</w:t>
      </w:r>
    </w:p>
    <w:p w14:paraId="4FC7367C" w14:textId="77777777" w:rsidR="007B25AD" w:rsidRPr="004F0673" w:rsidRDefault="007B25AD" w:rsidP="007B25AD">
      <w:pPr>
        <w:pStyle w:val="ListParagraph"/>
        <w:numPr>
          <w:ilvl w:val="0"/>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Features could be categorized as below</w:t>
      </w:r>
    </w:p>
    <w:p w14:paraId="28821F2C" w14:textId="085C39F7" w:rsidR="007B25AD" w:rsidRPr="004F0673" w:rsidRDefault="007B25AD" w:rsidP="00EB7994">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Band combination related, including dynamic Tx switching related feature, NR CA related feature, e.g. DC location</w:t>
      </w:r>
      <w:r w:rsidR="00344C29" w:rsidRPr="004F0673">
        <w:rPr>
          <w:rFonts w:ascii="Times New Roman" w:hAnsi="Times New Roman" w:cs="Times New Roman"/>
          <w:b/>
          <w:bCs/>
          <w:sz w:val="20"/>
          <w:szCs w:val="21"/>
        </w:rPr>
        <w:t>,</w:t>
      </w:r>
      <w:r w:rsidRPr="004F0673">
        <w:rPr>
          <w:rFonts w:ascii="Times New Roman" w:hAnsi="Times New Roman" w:cs="Times New Roman"/>
          <w:b/>
          <w:bCs/>
          <w:sz w:val="20"/>
          <w:szCs w:val="21"/>
        </w:rPr>
        <w:t xml:space="preserve"> CA class</w:t>
      </w:r>
      <w:r w:rsidR="00344C29" w:rsidRPr="004F0673">
        <w:rPr>
          <w:rFonts w:ascii="Times New Roman" w:hAnsi="Times New Roman" w:cs="Times New Roman"/>
          <w:b/>
          <w:bCs/>
          <w:sz w:val="20"/>
          <w:szCs w:val="21"/>
        </w:rPr>
        <w:t xml:space="preserve">, Non-contiguous intra-band DL CA (index 8-4) , Inter-band DL CA (index 8-5) and </w:t>
      </w:r>
      <w:r w:rsidRPr="004F0673">
        <w:rPr>
          <w:rFonts w:ascii="Times New Roman" w:hAnsi="Times New Roman" w:cs="Times New Roman"/>
          <w:b/>
          <w:bCs/>
          <w:sz w:val="20"/>
          <w:szCs w:val="21"/>
        </w:rPr>
        <w:t>EN-DC related, e.g. max duty</w:t>
      </w:r>
      <w:r w:rsidR="00162895" w:rsidRPr="004F0673">
        <w:rPr>
          <w:rFonts w:ascii="Times New Roman" w:hAnsi="Times New Roman" w:cs="Times New Roman"/>
          <w:b/>
          <w:bCs/>
          <w:sz w:val="20"/>
          <w:szCs w:val="21"/>
        </w:rPr>
        <w:t xml:space="preserve"> </w:t>
      </w:r>
      <w:r w:rsidRPr="004F0673">
        <w:rPr>
          <w:rFonts w:ascii="Times New Roman" w:hAnsi="Times New Roman" w:cs="Times New Roman"/>
          <w:b/>
          <w:bCs/>
          <w:sz w:val="20"/>
          <w:szCs w:val="21"/>
        </w:rPr>
        <w:t>cycle</w:t>
      </w:r>
      <w:r w:rsidR="00344C29" w:rsidRPr="004F0673">
        <w:rPr>
          <w:rFonts w:ascii="Times New Roman" w:hAnsi="Times New Roman" w:cs="Times New Roman"/>
          <w:b/>
          <w:bCs/>
          <w:sz w:val="20"/>
          <w:szCs w:val="21"/>
        </w:rPr>
        <w:t xml:space="preserve"> index 2-18 and 2-20</w:t>
      </w:r>
    </w:p>
    <w:p w14:paraId="22F29295" w14:textId="730BA74A" w:rsidR="007B25AD" w:rsidRPr="004F0673" w:rsidRDefault="007B25AD" w:rsidP="007B25AD">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 xml:space="preserve">Transient period, </w:t>
      </w:r>
      <w:r w:rsidR="00265F07" w:rsidRPr="004F0673">
        <w:rPr>
          <w:rFonts w:ascii="Times New Roman" w:hAnsi="Times New Roman" w:cs="Times New Roman"/>
          <w:b/>
          <w:bCs/>
          <w:sz w:val="20"/>
          <w:szCs w:val="21"/>
        </w:rPr>
        <w:t>i.e</w:t>
      </w:r>
      <w:r w:rsidRPr="004F0673">
        <w:rPr>
          <w:rFonts w:ascii="Times New Roman" w:hAnsi="Times New Roman" w:cs="Times New Roman"/>
          <w:b/>
          <w:bCs/>
          <w:sz w:val="20"/>
          <w:szCs w:val="21"/>
        </w:rPr>
        <w:t>. index 7-4</w:t>
      </w:r>
    </w:p>
    <w:p w14:paraId="703CFA69" w14:textId="77777777" w:rsidR="00344C29" w:rsidRPr="004F0673" w:rsidRDefault="00344C29" w:rsidP="00344C29">
      <w:pPr>
        <w:pStyle w:val="ListParagraph"/>
        <w:numPr>
          <w:ilvl w:val="1"/>
          <w:numId w:val="16"/>
        </w:numPr>
        <w:ind w:firstLineChars="0"/>
        <w:rPr>
          <w:rFonts w:ascii="Times New Roman" w:hAnsi="Times New Roman" w:cs="Times New Roman"/>
          <w:b/>
          <w:bCs/>
          <w:sz w:val="20"/>
          <w:szCs w:val="21"/>
        </w:rPr>
      </w:pPr>
      <w:r w:rsidRPr="004F0673">
        <w:rPr>
          <w:rFonts w:ascii="Times New Roman" w:hAnsi="Times New Roman" w:cs="Times New Roman"/>
          <w:b/>
          <w:bCs/>
          <w:sz w:val="20"/>
          <w:szCs w:val="21"/>
        </w:rPr>
        <w:t>MPE, i.e. index 8-1 P-MPR reporting</w:t>
      </w:r>
    </w:p>
    <w:p w14:paraId="2D64F331" w14:textId="456C8BD3" w:rsidR="00344C29" w:rsidRPr="004F0673" w:rsidRDefault="00344C29" w:rsidP="00344C29">
      <w:pPr>
        <w:pStyle w:val="ListParagraph"/>
        <w:numPr>
          <w:ilvl w:val="1"/>
          <w:numId w:val="16"/>
        </w:numPr>
        <w:ind w:firstLineChars="0"/>
        <w:rPr>
          <w:rFonts w:ascii="Times New Roman" w:hAnsi="Times New Roman" w:cs="Times New Roman"/>
          <w:b/>
          <w:bCs/>
          <w:sz w:val="20"/>
          <w:szCs w:val="21"/>
        </w:rPr>
      </w:pPr>
      <w:r w:rsidRPr="004F0673">
        <w:rPr>
          <w:rFonts w:ascii="Times New Roman" w:hAnsi="Times New Roman" w:cs="Times New Roman"/>
          <w:b/>
          <w:bCs/>
          <w:sz w:val="20"/>
          <w:szCs w:val="21"/>
        </w:rPr>
        <w:t>MPR Enhancement, i.e. index 8-6</w:t>
      </w:r>
    </w:p>
    <w:p w14:paraId="14D27904" w14:textId="77777777" w:rsidR="00344C29" w:rsidRPr="004F0673" w:rsidRDefault="00344C29" w:rsidP="00344C29">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Beam correspondence related, i.e. SSB based Beam correspondence (index 8-2), CSI-RS based Beam correspondence (index 8-3)</w:t>
      </w:r>
    </w:p>
    <w:p w14:paraId="3AFA3F8E" w14:textId="2DA9B166" w:rsidR="00344C29" w:rsidRPr="004F0673" w:rsidRDefault="00344C29" w:rsidP="00344C29">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Transparent Tx Diversity, i.e. index 2-21</w:t>
      </w:r>
    </w:p>
    <w:p w14:paraId="40475740" w14:textId="2105B958" w:rsidR="007512C1" w:rsidRPr="004F0673" w:rsidRDefault="00473D43" w:rsidP="00344C29">
      <w:pPr>
        <w:spacing w:before="120" w:after="120"/>
        <w:rPr>
          <w:rFonts w:ascii="Times New Roman" w:hAnsi="Times New Roman" w:cs="Times New Roman"/>
          <w:sz w:val="20"/>
          <w:szCs w:val="21"/>
        </w:rPr>
      </w:pPr>
      <w:r w:rsidRPr="004F0673">
        <w:rPr>
          <w:rFonts w:ascii="Times New Roman" w:hAnsi="Times New Roman" w:cs="Times New Roman"/>
          <w:sz w:val="20"/>
          <w:szCs w:val="21"/>
        </w:rPr>
        <w:t xml:space="preserve">As for the optional feature, </w:t>
      </w:r>
      <w:r w:rsidR="004F0673">
        <w:rPr>
          <w:rFonts w:ascii="Times New Roman" w:hAnsi="Times New Roman" w:cs="Times New Roman"/>
          <w:sz w:val="20"/>
          <w:szCs w:val="21"/>
        </w:rPr>
        <w:t>except for beam correspondence feature, all other features are suggested as optional.</w:t>
      </w:r>
    </w:p>
    <w:p w14:paraId="7AEAB159" w14:textId="734399C5" w:rsidR="00473D43" w:rsidRPr="004F0673" w:rsidRDefault="00473D43" w:rsidP="00344C29">
      <w:pPr>
        <w:spacing w:before="120" w:after="120"/>
        <w:rPr>
          <w:rFonts w:ascii="Times New Roman" w:hAnsi="Times New Roman" w:cs="Times New Roman"/>
          <w:sz w:val="20"/>
          <w:szCs w:val="21"/>
        </w:rPr>
      </w:pPr>
      <w:r w:rsidRPr="004F0673">
        <w:rPr>
          <w:rFonts w:ascii="Times New Roman" w:hAnsi="Times New Roman" w:cs="Times New Roman"/>
          <w:sz w:val="20"/>
          <w:szCs w:val="21"/>
        </w:rPr>
        <w:t xml:space="preserve">For beam correspondence, it’s approved that this is based on NCR-MT declaration, if so, related feature </w:t>
      </w:r>
      <w:r w:rsidR="002A084A">
        <w:rPr>
          <w:rFonts w:ascii="Times New Roman" w:hAnsi="Times New Roman" w:cs="Times New Roman"/>
          <w:sz w:val="20"/>
          <w:szCs w:val="21"/>
        </w:rPr>
        <w:t>is</w:t>
      </w:r>
      <w:r w:rsidRPr="004F0673">
        <w:rPr>
          <w:rFonts w:ascii="Times New Roman" w:hAnsi="Times New Roman" w:cs="Times New Roman"/>
          <w:sz w:val="20"/>
          <w:szCs w:val="21"/>
        </w:rPr>
        <w:t xml:space="preserve"> not applicable anymore.</w:t>
      </w:r>
    </w:p>
    <w:p w14:paraId="5C2FC9FA" w14:textId="603BD81E" w:rsidR="00473D43" w:rsidRPr="004F0673" w:rsidRDefault="00473D43" w:rsidP="00344C29">
      <w:pPr>
        <w:spacing w:before="120" w:after="120"/>
        <w:rPr>
          <w:rFonts w:ascii="Times New Roman" w:hAnsi="Times New Roman" w:cs="Times New Roman"/>
          <w:b/>
          <w:bCs/>
          <w:sz w:val="20"/>
          <w:szCs w:val="21"/>
        </w:rPr>
      </w:pPr>
      <w:r w:rsidRPr="004F0673">
        <w:rPr>
          <w:rFonts w:ascii="Times New Roman" w:hAnsi="Times New Roman" w:cs="Times New Roman"/>
          <w:b/>
          <w:bCs/>
          <w:sz w:val="20"/>
          <w:szCs w:val="21"/>
        </w:rPr>
        <w:t xml:space="preserve">Proposal 8: beam correspondence related feature </w:t>
      </w:r>
      <w:r w:rsidR="002A084A">
        <w:rPr>
          <w:rFonts w:ascii="Times New Roman" w:hAnsi="Times New Roman" w:cs="Times New Roman"/>
          <w:b/>
          <w:bCs/>
          <w:sz w:val="20"/>
          <w:szCs w:val="21"/>
        </w:rPr>
        <w:t>is</w:t>
      </w:r>
      <w:r w:rsidRPr="004F0673">
        <w:rPr>
          <w:rFonts w:ascii="Times New Roman" w:hAnsi="Times New Roman" w:cs="Times New Roman"/>
          <w:b/>
          <w:bCs/>
          <w:sz w:val="20"/>
          <w:szCs w:val="21"/>
        </w:rPr>
        <w:t xml:space="preserve"> not applicable for NCR-MT.</w:t>
      </w:r>
      <w:r w:rsidR="002A084A">
        <w:rPr>
          <w:rFonts w:ascii="Times New Roman" w:hAnsi="Times New Roman" w:cs="Times New Roman"/>
          <w:b/>
          <w:bCs/>
          <w:sz w:val="20"/>
          <w:szCs w:val="21"/>
        </w:rPr>
        <w:t xml:space="preserve"> except for beam correspondence feature, all</w:t>
      </w:r>
      <w:r w:rsidR="00A016E8" w:rsidRPr="004F0673">
        <w:rPr>
          <w:rFonts w:ascii="Times New Roman" w:hAnsi="Times New Roman" w:cs="Times New Roman"/>
          <w:b/>
          <w:bCs/>
          <w:sz w:val="20"/>
          <w:szCs w:val="21"/>
        </w:rPr>
        <w:t xml:space="preserve"> other optional R16 feature are also optional for NCR-MT</w:t>
      </w:r>
      <w:r w:rsidR="002A084A">
        <w:rPr>
          <w:rFonts w:ascii="Times New Roman" w:hAnsi="Times New Roman" w:cs="Times New Roman"/>
          <w:b/>
          <w:bCs/>
          <w:sz w:val="20"/>
          <w:szCs w:val="21"/>
        </w:rPr>
        <w:t>.</w:t>
      </w:r>
    </w:p>
    <w:p w14:paraId="3482D808" w14:textId="1D5D7806" w:rsidR="00EC5B7E" w:rsidRPr="00EC5B7E" w:rsidRDefault="00EC5B7E" w:rsidP="00EC5B7E">
      <w:pPr>
        <w:pStyle w:val="Heading3"/>
      </w:pPr>
      <w:r>
        <w:rPr>
          <w:rFonts w:hint="eastAsia"/>
        </w:rPr>
        <w:t>2</w:t>
      </w:r>
      <w:r>
        <w:t>.2.1 FR1</w:t>
      </w:r>
    </w:p>
    <w:p w14:paraId="2C4EA29C" w14:textId="4F3C0155" w:rsidR="003C1C98" w:rsidRPr="00B334DF" w:rsidRDefault="003C1C98" w:rsidP="003C1C98">
      <w:pPr>
        <w:spacing w:before="120" w:after="120"/>
        <w:rPr>
          <w:rFonts w:ascii="Times New Roman" w:hAnsi="Times New Roman" w:cs="Times New Roman"/>
        </w:rPr>
      </w:pPr>
      <w:r w:rsidRPr="00B334DF">
        <w:rPr>
          <w:rFonts w:ascii="Times New Roman" w:hAnsi="Times New Roman" w:cs="Times New Roman"/>
        </w:rPr>
        <w:t>Following table list all the feature in TR 38.822 for R1</w:t>
      </w:r>
      <w:r>
        <w:rPr>
          <w:rFonts w:ascii="Times New Roman" w:hAnsi="Times New Roman" w:cs="Times New Roman"/>
        </w:rPr>
        <w:t>6</w:t>
      </w:r>
      <w:r w:rsidRPr="00B334DF">
        <w:rPr>
          <w:rFonts w:ascii="Times New Roman" w:hAnsi="Times New Roman" w:cs="Times New Roman"/>
        </w:rPr>
        <w:t xml:space="preserve"> RF part. Observations are listed as below:</w:t>
      </w:r>
    </w:p>
    <w:p w14:paraId="5FC1054D" w14:textId="59288088" w:rsidR="003C1C98" w:rsidRPr="00B334DF" w:rsidRDefault="003C1C98" w:rsidP="003C1C98">
      <w:pPr>
        <w:pStyle w:val="ListParagraph"/>
        <w:numPr>
          <w:ilvl w:val="0"/>
          <w:numId w:val="15"/>
        </w:numPr>
        <w:spacing w:before="120" w:after="120"/>
        <w:ind w:firstLineChars="0"/>
        <w:rPr>
          <w:rFonts w:ascii="Times New Roman" w:hAnsi="Times New Roman" w:cs="Times New Roman"/>
        </w:rPr>
      </w:pPr>
      <w:r w:rsidRPr="00B334DF">
        <w:rPr>
          <w:rFonts w:ascii="Times New Roman" w:hAnsi="Times New Roman" w:cs="Times New Roman"/>
        </w:rPr>
        <w:t>All R1</w:t>
      </w:r>
      <w:r w:rsidR="00533ED7">
        <w:rPr>
          <w:rFonts w:ascii="Times New Roman" w:hAnsi="Times New Roman" w:cs="Times New Roman"/>
        </w:rPr>
        <w:t>6 FR1</w:t>
      </w:r>
      <w:r w:rsidRPr="00B334DF">
        <w:rPr>
          <w:rFonts w:ascii="Times New Roman" w:hAnsi="Times New Roman" w:cs="Times New Roman"/>
        </w:rPr>
        <w:t xml:space="preserve"> feature </w:t>
      </w:r>
      <w:r w:rsidR="00533ED7">
        <w:rPr>
          <w:rFonts w:ascii="Times New Roman" w:hAnsi="Times New Roman" w:cs="Times New Roman"/>
        </w:rPr>
        <w:t>are optional</w:t>
      </w:r>
      <w:r w:rsidRPr="00B334DF">
        <w:rPr>
          <w:rFonts w:ascii="Times New Roman" w:hAnsi="Times New Roman" w:cs="Times New Roman"/>
        </w:rPr>
        <w:t>.</w:t>
      </w:r>
    </w:p>
    <w:p w14:paraId="0AF53185" w14:textId="77777777" w:rsidR="003C1C98" w:rsidRPr="00B334DF" w:rsidRDefault="003C1C98" w:rsidP="003C1C98">
      <w:pPr>
        <w:pStyle w:val="ListParagraph"/>
        <w:numPr>
          <w:ilvl w:val="0"/>
          <w:numId w:val="15"/>
        </w:numPr>
        <w:spacing w:before="120" w:after="120"/>
        <w:ind w:firstLineChars="0"/>
        <w:rPr>
          <w:rFonts w:ascii="Times New Roman" w:hAnsi="Times New Roman" w:cs="Times New Roman"/>
        </w:rPr>
      </w:pPr>
      <w:r w:rsidRPr="00B334DF">
        <w:rPr>
          <w:rFonts w:ascii="Times New Roman" w:hAnsi="Times New Roman" w:cs="Times New Roman"/>
        </w:rPr>
        <w:t>Features could be categorized as below</w:t>
      </w:r>
    </w:p>
    <w:p w14:paraId="7B6E60FE" w14:textId="604A726A" w:rsidR="003C1C98" w:rsidRDefault="00533ED7" w:rsidP="00EB26AB">
      <w:pPr>
        <w:pStyle w:val="ListParagraph"/>
        <w:numPr>
          <w:ilvl w:val="1"/>
          <w:numId w:val="15"/>
        </w:numPr>
        <w:spacing w:before="120" w:after="120"/>
        <w:ind w:firstLineChars="0"/>
        <w:rPr>
          <w:rFonts w:ascii="Times New Roman" w:hAnsi="Times New Roman" w:cs="Times New Roman"/>
        </w:rPr>
      </w:pPr>
      <w:r w:rsidRPr="00533ED7">
        <w:rPr>
          <w:rFonts w:ascii="Times New Roman" w:hAnsi="Times New Roman" w:cs="Times New Roman"/>
        </w:rPr>
        <w:t xml:space="preserve">Band combination related, </w:t>
      </w:r>
      <w:r>
        <w:rPr>
          <w:rFonts w:ascii="Times New Roman" w:hAnsi="Times New Roman" w:cs="Times New Roman"/>
        </w:rPr>
        <w:t>including</w:t>
      </w:r>
      <w:r w:rsidRPr="00533ED7">
        <w:rPr>
          <w:rFonts w:ascii="Times New Roman" w:hAnsi="Times New Roman" w:cs="Times New Roman"/>
        </w:rPr>
        <w:t xml:space="preserve"> </w:t>
      </w:r>
      <w:r>
        <w:rPr>
          <w:rFonts w:ascii="Times New Roman" w:hAnsi="Times New Roman" w:cs="Times New Roman"/>
        </w:rPr>
        <w:t>d</w:t>
      </w:r>
      <w:r w:rsidR="003C1C98" w:rsidRPr="00533ED7">
        <w:rPr>
          <w:rFonts w:ascii="Times New Roman" w:hAnsi="Times New Roman" w:cs="Times New Roman"/>
        </w:rPr>
        <w:t>ynamic Tx switching related feature</w:t>
      </w:r>
      <w:r w:rsidRPr="00533ED7">
        <w:rPr>
          <w:rFonts w:ascii="Times New Roman" w:hAnsi="Times New Roman" w:cs="Times New Roman"/>
        </w:rPr>
        <w:t xml:space="preserve"> and </w:t>
      </w:r>
      <w:r w:rsidR="003C1C98" w:rsidRPr="00533ED7">
        <w:rPr>
          <w:rFonts w:ascii="Times New Roman" w:hAnsi="Times New Roman" w:cs="Times New Roman"/>
        </w:rPr>
        <w:t>NR CA related feature</w:t>
      </w:r>
      <w:r w:rsidR="00D34A0A" w:rsidRPr="00533ED7">
        <w:rPr>
          <w:rFonts w:ascii="Times New Roman" w:hAnsi="Times New Roman" w:cs="Times New Roman"/>
        </w:rPr>
        <w:t>, e.g. DC location and CA class</w:t>
      </w:r>
    </w:p>
    <w:p w14:paraId="56F8F70A" w14:textId="55B22CD3" w:rsidR="00533ED7" w:rsidRPr="00533ED7" w:rsidRDefault="00533ED7" w:rsidP="00EB26AB">
      <w:pPr>
        <w:pStyle w:val="ListParagraph"/>
        <w:numPr>
          <w:ilvl w:val="1"/>
          <w:numId w:val="15"/>
        </w:numPr>
        <w:spacing w:before="120" w:after="120"/>
        <w:ind w:firstLineChars="0"/>
        <w:rPr>
          <w:rFonts w:ascii="Times New Roman" w:hAnsi="Times New Roman" w:cs="Times New Roman"/>
        </w:rPr>
      </w:pPr>
      <w:r w:rsidRPr="00533ED7">
        <w:rPr>
          <w:rFonts w:ascii="Times New Roman" w:hAnsi="Times New Roman" w:cs="Times New Roman"/>
        </w:rPr>
        <w:t>Transient period</w:t>
      </w:r>
      <w:r w:rsidR="00C635B1">
        <w:rPr>
          <w:rFonts w:ascii="Times New Roman" w:hAnsi="Times New Roman" w:cs="Times New Roman"/>
        </w:rPr>
        <w:t>, e.g. index 7-4</w:t>
      </w:r>
    </w:p>
    <w:p w14:paraId="1921F839" w14:textId="1E4349E6" w:rsidR="003C1C98" w:rsidRPr="002E1112" w:rsidRDefault="003C1C98" w:rsidP="003C1C98">
      <w:pPr>
        <w:spacing w:before="120" w:after="120"/>
        <w:rPr>
          <w:rFonts w:ascii="Times New Roman" w:hAnsi="Times New Roman" w:cs="Times New Roman"/>
        </w:rPr>
      </w:pPr>
      <w:r w:rsidRPr="002E1112">
        <w:rPr>
          <w:rFonts w:ascii="Times New Roman" w:hAnsi="Times New Roman" w:cs="Times New Roman"/>
        </w:rPr>
        <w:t>Following list</w:t>
      </w:r>
      <w:r w:rsidR="00533ED7">
        <w:rPr>
          <w:rFonts w:ascii="Times New Roman" w:hAnsi="Times New Roman" w:cs="Times New Roman"/>
        </w:rPr>
        <w:t>s</w:t>
      </w:r>
      <w:r w:rsidRPr="002E1112">
        <w:rPr>
          <w:rFonts w:ascii="Times New Roman" w:hAnsi="Times New Roman" w:cs="Times New Roman"/>
        </w:rPr>
        <w:t xml:space="preserve"> the feature </w:t>
      </w:r>
      <w:r>
        <w:rPr>
          <w:rFonts w:ascii="Times New Roman" w:hAnsi="Times New Roman" w:cs="Times New Roman"/>
        </w:rPr>
        <w:t>list for information and last column is the recommendation for NCR-MT feature.</w:t>
      </w:r>
    </w:p>
    <w:p w14:paraId="25D0FD82" w14:textId="77777777" w:rsidR="00533ED7" w:rsidRPr="00533ED7" w:rsidRDefault="00533ED7" w:rsidP="00533ED7">
      <w:pPr>
        <w:keepNext/>
        <w:keepLines/>
        <w:widowControl/>
        <w:overflowPunct w:val="0"/>
        <w:autoSpaceDE w:val="0"/>
        <w:autoSpaceDN w:val="0"/>
        <w:adjustRightInd w:val="0"/>
        <w:spacing w:before="60" w:after="180"/>
        <w:jc w:val="center"/>
        <w:rPr>
          <w:rFonts w:ascii="Arial" w:eastAsia="Times New Roman" w:hAnsi="Arial" w:cs="Arial"/>
          <w:b/>
          <w:lang w:eastAsia="ja-JP"/>
        </w:rPr>
      </w:pPr>
      <w:r w:rsidRPr="00533ED7">
        <w:rPr>
          <w:rFonts w:ascii="Arial" w:eastAsia="Times New Roman" w:hAnsi="Arial" w:cs="Arial"/>
          <w:b/>
          <w:lang w:eastAsia="ja-JP"/>
        </w:rPr>
        <w:lastRenderedPageBreak/>
        <w:t>Table 5.3.4-1: RF and RRM Feature List for RF requirements for NR frequency range 1 (FR1)</w:t>
      </w:r>
    </w:p>
    <w:tbl>
      <w:tblPr>
        <w:tblW w:w="49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817"/>
        <w:gridCol w:w="1227"/>
        <w:gridCol w:w="3205"/>
        <w:gridCol w:w="4124"/>
        <w:gridCol w:w="1907"/>
        <w:gridCol w:w="1907"/>
      </w:tblGrid>
      <w:tr w:rsidR="00EC5B7E" w:rsidRPr="009C2C82" w14:paraId="065F9784" w14:textId="22108813" w:rsidTr="00EC5B7E">
        <w:trPr>
          <w:trHeight w:val="615"/>
        </w:trPr>
        <w:tc>
          <w:tcPr>
            <w:tcW w:w="438" w:type="pct"/>
            <w:tcBorders>
              <w:top w:val="single" w:sz="4" w:space="0" w:color="auto"/>
              <w:left w:val="single" w:sz="4" w:space="0" w:color="auto"/>
              <w:bottom w:val="single" w:sz="4" w:space="0" w:color="auto"/>
              <w:right w:val="single" w:sz="4" w:space="0" w:color="auto"/>
            </w:tcBorders>
            <w:hideMark/>
          </w:tcPr>
          <w:p w14:paraId="0B975AA6" w14:textId="77777777"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Features</w:t>
            </w:r>
          </w:p>
        </w:tc>
        <w:tc>
          <w:tcPr>
            <w:tcW w:w="283" w:type="pct"/>
            <w:tcBorders>
              <w:top w:val="single" w:sz="4" w:space="0" w:color="auto"/>
              <w:left w:val="single" w:sz="4" w:space="0" w:color="auto"/>
              <w:bottom w:val="single" w:sz="4" w:space="0" w:color="auto"/>
              <w:right w:val="single" w:sz="4" w:space="0" w:color="auto"/>
            </w:tcBorders>
            <w:hideMark/>
          </w:tcPr>
          <w:p w14:paraId="487D416F" w14:textId="77777777"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Index</w:t>
            </w:r>
          </w:p>
        </w:tc>
        <w:tc>
          <w:tcPr>
            <w:tcW w:w="424" w:type="pct"/>
            <w:tcBorders>
              <w:top w:val="single" w:sz="4" w:space="0" w:color="auto"/>
              <w:left w:val="single" w:sz="4" w:space="0" w:color="auto"/>
              <w:bottom w:val="single" w:sz="4" w:space="0" w:color="auto"/>
              <w:right w:val="single" w:sz="4" w:space="0" w:color="auto"/>
            </w:tcBorders>
            <w:hideMark/>
          </w:tcPr>
          <w:p w14:paraId="084422D5" w14:textId="77777777"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Feature group</w:t>
            </w:r>
          </w:p>
        </w:tc>
        <w:tc>
          <w:tcPr>
            <w:tcW w:w="1109" w:type="pct"/>
            <w:tcBorders>
              <w:top w:val="single" w:sz="4" w:space="0" w:color="auto"/>
              <w:left w:val="single" w:sz="4" w:space="0" w:color="auto"/>
              <w:bottom w:val="single" w:sz="4" w:space="0" w:color="auto"/>
              <w:right w:val="single" w:sz="4" w:space="0" w:color="auto"/>
            </w:tcBorders>
            <w:hideMark/>
          </w:tcPr>
          <w:p w14:paraId="38F9013F" w14:textId="77777777"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Components</w:t>
            </w:r>
          </w:p>
        </w:tc>
        <w:tc>
          <w:tcPr>
            <w:tcW w:w="1427" w:type="pct"/>
            <w:tcBorders>
              <w:top w:val="single" w:sz="4" w:space="0" w:color="auto"/>
              <w:left w:val="single" w:sz="4" w:space="0" w:color="auto"/>
              <w:bottom w:val="single" w:sz="4" w:space="0" w:color="auto"/>
              <w:right w:val="single" w:sz="4" w:space="0" w:color="auto"/>
            </w:tcBorders>
            <w:hideMark/>
          </w:tcPr>
          <w:p w14:paraId="2D3056EF" w14:textId="77777777"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Note</w:t>
            </w:r>
          </w:p>
        </w:tc>
        <w:tc>
          <w:tcPr>
            <w:tcW w:w="660" w:type="pct"/>
            <w:tcBorders>
              <w:top w:val="single" w:sz="4" w:space="0" w:color="auto"/>
              <w:left w:val="single" w:sz="4" w:space="0" w:color="auto"/>
              <w:bottom w:val="single" w:sz="4" w:space="0" w:color="auto"/>
              <w:right w:val="single" w:sz="4" w:space="0" w:color="auto"/>
            </w:tcBorders>
            <w:hideMark/>
          </w:tcPr>
          <w:p w14:paraId="3283D3C2" w14:textId="6F40898C"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Mandatory/Optional</w:t>
            </w:r>
            <w:r>
              <w:rPr>
                <w:rFonts w:ascii="Arial" w:eastAsia="Times New Roman" w:hAnsi="Arial" w:cs="Arial"/>
                <w:b/>
                <w:sz w:val="18"/>
                <w:lang w:eastAsia="ja-JP"/>
              </w:rPr>
              <w:t xml:space="preserve"> for normal UE</w:t>
            </w:r>
          </w:p>
        </w:tc>
        <w:tc>
          <w:tcPr>
            <w:tcW w:w="660" w:type="pct"/>
            <w:tcBorders>
              <w:top w:val="single" w:sz="4" w:space="0" w:color="auto"/>
              <w:left w:val="single" w:sz="4" w:space="0" w:color="auto"/>
              <w:bottom w:val="single" w:sz="4" w:space="0" w:color="auto"/>
              <w:right w:val="single" w:sz="4" w:space="0" w:color="auto"/>
            </w:tcBorders>
          </w:tcPr>
          <w:p w14:paraId="6F4116C5" w14:textId="12BD9BF6" w:rsidR="00EC5B7E" w:rsidRPr="009C2C82" w:rsidRDefault="00EC5B7E" w:rsidP="00771CB3">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Mandatory/Optional</w:t>
            </w:r>
            <w:r>
              <w:rPr>
                <w:rFonts w:ascii="Arial" w:eastAsia="Times New Roman" w:hAnsi="Arial" w:cs="Arial"/>
                <w:b/>
                <w:sz w:val="18"/>
                <w:lang w:eastAsia="ja-JP"/>
              </w:rPr>
              <w:t xml:space="preserve"> for NCR-MT</w:t>
            </w:r>
          </w:p>
        </w:tc>
      </w:tr>
      <w:tr w:rsidR="00D902E5" w:rsidRPr="009C2C82" w14:paraId="2FF39607" w14:textId="2F13638D" w:rsidTr="00EC5B7E">
        <w:trPr>
          <w:trHeight w:val="3388"/>
        </w:trPr>
        <w:tc>
          <w:tcPr>
            <w:tcW w:w="438" w:type="pct"/>
            <w:tcBorders>
              <w:top w:val="single" w:sz="4" w:space="0" w:color="auto"/>
              <w:left w:val="single" w:sz="4" w:space="0" w:color="auto"/>
              <w:bottom w:val="single" w:sz="4" w:space="0" w:color="auto"/>
              <w:right w:val="single" w:sz="4" w:space="0" w:color="auto"/>
            </w:tcBorders>
            <w:hideMark/>
          </w:tcPr>
          <w:p w14:paraId="1C4454DC"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7. RF requirements for NR frequency range 1 (FR1)</w:t>
            </w:r>
          </w:p>
        </w:tc>
        <w:tc>
          <w:tcPr>
            <w:tcW w:w="283" w:type="pct"/>
            <w:tcBorders>
              <w:top w:val="single" w:sz="4" w:space="0" w:color="auto"/>
              <w:left w:val="single" w:sz="4" w:space="0" w:color="auto"/>
              <w:bottom w:val="single" w:sz="4" w:space="0" w:color="auto"/>
              <w:right w:val="single" w:sz="4" w:space="0" w:color="auto"/>
            </w:tcBorders>
            <w:hideMark/>
          </w:tcPr>
          <w:p w14:paraId="04782E5A"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7-1</w:t>
            </w:r>
          </w:p>
        </w:tc>
        <w:tc>
          <w:tcPr>
            <w:tcW w:w="424" w:type="pct"/>
            <w:tcBorders>
              <w:top w:val="single" w:sz="4" w:space="0" w:color="auto"/>
              <w:left w:val="single" w:sz="4" w:space="0" w:color="auto"/>
              <w:bottom w:val="single" w:sz="4" w:space="0" w:color="auto"/>
              <w:right w:val="single" w:sz="4" w:space="0" w:color="auto"/>
            </w:tcBorders>
            <w:hideMark/>
          </w:tcPr>
          <w:p w14:paraId="1196EF8A"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Dynamic Tx switching between two uplink carriers</w:t>
            </w:r>
          </w:p>
        </w:tc>
        <w:tc>
          <w:tcPr>
            <w:tcW w:w="1109" w:type="pct"/>
            <w:tcBorders>
              <w:top w:val="single" w:sz="4" w:space="0" w:color="auto"/>
              <w:left w:val="single" w:sz="4" w:space="0" w:color="auto"/>
              <w:bottom w:val="single" w:sz="4" w:space="0" w:color="auto"/>
              <w:right w:val="single" w:sz="4" w:space="0" w:color="auto"/>
            </w:tcBorders>
          </w:tcPr>
          <w:p w14:paraId="6670477D" w14:textId="77777777" w:rsidR="00D902E5" w:rsidRPr="009C2C82" w:rsidRDefault="00D902E5" w:rsidP="00D902E5">
            <w:pPr>
              <w:keepNext/>
              <w:keepLines/>
              <w:widowControl/>
              <w:overflowPunct w:val="0"/>
              <w:autoSpaceDE w:val="0"/>
              <w:autoSpaceDN w:val="0"/>
              <w:adjustRightInd w:val="0"/>
              <w:ind w:left="244" w:hanging="244"/>
              <w:jc w:val="left"/>
              <w:rPr>
                <w:rFonts w:ascii="Arial" w:eastAsia="Yu Mincho" w:hAnsi="Arial" w:cs="Times New Roman"/>
                <w:sz w:val="18"/>
                <w:szCs w:val="20"/>
              </w:rPr>
            </w:pPr>
            <w:r w:rsidRPr="009C2C82">
              <w:rPr>
                <w:rFonts w:ascii="Arial" w:eastAsia="Yu Mincho" w:hAnsi="Arial" w:cs="Arial"/>
                <w:sz w:val="18"/>
              </w:rPr>
              <w:t>1)</w:t>
            </w:r>
            <w:r w:rsidRPr="009C2C82">
              <w:rPr>
                <w:rFonts w:ascii="Arial" w:eastAsia="Yu Mincho" w:hAnsi="Arial" w:cs="Arial"/>
                <w:sz w:val="18"/>
              </w:rPr>
              <w:tab/>
              <w:t>Indicate support of dynamic UL Tx switching between two uplink carriers for inter-band UL CA, SUL or inter-band EN-DC</w:t>
            </w:r>
          </w:p>
          <w:p w14:paraId="7C7375C0" w14:textId="77777777" w:rsidR="00D902E5" w:rsidRPr="009C2C82" w:rsidRDefault="00D902E5" w:rsidP="00D902E5">
            <w:pPr>
              <w:keepNext/>
              <w:keepLines/>
              <w:widowControl/>
              <w:overflowPunct w:val="0"/>
              <w:autoSpaceDE w:val="0"/>
              <w:autoSpaceDN w:val="0"/>
              <w:adjustRightInd w:val="0"/>
              <w:jc w:val="left"/>
              <w:rPr>
                <w:rFonts w:ascii="Arial" w:eastAsia="Yu Mincho" w:hAnsi="Arial" w:cs="Arial"/>
                <w:sz w:val="18"/>
              </w:rPr>
            </w:pPr>
          </w:p>
          <w:p w14:paraId="747943CD" w14:textId="77777777" w:rsidR="00D902E5" w:rsidRPr="009C2C82" w:rsidRDefault="00D902E5" w:rsidP="00D902E5">
            <w:pPr>
              <w:keepNext/>
              <w:keepLines/>
              <w:widowControl/>
              <w:overflowPunct w:val="0"/>
              <w:autoSpaceDE w:val="0"/>
              <w:autoSpaceDN w:val="0"/>
              <w:adjustRightInd w:val="0"/>
              <w:ind w:left="244" w:hanging="244"/>
              <w:jc w:val="left"/>
              <w:rPr>
                <w:rFonts w:ascii="Arial" w:eastAsia="Yu Mincho" w:hAnsi="Arial" w:cs="Arial"/>
                <w:sz w:val="18"/>
              </w:rPr>
            </w:pPr>
            <w:r w:rsidRPr="009C2C82">
              <w:rPr>
                <w:rFonts w:ascii="Arial" w:eastAsia="Yu Mincho" w:hAnsi="Arial" w:cs="Arial"/>
                <w:sz w:val="18"/>
              </w:rPr>
              <w:t>2)</w:t>
            </w:r>
            <w:r w:rsidRPr="009C2C82">
              <w:rPr>
                <w:rFonts w:ascii="Arial" w:eastAsia="Yu Mincho" w:hAnsi="Arial" w:cs="Arial"/>
                <w:sz w:val="18"/>
              </w:rPr>
              <w:tab/>
              <w:t>Indicate the supported switching period for Tx switching between two uplink carriers in inter-band EN-DC, inter-band UL CA or SUL band combinations</w:t>
            </w:r>
          </w:p>
        </w:tc>
        <w:tc>
          <w:tcPr>
            <w:tcW w:w="1427" w:type="pct"/>
            <w:tcBorders>
              <w:top w:val="single" w:sz="4" w:space="0" w:color="auto"/>
              <w:left w:val="single" w:sz="4" w:space="0" w:color="auto"/>
              <w:bottom w:val="single" w:sz="4" w:space="0" w:color="auto"/>
              <w:right w:val="single" w:sz="4" w:space="0" w:color="auto"/>
            </w:tcBorders>
          </w:tcPr>
          <w:p w14:paraId="541B1CBF"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Candidate value set</w:t>
            </w:r>
            <w:r w:rsidRPr="009C2C82">
              <w:rPr>
                <w:rFonts w:ascii="Arial" w:eastAsia="宋体" w:hAnsi="Arial" w:cs="Arial"/>
                <w:sz w:val="18"/>
                <w:szCs w:val="18"/>
              </w:rPr>
              <w:t xml:space="preserve"> for UL CA and SUL combinations</w:t>
            </w:r>
            <w:r w:rsidRPr="009C2C82">
              <w:rPr>
                <w:rFonts w:ascii="Arial" w:eastAsia="Times New Roman" w:hAnsi="Arial" w:cs="Arial"/>
                <w:sz w:val="18"/>
                <w:szCs w:val="18"/>
                <w:lang w:eastAsia="ja-JP"/>
              </w:rPr>
              <w:t>: {35us, 140 us, 210us}</w:t>
            </w:r>
          </w:p>
          <w:p w14:paraId="2F2AA168"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p>
          <w:p w14:paraId="117EDA57"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sz w:val="18"/>
                <w:szCs w:val="18"/>
                <w:lang w:eastAsia="ja-JP"/>
              </w:rPr>
              <w:t>Candidate value set</w:t>
            </w:r>
            <w:r w:rsidRPr="009C2C82">
              <w:rPr>
                <w:rFonts w:ascii="Arial" w:eastAsia="宋体" w:hAnsi="Arial" w:cs="Arial"/>
                <w:sz w:val="18"/>
                <w:szCs w:val="18"/>
              </w:rPr>
              <w:t xml:space="preserve"> for EN-DC</w:t>
            </w:r>
            <w:r w:rsidRPr="009C2C82">
              <w:rPr>
                <w:rFonts w:ascii="Arial" w:eastAsia="Times New Roman" w:hAnsi="Arial" w:cs="Arial"/>
                <w:sz w:val="18"/>
                <w:szCs w:val="18"/>
                <w:lang w:eastAsia="ja-JP"/>
              </w:rPr>
              <w:t>:</w:t>
            </w:r>
          </w:p>
          <w:p w14:paraId="4A8B00FD"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{35us, 140 us}</w:t>
            </w:r>
          </w:p>
          <w:p w14:paraId="51B1CB64"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p>
          <w:p w14:paraId="2CD4A13B"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NOTE: Signalling structure is up to RAN2</w:t>
            </w:r>
          </w:p>
          <w:p w14:paraId="743A2F78"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p>
          <w:p w14:paraId="773C0307"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If UE reports support of this feature group, it means UE supports both components.</w:t>
            </w:r>
          </w:p>
        </w:tc>
        <w:tc>
          <w:tcPr>
            <w:tcW w:w="660" w:type="pct"/>
            <w:tcBorders>
              <w:top w:val="single" w:sz="4" w:space="0" w:color="auto"/>
              <w:left w:val="single" w:sz="4" w:space="0" w:color="auto"/>
              <w:bottom w:val="single" w:sz="4" w:space="0" w:color="auto"/>
              <w:right w:val="single" w:sz="4" w:space="0" w:color="auto"/>
            </w:tcBorders>
            <w:hideMark/>
          </w:tcPr>
          <w:p w14:paraId="544D2E3C"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sz w:val="18"/>
                <w:szCs w:val="18"/>
                <w:lang w:eastAsia="ja-JP"/>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15DEE5ED" w14:textId="333D0F5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500FB7">
              <w:rPr>
                <w:rFonts w:ascii="Arial" w:hAnsi="Arial" w:cs="Arial"/>
                <w:sz w:val="18"/>
              </w:rPr>
              <w:t>Depends on whether NCR-MT support band combinations.</w:t>
            </w:r>
          </w:p>
        </w:tc>
      </w:tr>
      <w:tr w:rsidR="00D902E5" w:rsidRPr="009C2C82" w14:paraId="357A5755" w14:textId="23277670" w:rsidTr="003C1C98">
        <w:trPr>
          <w:trHeight w:val="4670"/>
        </w:trPr>
        <w:tc>
          <w:tcPr>
            <w:tcW w:w="438" w:type="pct"/>
            <w:tcBorders>
              <w:top w:val="single" w:sz="4" w:space="0" w:color="auto"/>
              <w:left w:val="single" w:sz="4" w:space="0" w:color="auto"/>
              <w:bottom w:val="single" w:sz="4" w:space="0" w:color="auto"/>
              <w:right w:val="single" w:sz="4" w:space="0" w:color="auto"/>
            </w:tcBorders>
            <w:vAlign w:val="center"/>
            <w:hideMark/>
          </w:tcPr>
          <w:p w14:paraId="2ECF6967" w14:textId="77777777" w:rsidR="00D902E5" w:rsidRPr="009C2C82" w:rsidRDefault="00D902E5" w:rsidP="00D902E5">
            <w:pPr>
              <w:widowControl/>
              <w:jc w:val="left"/>
              <w:rPr>
                <w:rFonts w:ascii="Arial" w:eastAsia="Times New Roman" w:hAnsi="Arial" w:cs="Arial"/>
                <w:kern w:val="0"/>
                <w:sz w:val="18"/>
                <w:szCs w:val="18"/>
                <w:lang w:val="en-GB" w:eastAsia="ja-JP"/>
              </w:rPr>
            </w:pPr>
          </w:p>
        </w:tc>
        <w:tc>
          <w:tcPr>
            <w:tcW w:w="283" w:type="pct"/>
            <w:tcBorders>
              <w:top w:val="single" w:sz="4" w:space="0" w:color="auto"/>
              <w:left w:val="single" w:sz="4" w:space="0" w:color="auto"/>
              <w:bottom w:val="single" w:sz="4" w:space="0" w:color="auto"/>
              <w:right w:val="single" w:sz="4" w:space="0" w:color="auto"/>
            </w:tcBorders>
            <w:hideMark/>
          </w:tcPr>
          <w:p w14:paraId="660B6C9B"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7-2</w:t>
            </w:r>
          </w:p>
        </w:tc>
        <w:tc>
          <w:tcPr>
            <w:tcW w:w="424" w:type="pct"/>
            <w:tcBorders>
              <w:top w:val="single" w:sz="4" w:space="0" w:color="auto"/>
              <w:left w:val="single" w:sz="4" w:space="0" w:color="auto"/>
              <w:bottom w:val="single" w:sz="4" w:space="0" w:color="auto"/>
              <w:right w:val="single" w:sz="4" w:space="0" w:color="auto"/>
            </w:tcBorders>
            <w:hideMark/>
          </w:tcPr>
          <w:p w14:paraId="5F526E7E"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Application of DL interruptions due to UL Tx switching between two uplink carriers</w:t>
            </w:r>
          </w:p>
        </w:tc>
        <w:tc>
          <w:tcPr>
            <w:tcW w:w="1109" w:type="pct"/>
            <w:tcBorders>
              <w:top w:val="single" w:sz="4" w:space="0" w:color="auto"/>
              <w:left w:val="single" w:sz="4" w:space="0" w:color="auto"/>
              <w:bottom w:val="single" w:sz="4" w:space="0" w:color="auto"/>
              <w:right w:val="single" w:sz="4" w:space="0" w:color="auto"/>
            </w:tcBorders>
          </w:tcPr>
          <w:p w14:paraId="7865BF19" w14:textId="77777777" w:rsidR="00D902E5" w:rsidRPr="009C2C82" w:rsidRDefault="00D902E5" w:rsidP="00D902E5">
            <w:pPr>
              <w:keepNext/>
              <w:keepLines/>
              <w:widowControl/>
              <w:overflowPunct w:val="0"/>
              <w:autoSpaceDE w:val="0"/>
              <w:autoSpaceDN w:val="0"/>
              <w:adjustRightInd w:val="0"/>
              <w:jc w:val="left"/>
              <w:rPr>
                <w:rFonts w:ascii="Arial" w:eastAsia="Yu Mincho" w:hAnsi="Arial" w:cs="Times New Roman"/>
                <w:sz w:val="18"/>
                <w:szCs w:val="20"/>
                <w:lang w:eastAsia="ja-JP"/>
              </w:rPr>
            </w:pPr>
            <w:r w:rsidRPr="009C2C82">
              <w:rPr>
                <w:rFonts w:ascii="Arial" w:eastAsia="Yu Mincho" w:hAnsi="Arial" w:cs="Arial"/>
                <w:sz w:val="18"/>
                <w:lang w:eastAsia="ja-JP"/>
              </w:rPr>
              <w:t>Capability to indicate that for the band where DL interruption is needed, the RRM interruption requirements defined in RAN4 shall be applied for duplex mode combinations except the combinations</w:t>
            </w:r>
          </w:p>
          <w:p w14:paraId="72610E6D" w14:textId="77777777" w:rsidR="00D902E5" w:rsidRPr="009C2C82" w:rsidRDefault="00D902E5" w:rsidP="00D902E5">
            <w:pPr>
              <w:keepNext/>
              <w:keepLines/>
              <w:widowControl/>
              <w:overflowPunct w:val="0"/>
              <w:autoSpaceDE w:val="0"/>
              <w:autoSpaceDN w:val="0"/>
              <w:adjustRightInd w:val="0"/>
              <w:jc w:val="left"/>
              <w:rPr>
                <w:rFonts w:ascii="Arial" w:eastAsia="Yu Mincho" w:hAnsi="Arial" w:cs="Arial"/>
                <w:sz w:val="18"/>
                <w:lang w:eastAsia="ja-JP"/>
              </w:rPr>
            </w:pPr>
          </w:p>
          <w:p w14:paraId="10735E9E" w14:textId="77777777" w:rsidR="00D902E5" w:rsidRPr="009C2C82" w:rsidRDefault="00D902E5" w:rsidP="00D902E5">
            <w:pPr>
              <w:keepNext/>
              <w:keepLines/>
              <w:widowControl/>
              <w:overflowPunct w:val="0"/>
              <w:autoSpaceDE w:val="0"/>
              <w:autoSpaceDN w:val="0"/>
              <w:adjustRightInd w:val="0"/>
              <w:ind w:left="284" w:hanging="284"/>
              <w:jc w:val="left"/>
              <w:rPr>
                <w:rFonts w:ascii="Arial" w:eastAsia="Yu Mincho" w:hAnsi="Arial" w:cs="Arial"/>
                <w:sz w:val="18"/>
                <w:lang w:eastAsia="ja-JP"/>
              </w:rPr>
            </w:pPr>
            <w:r w:rsidRPr="009C2C82">
              <w:rPr>
                <w:rFonts w:ascii="Arial" w:eastAsia="Yu Mincho" w:hAnsi="Arial" w:cs="Arial"/>
                <w:sz w:val="18"/>
                <w:lang w:eastAsia="ja-JP"/>
              </w:rPr>
              <w:t>-</w:t>
            </w:r>
            <w:r w:rsidRPr="009C2C82">
              <w:rPr>
                <w:rFonts w:ascii="Arial" w:eastAsia="Yu Mincho" w:hAnsi="Arial" w:cs="Arial"/>
                <w:sz w:val="18"/>
                <w:lang w:eastAsia="ja-JP"/>
              </w:rPr>
              <w:tab/>
              <w:t>SUL+TDD</w:t>
            </w:r>
          </w:p>
          <w:p w14:paraId="35017FFB" w14:textId="77777777" w:rsidR="00D902E5" w:rsidRPr="009C2C82" w:rsidRDefault="00D902E5" w:rsidP="00D902E5">
            <w:pPr>
              <w:keepNext/>
              <w:keepLines/>
              <w:widowControl/>
              <w:overflowPunct w:val="0"/>
              <w:autoSpaceDE w:val="0"/>
              <w:autoSpaceDN w:val="0"/>
              <w:adjustRightInd w:val="0"/>
              <w:ind w:left="284" w:hanging="284"/>
              <w:jc w:val="left"/>
              <w:rPr>
                <w:rFonts w:ascii="Arial" w:eastAsia="Yu Mincho" w:hAnsi="Arial" w:cs="Arial"/>
                <w:sz w:val="18"/>
                <w:lang w:eastAsia="ja-JP"/>
              </w:rPr>
            </w:pPr>
            <w:r w:rsidRPr="009C2C82">
              <w:rPr>
                <w:rFonts w:ascii="Arial" w:eastAsia="Yu Mincho" w:hAnsi="Arial" w:cs="Arial"/>
                <w:sz w:val="18"/>
                <w:lang w:eastAsia="ja-JP"/>
              </w:rPr>
              <w:t>-</w:t>
            </w:r>
            <w:r w:rsidRPr="009C2C82">
              <w:rPr>
                <w:rFonts w:ascii="Arial" w:eastAsia="Yu Mincho" w:hAnsi="Arial" w:cs="Arial"/>
                <w:sz w:val="18"/>
                <w:lang w:eastAsia="ja-JP"/>
              </w:rPr>
              <w:tab/>
              <w:t>TDD+TDD CA with the same UL-DL pattern</w:t>
            </w:r>
          </w:p>
          <w:p w14:paraId="15979CF3" w14:textId="77777777" w:rsidR="00D902E5" w:rsidRPr="009C2C82" w:rsidRDefault="00D902E5" w:rsidP="00D902E5">
            <w:pPr>
              <w:keepNext/>
              <w:keepLines/>
              <w:widowControl/>
              <w:overflowPunct w:val="0"/>
              <w:autoSpaceDE w:val="0"/>
              <w:autoSpaceDN w:val="0"/>
              <w:adjustRightInd w:val="0"/>
              <w:ind w:left="284" w:hanging="284"/>
              <w:jc w:val="left"/>
              <w:rPr>
                <w:rFonts w:ascii="Arial" w:eastAsia="Yu Mincho" w:hAnsi="Arial" w:cs="Arial"/>
                <w:sz w:val="18"/>
                <w:lang w:eastAsia="ja-JP"/>
              </w:rPr>
            </w:pPr>
            <w:r w:rsidRPr="009C2C82">
              <w:rPr>
                <w:rFonts w:ascii="Arial" w:eastAsia="Yu Mincho" w:hAnsi="Arial" w:cs="Arial"/>
                <w:sz w:val="18"/>
                <w:lang w:eastAsia="ja-JP"/>
              </w:rPr>
              <w:t>-</w:t>
            </w:r>
            <w:r w:rsidRPr="009C2C82">
              <w:rPr>
                <w:rFonts w:ascii="Arial" w:eastAsia="Yu Mincho" w:hAnsi="Arial" w:cs="Arial"/>
                <w:sz w:val="18"/>
                <w:lang w:eastAsia="ja-JP"/>
              </w:rPr>
              <w:tab/>
              <w:t>TDD+TDD EN-DC with the same UL-DL pattern</w:t>
            </w:r>
          </w:p>
        </w:tc>
        <w:tc>
          <w:tcPr>
            <w:tcW w:w="1427" w:type="pct"/>
            <w:tcBorders>
              <w:top w:val="single" w:sz="4" w:space="0" w:color="auto"/>
              <w:left w:val="single" w:sz="4" w:space="0" w:color="auto"/>
              <w:bottom w:val="single" w:sz="4" w:space="0" w:color="auto"/>
              <w:right w:val="single" w:sz="4" w:space="0" w:color="auto"/>
            </w:tcBorders>
          </w:tcPr>
          <w:p w14:paraId="48FB7712"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The capability is introduced according to the agreement in R4-2005665.</w:t>
            </w:r>
          </w:p>
          <w:p w14:paraId="7213D65C"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p>
          <w:p w14:paraId="7E138C0B"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sz w:val="18"/>
                <w:szCs w:val="18"/>
                <w:lang w:eastAsia="ja-JP"/>
              </w:rPr>
              <w:t xml:space="preserve">NOTE: </w:t>
            </w:r>
            <w:r w:rsidRPr="009C2C82">
              <w:rPr>
                <w:rFonts w:ascii="Arial" w:eastAsia="宋体" w:hAnsi="Arial" w:cs="Arial"/>
                <w:sz w:val="18"/>
                <w:szCs w:val="18"/>
              </w:rPr>
              <w:t>Signalling structure is up to RAN2</w:t>
            </w:r>
          </w:p>
          <w:p w14:paraId="4EF06F51"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p>
          <w:p w14:paraId="78EB50DC"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The following duplex mode combinations do not require DL interruption</w:t>
            </w:r>
            <w:r w:rsidRPr="009C2C82">
              <w:rPr>
                <w:rFonts w:ascii="Arial" w:eastAsia="Times New Roman" w:hAnsi="Arial" w:cs="Arial"/>
                <w:sz w:val="18"/>
                <w:szCs w:val="18"/>
              </w:rPr>
              <w:t xml:space="preserve"> (carrier 1+ carrier 2)</w:t>
            </w:r>
            <w:r w:rsidRPr="009C2C82">
              <w:rPr>
                <w:rFonts w:ascii="Arial" w:eastAsia="宋体" w:hAnsi="Arial" w:cs="Arial"/>
                <w:sz w:val="18"/>
                <w:szCs w:val="18"/>
              </w:rPr>
              <w:t>:</w:t>
            </w:r>
          </w:p>
          <w:p w14:paraId="768A1156" w14:textId="77777777" w:rsidR="00D902E5" w:rsidRPr="009C2C82" w:rsidRDefault="00D902E5" w:rsidP="00D902E5">
            <w:pPr>
              <w:keepNext/>
              <w:keepLines/>
              <w:widowControl/>
              <w:autoSpaceDN w:val="0"/>
              <w:ind w:left="360" w:hanging="360"/>
              <w:jc w:val="left"/>
              <w:rPr>
                <w:rFonts w:ascii="Arial" w:eastAsia="宋体" w:hAnsi="Arial" w:cs="Arial"/>
                <w:sz w:val="18"/>
                <w:szCs w:val="18"/>
              </w:rPr>
            </w:pPr>
            <w:r w:rsidRPr="009C2C82">
              <w:rPr>
                <w:rFonts w:ascii="Arial" w:eastAsia="宋体" w:hAnsi="Arial" w:cs="Arial"/>
                <w:sz w:val="18"/>
                <w:szCs w:val="18"/>
              </w:rPr>
              <w:t>-</w:t>
            </w:r>
            <w:r w:rsidRPr="009C2C82">
              <w:rPr>
                <w:rFonts w:ascii="Arial" w:eastAsia="宋体" w:hAnsi="Arial" w:cs="Arial"/>
                <w:sz w:val="18"/>
                <w:szCs w:val="18"/>
              </w:rPr>
              <w:tab/>
              <w:t>SUL+TDD,</w:t>
            </w:r>
          </w:p>
          <w:p w14:paraId="29C8158B" w14:textId="77777777" w:rsidR="00D902E5" w:rsidRPr="009C2C82" w:rsidRDefault="00D902E5" w:rsidP="00D902E5">
            <w:pPr>
              <w:keepNext/>
              <w:keepLines/>
              <w:widowControl/>
              <w:autoSpaceDN w:val="0"/>
              <w:ind w:left="360" w:hanging="360"/>
              <w:jc w:val="left"/>
              <w:rPr>
                <w:rFonts w:ascii="Arial" w:eastAsia="宋体" w:hAnsi="Arial" w:cs="Arial"/>
                <w:sz w:val="18"/>
                <w:szCs w:val="18"/>
              </w:rPr>
            </w:pPr>
            <w:r w:rsidRPr="009C2C82">
              <w:rPr>
                <w:rFonts w:ascii="Arial" w:eastAsia="宋体" w:hAnsi="Arial" w:cs="Arial"/>
                <w:sz w:val="18"/>
                <w:szCs w:val="18"/>
              </w:rPr>
              <w:t>-</w:t>
            </w:r>
            <w:r w:rsidRPr="009C2C82">
              <w:rPr>
                <w:rFonts w:ascii="Arial" w:eastAsia="宋体" w:hAnsi="Arial" w:cs="Arial"/>
                <w:sz w:val="18"/>
                <w:szCs w:val="18"/>
              </w:rPr>
              <w:tab/>
              <w:t>TDD+TDD CA with the same UL-DL pattern,</w:t>
            </w:r>
          </w:p>
          <w:p w14:paraId="7BEF2E5D" w14:textId="77777777" w:rsidR="00D902E5" w:rsidRPr="009C2C82" w:rsidRDefault="00D902E5" w:rsidP="00D902E5">
            <w:pPr>
              <w:keepNext/>
              <w:keepLines/>
              <w:widowControl/>
              <w:autoSpaceDN w:val="0"/>
              <w:ind w:left="360" w:hanging="360"/>
              <w:jc w:val="left"/>
              <w:rPr>
                <w:rFonts w:ascii="Arial" w:eastAsia="宋体" w:hAnsi="Arial" w:cs="Arial"/>
                <w:sz w:val="18"/>
                <w:szCs w:val="18"/>
              </w:rPr>
            </w:pPr>
            <w:r w:rsidRPr="009C2C82">
              <w:rPr>
                <w:rFonts w:ascii="Arial" w:eastAsia="宋体" w:hAnsi="Arial" w:cs="Arial"/>
                <w:sz w:val="18"/>
                <w:szCs w:val="18"/>
              </w:rPr>
              <w:t>-</w:t>
            </w:r>
            <w:r w:rsidRPr="009C2C82">
              <w:rPr>
                <w:rFonts w:ascii="Arial" w:eastAsia="宋体" w:hAnsi="Arial" w:cs="Arial"/>
                <w:sz w:val="18"/>
                <w:szCs w:val="18"/>
              </w:rPr>
              <w:tab/>
              <w:t>TDD+TDD EN-DC with the same UL-DL pattern</w:t>
            </w:r>
          </w:p>
          <w:p w14:paraId="21D2A0D2"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p>
          <w:p w14:paraId="287055A8" w14:textId="77777777" w:rsidR="00D902E5" w:rsidRPr="009C2C82" w:rsidRDefault="00D902E5" w:rsidP="00D902E5">
            <w:pPr>
              <w:widowControl/>
              <w:overflowPunct w:val="0"/>
              <w:autoSpaceDE w:val="0"/>
              <w:autoSpaceDN w:val="0"/>
              <w:adjustRightInd w:val="0"/>
              <w:spacing w:after="180"/>
              <w:jc w:val="left"/>
              <w:rPr>
                <w:rFonts w:ascii="Times New Roman" w:eastAsia="宋体" w:hAnsi="Times New Roman" w:cs="Arial"/>
                <w:kern w:val="0"/>
                <w:sz w:val="20"/>
                <w:szCs w:val="18"/>
                <w:lang w:val="en-GB"/>
              </w:rPr>
            </w:pPr>
            <w:r w:rsidRPr="009C2C82">
              <w:rPr>
                <w:rFonts w:ascii="Arial" w:eastAsia="宋体" w:hAnsi="Arial" w:cs="Arial"/>
                <w:kern w:val="0"/>
                <w:sz w:val="18"/>
                <w:szCs w:val="18"/>
                <w:lang w:val="en-GB"/>
              </w:rPr>
              <w:t>RAN4 will specify for UL CA and EN-DC for which band combinations DL interruptions are allowed.</w:t>
            </w:r>
          </w:p>
        </w:tc>
        <w:tc>
          <w:tcPr>
            <w:tcW w:w="660" w:type="pct"/>
            <w:tcBorders>
              <w:top w:val="single" w:sz="4" w:space="0" w:color="auto"/>
              <w:left w:val="single" w:sz="4" w:space="0" w:color="auto"/>
              <w:bottom w:val="single" w:sz="4" w:space="0" w:color="auto"/>
              <w:right w:val="single" w:sz="4" w:space="0" w:color="auto"/>
            </w:tcBorders>
            <w:hideMark/>
          </w:tcPr>
          <w:p w14:paraId="7892DECD"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sz w:val="18"/>
                <w:szCs w:val="18"/>
                <w:lang w:eastAsia="ja-JP"/>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3BF76926" w14:textId="48824BE1"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500FB7">
              <w:rPr>
                <w:rFonts w:ascii="Arial" w:hAnsi="Arial" w:cs="Arial"/>
                <w:sz w:val="18"/>
              </w:rPr>
              <w:t>Depends on whether NCR-MT support band combinations.</w:t>
            </w:r>
          </w:p>
        </w:tc>
      </w:tr>
      <w:tr w:rsidR="00D902E5" w:rsidRPr="009C2C82" w14:paraId="61F1575C" w14:textId="1D89B511" w:rsidTr="00EC5B7E">
        <w:trPr>
          <w:trHeight w:val="4442"/>
        </w:trPr>
        <w:tc>
          <w:tcPr>
            <w:tcW w:w="438" w:type="pct"/>
            <w:tcBorders>
              <w:top w:val="single" w:sz="4" w:space="0" w:color="auto"/>
              <w:left w:val="single" w:sz="4" w:space="0" w:color="auto"/>
              <w:bottom w:val="single" w:sz="4" w:space="0" w:color="auto"/>
              <w:right w:val="single" w:sz="4" w:space="0" w:color="auto"/>
            </w:tcBorders>
            <w:vAlign w:val="center"/>
            <w:hideMark/>
          </w:tcPr>
          <w:p w14:paraId="31753145" w14:textId="77777777" w:rsidR="00D902E5" w:rsidRPr="009C2C82" w:rsidRDefault="00D902E5" w:rsidP="00D902E5">
            <w:pPr>
              <w:widowControl/>
              <w:jc w:val="left"/>
              <w:rPr>
                <w:rFonts w:ascii="Arial" w:eastAsia="Times New Roman" w:hAnsi="Arial" w:cs="Arial"/>
                <w:kern w:val="0"/>
                <w:sz w:val="18"/>
                <w:szCs w:val="18"/>
                <w:lang w:val="en-GB" w:eastAsia="ja-JP"/>
              </w:rPr>
            </w:pPr>
          </w:p>
        </w:tc>
        <w:tc>
          <w:tcPr>
            <w:tcW w:w="283" w:type="pct"/>
            <w:tcBorders>
              <w:top w:val="single" w:sz="4" w:space="0" w:color="auto"/>
              <w:left w:val="single" w:sz="4" w:space="0" w:color="auto"/>
              <w:bottom w:val="single" w:sz="4" w:space="0" w:color="auto"/>
              <w:right w:val="single" w:sz="4" w:space="0" w:color="auto"/>
            </w:tcBorders>
            <w:hideMark/>
          </w:tcPr>
          <w:p w14:paraId="77EFF24A"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7-3a</w:t>
            </w:r>
          </w:p>
        </w:tc>
        <w:tc>
          <w:tcPr>
            <w:tcW w:w="424" w:type="pct"/>
            <w:tcBorders>
              <w:top w:val="single" w:sz="4" w:space="0" w:color="auto"/>
              <w:left w:val="single" w:sz="4" w:space="0" w:color="auto"/>
              <w:bottom w:val="single" w:sz="4" w:space="0" w:color="auto"/>
              <w:right w:val="single" w:sz="4" w:space="0" w:color="auto"/>
            </w:tcBorders>
            <w:hideMark/>
          </w:tcPr>
          <w:p w14:paraId="4B2EF300"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NR CA class List for intra-band non-contiguous CA</w:t>
            </w:r>
          </w:p>
        </w:tc>
        <w:tc>
          <w:tcPr>
            <w:tcW w:w="1109" w:type="pct"/>
            <w:tcBorders>
              <w:top w:val="single" w:sz="4" w:space="0" w:color="auto"/>
              <w:left w:val="single" w:sz="4" w:space="0" w:color="auto"/>
              <w:bottom w:val="single" w:sz="4" w:space="0" w:color="auto"/>
              <w:right w:val="single" w:sz="4" w:space="0" w:color="auto"/>
            </w:tcBorders>
          </w:tcPr>
          <w:p w14:paraId="632D130D" w14:textId="77777777" w:rsidR="00D902E5" w:rsidRPr="009C2C82" w:rsidRDefault="00D902E5" w:rsidP="00D902E5">
            <w:pPr>
              <w:keepNext/>
              <w:keepLines/>
              <w:widowControl/>
              <w:overflowPunct w:val="0"/>
              <w:autoSpaceDE w:val="0"/>
              <w:autoSpaceDN w:val="0"/>
              <w:adjustRightInd w:val="0"/>
              <w:jc w:val="left"/>
              <w:rPr>
                <w:rFonts w:ascii="Arial" w:eastAsia="宋体" w:hAnsi="Arial" w:cs="Times New Roman"/>
                <w:sz w:val="18"/>
                <w:szCs w:val="20"/>
              </w:rPr>
            </w:pPr>
            <w:r w:rsidRPr="009C2C82">
              <w:rPr>
                <w:rFonts w:ascii="Arial" w:eastAsia="宋体" w:hAnsi="Arial" w:cs="Arial"/>
                <w:sz w:val="18"/>
              </w:rPr>
              <w:t xml:space="preserve">Indicate the UL frequency separation </w:t>
            </w:r>
            <w:r w:rsidRPr="009C2C82">
              <w:rPr>
                <w:rFonts w:ascii="Arial" w:eastAsia="Yu Mincho" w:hAnsi="Arial" w:cs="Arial"/>
                <w:sz w:val="18"/>
              </w:rPr>
              <w:t xml:space="preserve">class </w:t>
            </w:r>
            <w:r w:rsidRPr="009C2C82">
              <w:rPr>
                <w:rFonts w:ascii="Arial" w:eastAsia="宋体" w:hAnsi="Arial" w:cs="Arial"/>
                <w:sz w:val="18"/>
              </w:rPr>
              <w:t xml:space="preserve">that UE can support which includes </w:t>
            </w:r>
            <w:r w:rsidRPr="009C2C82">
              <w:rPr>
                <w:rFonts w:ascii="Arial" w:eastAsia="Yu Mincho" w:hAnsi="Arial" w:cs="Arial"/>
                <w:sz w:val="18"/>
              </w:rPr>
              <w:t xml:space="preserve">both the aggregated bandwidth and </w:t>
            </w:r>
            <w:r w:rsidRPr="009C2C82">
              <w:rPr>
                <w:rFonts w:ascii="Arial" w:eastAsia="宋体" w:hAnsi="Arial" w:cs="Arial"/>
                <w:sz w:val="18"/>
              </w:rPr>
              <w:t>the gap</w:t>
            </w:r>
            <w:r w:rsidRPr="009C2C82">
              <w:rPr>
                <w:rFonts w:ascii="Arial" w:eastAsia="Yu Mincho" w:hAnsi="Arial" w:cs="Arial"/>
                <w:sz w:val="18"/>
              </w:rPr>
              <w:t xml:space="preserve"> bandwidth</w:t>
            </w:r>
            <w:r w:rsidRPr="009C2C82">
              <w:rPr>
                <w:rFonts w:ascii="Arial" w:eastAsia="宋体" w:hAnsi="Arial" w:cs="Arial"/>
                <w:sz w:val="18"/>
              </w:rPr>
              <w:t xml:space="preserve"> between two non-contiguous CCs for intra-band non-contiguous CA</w:t>
            </w:r>
          </w:p>
          <w:p w14:paraId="5340C193"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rPr>
            </w:pPr>
          </w:p>
          <w:p w14:paraId="764EF4CC"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lang w:eastAsia="ja-JP"/>
              </w:rPr>
            </w:pPr>
            <w:r w:rsidRPr="009C2C82">
              <w:rPr>
                <w:rFonts w:ascii="Arial" w:eastAsia="宋体" w:hAnsi="Arial" w:cs="Arial"/>
                <w:sz w:val="18"/>
              </w:rPr>
              <w:t xml:space="preserve">Note: </w:t>
            </w:r>
            <w:r w:rsidRPr="009C2C82">
              <w:rPr>
                <w:rFonts w:ascii="Arial" w:eastAsia="Times New Roman" w:hAnsi="Arial" w:cs="Arial"/>
                <w:sz w:val="18"/>
              </w:rPr>
              <w:t xml:space="preserve">UL frequency separation class means </w:t>
            </w:r>
            <w:r w:rsidRPr="009C2C82">
              <w:rPr>
                <w:rFonts w:ascii="Arial" w:eastAsia="宋体" w:hAnsi="Arial" w:cs="Arial"/>
                <w:sz w:val="18"/>
              </w:rPr>
              <w:t>maximum frequency span between lower edge of lowest component carrier and upper edge of highest component carrier that UE can support in uplink</w:t>
            </w:r>
          </w:p>
        </w:tc>
        <w:tc>
          <w:tcPr>
            <w:tcW w:w="1427" w:type="pct"/>
            <w:tcBorders>
              <w:top w:val="single" w:sz="4" w:space="0" w:color="auto"/>
              <w:left w:val="single" w:sz="4" w:space="0" w:color="auto"/>
              <w:bottom w:val="single" w:sz="4" w:space="0" w:color="auto"/>
              <w:right w:val="single" w:sz="4" w:space="0" w:color="auto"/>
            </w:tcBorders>
          </w:tcPr>
          <w:p w14:paraId="521BA8D6"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rPr>
            </w:pPr>
            <w:r w:rsidRPr="009C2C82">
              <w:rPr>
                <w:rFonts w:ascii="Arial" w:eastAsia="Times New Roman" w:hAnsi="Arial" w:cs="Arial"/>
                <w:sz w:val="18"/>
                <w:szCs w:val="18"/>
              </w:rPr>
              <w:t>Based on the agreed</w:t>
            </w:r>
            <w:r w:rsidRPr="009C2C82">
              <w:rPr>
                <w:rFonts w:ascii="Arial" w:eastAsia="MS Mincho" w:hAnsi="Arial" w:cs="Arial"/>
                <w:sz w:val="18"/>
                <w:szCs w:val="18"/>
                <w:lang w:eastAsia="ja-JP"/>
              </w:rPr>
              <w:t xml:space="preserve"> </w:t>
            </w:r>
            <w:r w:rsidRPr="009C2C82">
              <w:rPr>
                <w:rFonts w:ascii="Arial" w:eastAsia="Times New Roman" w:hAnsi="Arial" w:cs="Arial"/>
                <w:sz w:val="18"/>
                <w:szCs w:val="18"/>
              </w:rPr>
              <w:t>WF R4-2005660 both 1PA and 2PA architecture for intra-band non-contiguous UL CA will be considered for UE capability, and MIMO supporting with 4TX for 2PA UL NC CA should not be excluded.</w:t>
            </w:r>
          </w:p>
          <w:p w14:paraId="0A290E2F"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rPr>
            </w:pPr>
          </w:p>
          <w:p w14:paraId="6411DEE3"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rPr>
            </w:pPr>
            <w:r w:rsidRPr="009C2C82">
              <w:rPr>
                <w:rFonts w:ascii="Arial" w:eastAsia="Times New Roman" w:hAnsi="Arial" w:cs="Arial"/>
                <w:sz w:val="18"/>
                <w:szCs w:val="18"/>
              </w:rPr>
              <w:t>The maximum UL CC number for intra-band UL CA is 2 in Rel-16.</w:t>
            </w:r>
          </w:p>
          <w:p w14:paraId="1CA0A50D" w14:textId="77777777" w:rsidR="00D902E5" w:rsidRPr="009C2C82" w:rsidRDefault="00D902E5" w:rsidP="00D902E5">
            <w:pPr>
              <w:widowControl/>
              <w:overflowPunct w:val="0"/>
              <w:autoSpaceDE w:val="0"/>
              <w:autoSpaceDN w:val="0"/>
              <w:adjustRightInd w:val="0"/>
              <w:snapToGrid w:val="0"/>
              <w:spacing w:afterLines="50" w:after="156"/>
              <w:contextualSpacing/>
              <w:rPr>
                <w:rFonts w:ascii="Arial" w:eastAsia="Yu Mincho" w:hAnsi="Arial" w:cs="Arial"/>
                <w:kern w:val="0"/>
                <w:sz w:val="18"/>
                <w:szCs w:val="18"/>
                <w:lang w:val="en-GB"/>
              </w:rPr>
            </w:pPr>
          </w:p>
          <w:p w14:paraId="59E89D7E" w14:textId="77777777" w:rsidR="00D902E5" w:rsidRPr="009C2C82" w:rsidRDefault="00D902E5" w:rsidP="00D902E5">
            <w:pPr>
              <w:widowControl/>
              <w:overflowPunct w:val="0"/>
              <w:autoSpaceDE w:val="0"/>
              <w:autoSpaceDN w:val="0"/>
              <w:adjustRightInd w:val="0"/>
              <w:snapToGrid w:val="0"/>
              <w:spacing w:afterLines="50" w:after="156"/>
              <w:contextualSpacing/>
              <w:jc w:val="left"/>
              <w:rPr>
                <w:rFonts w:ascii="Arial" w:eastAsia="宋体" w:hAnsi="Arial" w:cs="Arial"/>
                <w:kern w:val="0"/>
                <w:sz w:val="18"/>
                <w:szCs w:val="18"/>
                <w:lang w:val="en-GB"/>
              </w:rPr>
            </w:pPr>
            <w:r w:rsidRPr="009C2C82">
              <w:rPr>
                <w:rFonts w:ascii="Arial" w:eastAsia="宋体" w:hAnsi="Arial" w:cs="Arial"/>
                <w:kern w:val="0"/>
                <w:sz w:val="18"/>
                <w:szCs w:val="18"/>
                <w:lang w:val="en-GB"/>
              </w:rPr>
              <w:t xml:space="preserve">NC CA </w:t>
            </w:r>
            <w:r w:rsidRPr="009C2C82">
              <w:rPr>
                <w:rFonts w:ascii="Arial" w:eastAsia="Yu Mincho" w:hAnsi="Arial" w:cs="Arial"/>
                <w:kern w:val="0"/>
                <w:sz w:val="18"/>
                <w:szCs w:val="18"/>
                <w:lang w:val="en-GB"/>
              </w:rPr>
              <w:t xml:space="preserve">UL separation </w:t>
            </w:r>
            <w:r w:rsidRPr="009C2C82">
              <w:rPr>
                <w:rFonts w:ascii="Arial" w:eastAsia="宋体" w:hAnsi="Arial" w:cs="Arial"/>
                <w:kern w:val="0"/>
                <w:sz w:val="18"/>
                <w:szCs w:val="18"/>
                <w:lang w:val="en-GB"/>
              </w:rPr>
              <w:t>class candidate values:</w:t>
            </w:r>
          </w:p>
          <w:p w14:paraId="4BEEC656" w14:textId="77777777" w:rsidR="00D902E5" w:rsidRPr="009C2C82" w:rsidRDefault="00D902E5" w:rsidP="00D902E5">
            <w:pPr>
              <w:widowControl/>
              <w:overflowPunct w:val="0"/>
              <w:autoSpaceDE w:val="0"/>
              <w:autoSpaceDN w:val="0"/>
              <w:adjustRightInd w:val="0"/>
              <w:ind w:left="232" w:hanging="232"/>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w:t>
            </w:r>
            <w:r w:rsidRPr="009C2C82">
              <w:rPr>
                <w:rFonts w:ascii="Arial" w:eastAsia="Times New Roman" w:hAnsi="Arial" w:cs="Arial"/>
                <w:sz w:val="18"/>
                <w:szCs w:val="18"/>
                <w:lang w:eastAsia="ja-JP"/>
              </w:rPr>
              <w:tab/>
              <w:t>Class</w:t>
            </w:r>
            <w:r w:rsidRPr="009C2C82">
              <w:rPr>
                <w:rFonts w:ascii="Arial" w:eastAsia="Yu Mincho" w:hAnsi="Arial" w:cs="Arial"/>
                <w:sz w:val="18"/>
                <w:szCs w:val="18"/>
              </w:rPr>
              <w:t xml:space="preserve"> I</w:t>
            </w:r>
            <w:r w:rsidRPr="009C2C82">
              <w:rPr>
                <w:rFonts w:ascii="Arial" w:eastAsia="Times New Roman" w:hAnsi="Arial" w:cs="Arial"/>
                <w:sz w:val="18"/>
                <w:szCs w:val="18"/>
                <w:lang w:eastAsia="ja-JP"/>
              </w:rPr>
              <w:t>: NC CA separation class≤ 100MHz</w:t>
            </w:r>
          </w:p>
          <w:p w14:paraId="223BA9BC" w14:textId="77777777" w:rsidR="00D902E5" w:rsidRPr="009C2C82" w:rsidRDefault="00D902E5" w:rsidP="00D902E5">
            <w:pPr>
              <w:widowControl/>
              <w:overflowPunct w:val="0"/>
              <w:autoSpaceDE w:val="0"/>
              <w:autoSpaceDN w:val="0"/>
              <w:adjustRightInd w:val="0"/>
              <w:ind w:left="232" w:hanging="232"/>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w:t>
            </w:r>
            <w:r w:rsidRPr="009C2C82">
              <w:rPr>
                <w:rFonts w:ascii="Arial" w:eastAsia="Times New Roman" w:hAnsi="Arial" w:cs="Arial"/>
                <w:sz w:val="18"/>
                <w:szCs w:val="18"/>
                <w:lang w:eastAsia="ja-JP"/>
              </w:rPr>
              <w:tab/>
              <w:t>Class</w:t>
            </w:r>
            <w:r w:rsidRPr="009C2C82">
              <w:rPr>
                <w:rFonts w:ascii="Arial" w:eastAsia="Yu Mincho" w:hAnsi="Arial" w:cs="Arial"/>
                <w:sz w:val="18"/>
                <w:szCs w:val="18"/>
              </w:rPr>
              <w:t xml:space="preserve"> II</w:t>
            </w:r>
            <w:r w:rsidRPr="009C2C82">
              <w:rPr>
                <w:rFonts w:ascii="Arial" w:eastAsia="Times New Roman" w:hAnsi="Arial" w:cs="Arial"/>
                <w:sz w:val="18"/>
                <w:szCs w:val="18"/>
                <w:lang w:eastAsia="ja-JP"/>
              </w:rPr>
              <w:t>: 100&lt; NC CA separation class≤ 200MHz</w:t>
            </w:r>
          </w:p>
          <w:p w14:paraId="65EB58A0" w14:textId="77777777" w:rsidR="00D902E5" w:rsidRPr="009C2C82" w:rsidRDefault="00D902E5" w:rsidP="00D902E5">
            <w:pPr>
              <w:widowControl/>
              <w:overflowPunct w:val="0"/>
              <w:autoSpaceDE w:val="0"/>
              <w:autoSpaceDN w:val="0"/>
              <w:adjustRightInd w:val="0"/>
              <w:spacing w:after="180"/>
              <w:ind w:left="230" w:hanging="284"/>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w:t>
            </w:r>
            <w:r w:rsidRPr="009C2C82">
              <w:rPr>
                <w:rFonts w:ascii="Arial" w:eastAsia="Times New Roman" w:hAnsi="Arial" w:cs="Arial"/>
                <w:sz w:val="18"/>
                <w:szCs w:val="18"/>
                <w:lang w:eastAsia="ja-JP"/>
              </w:rPr>
              <w:tab/>
              <w:t>Class</w:t>
            </w:r>
            <w:r w:rsidRPr="009C2C82">
              <w:rPr>
                <w:rFonts w:ascii="Arial" w:eastAsia="Times New Roman" w:hAnsi="Arial" w:cs="Arial"/>
                <w:sz w:val="18"/>
                <w:szCs w:val="18"/>
              </w:rPr>
              <w:t xml:space="preserve"> III</w:t>
            </w:r>
            <w:r w:rsidRPr="009C2C82">
              <w:rPr>
                <w:rFonts w:ascii="Arial" w:eastAsia="Times New Roman" w:hAnsi="Arial" w:cs="Arial"/>
                <w:sz w:val="18"/>
                <w:szCs w:val="18"/>
                <w:lang w:eastAsia="ja-JP"/>
              </w:rPr>
              <w:t>: NC CA separation class &gt; 200MHz and &lt;600MHz</w:t>
            </w:r>
          </w:p>
        </w:tc>
        <w:tc>
          <w:tcPr>
            <w:tcW w:w="660" w:type="pct"/>
            <w:tcBorders>
              <w:top w:val="single" w:sz="4" w:space="0" w:color="auto"/>
              <w:left w:val="single" w:sz="4" w:space="0" w:color="auto"/>
              <w:bottom w:val="single" w:sz="4" w:space="0" w:color="auto"/>
              <w:right w:val="single" w:sz="4" w:space="0" w:color="auto"/>
            </w:tcBorders>
            <w:hideMark/>
          </w:tcPr>
          <w:p w14:paraId="10B3EF55"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trike/>
                <w:sz w:val="18"/>
                <w:szCs w:val="18"/>
              </w:rPr>
            </w:pPr>
            <w:r w:rsidRPr="009C2C82">
              <w:rPr>
                <w:rFonts w:ascii="Arial" w:eastAsia="宋体" w:hAnsi="Arial" w:cs="Arial"/>
                <w:sz w:val="18"/>
                <w:szCs w:val="18"/>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46F413FC" w14:textId="49A5D752"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500FB7">
              <w:rPr>
                <w:rFonts w:ascii="Arial" w:hAnsi="Arial" w:cs="Arial"/>
                <w:sz w:val="18"/>
              </w:rPr>
              <w:t>Depends on whether NCR-MT support band combinations.</w:t>
            </w:r>
          </w:p>
        </w:tc>
      </w:tr>
      <w:tr w:rsidR="00D902E5" w:rsidRPr="009C2C82" w14:paraId="0D2341F8" w14:textId="1CAF76FA" w:rsidTr="003C1C98">
        <w:trPr>
          <w:trHeight w:val="7136"/>
        </w:trPr>
        <w:tc>
          <w:tcPr>
            <w:tcW w:w="438" w:type="pct"/>
            <w:tcBorders>
              <w:top w:val="single" w:sz="4" w:space="0" w:color="auto"/>
              <w:left w:val="single" w:sz="4" w:space="0" w:color="auto"/>
              <w:bottom w:val="single" w:sz="4" w:space="0" w:color="auto"/>
              <w:right w:val="single" w:sz="4" w:space="0" w:color="auto"/>
            </w:tcBorders>
            <w:vAlign w:val="center"/>
            <w:hideMark/>
          </w:tcPr>
          <w:p w14:paraId="02B14934" w14:textId="77777777" w:rsidR="00D902E5" w:rsidRPr="009C2C82" w:rsidRDefault="00D902E5" w:rsidP="00D902E5">
            <w:pPr>
              <w:widowControl/>
              <w:jc w:val="left"/>
              <w:rPr>
                <w:rFonts w:ascii="Arial" w:eastAsia="Times New Roman" w:hAnsi="Arial" w:cs="Arial"/>
                <w:kern w:val="0"/>
                <w:sz w:val="18"/>
                <w:szCs w:val="18"/>
                <w:lang w:val="en-GB" w:eastAsia="ja-JP"/>
              </w:rPr>
            </w:pPr>
          </w:p>
        </w:tc>
        <w:tc>
          <w:tcPr>
            <w:tcW w:w="283" w:type="pct"/>
            <w:tcBorders>
              <w:top w:val="single" w:sz="4" w:space="0" w:color="auto"/>
              <w:left w:val="single" w:sz="4" w:space="0" w:color="auto"/>
              <w:bottom w:val="single" w:sz="4" w:space="0" w:color="auto"/>
              <w:right w:val="single" w:sz="4" w:space="0" w:color="auto"/>
            </w:tcBorders>
            <w:hideMark/>
          </w:tcPr>
          <w:p w14:paraId="66520F21"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7-3b</w:t>
            </w:r>
          </w:p>
        </w:tc>
        <w:tc>
          <w:tcPr>
            <w:tcW w:w="424" w:type="pct"/>
            <w:tcBorders>
              <w:top w:val="single" w:sz="4" w:space="0" w:color="auto"/>
              <w:left w:val="single" w:sz="4" w:space="0" w:color="auto"/>
              <w:bottom w:val="single" w:sz="4" w:space="0" w:color="auto"/>
              <w:right w:val="single" w:sz="4" w:space="0" w:color="auto"/>
            </w:tcBorders>
            <w:hideMark/>
          </w:tcPr>
          <w:p w14:paraId="751B4A84"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NR CA class List for Intra-band contiguous CA</w:t>
            </w:r>
          </w:p>
        </w:tc>
        <w:tc>
          <w:tcPr>
            <w:tcW w:w="1109" w:type="pct"/>
            <w:tcBorders>
              <w:top w:val="single" w:sz="4" w:space="0" w:color="auto"/>
              <w:left w:val="single" w:sz="4" w:space="0" w:color="auto"/>
              <w:bottom w:val="single" w:sz="4" w:space="0" w:color="auto"/>
              <w:right w:val="single" w:sz="4" w:space="0" w:color="auto"/>
            </w:tcBorders>
          </w:tcPr>
          <w:p w14:paraId="33069F84" w14:textId="77777777" w:rsidR="00D902E5" w:rsidRPr="009C2C82" w:rsidRDefault="00D902E5" w:rsidP="00D902E5">
            <w:pPr>
              <w:keepNext/>
              <w:keepLines/>
              <w:widowControl/>
              <w:overflowPunct w:val="0"/>
              <w:autoSpaceDE w:val="0"/>
              <w:autoSpaceDN w:val="0"/>
              <w:adjustRightInd w:val="0"/>
              <w:ind w:left="295" w:hanging="295"/>
              <w:jc w:val="left"/>
              <w:rPr>
                <w:rFonts w:ascii="Arial" w:eastAsia="Yu Mincho" w:hAnsi="Arial" w:cs="Times New Roman"/>
                <w:sz w:val="18"/>
                <w:szCs w:val="20"/>
                <w:lang w:eastAsia="ja-JP"/>
              </w:rPr>
            </w:pPr>
            <w:r w:rsidRPr="009C2C82">
              <w:rPr>
                <w:rFonts w:ascii="Arial" w:eastAsia="宋体" w:hAnsi="Arial" w:cs="Arial"/>
                <w:sz w:val="18"/>
              </w:rPr>
              <w:t>1.</w:t>
            </w:r>
            <w:r w:rsidRPr="009C2C82">
              <w:rPr>
                <w:rFonts w:ascii="Arial" w:eastAsia="Yu Mincho" w:hAnsi="Arial" w:cs="Arial"/>
                <w:sz w:val="18"/>
                <w:lang w:eastAsia="ja-JP"/>
              </w:rPr>
              <w:tab/>
              <w:t>Indicate the contiguous CA bandwidth class that UE can support in uplink</w:t>
            </w:r>
          </w:p>
          <w:p w14:paraId="202264A5" w14:textId="77777777" w:rsidR="00D902E5" w:rsidRPr="009C2C82" w:rsidRDefault="00D902E5" w:rsidP="00D902E5">
            <w:pPr>
              <w:keepNext/>
              <w:keepLines/>
              <w:widowControl/>
              <w:overflowPunct w:val="0"/>
              <w:autoSpaceDE w:val="0"/>
              <w:autoSpaceDN w:val="0"/>
              <w:adjustRightInd w:val="0"/>
              <w:ind w:left="295" w:hanging="295"/>
              <w:jc w:val="left"/>
              <w:rPr>
                <w:rFonts w:ascii="Arial" w:eastAsia="Yu Mincho" w:hAnsi="Arial" w:cs="Arial"/>
                <w:sz w:val="18"/>
                <w:lang w:eastAsia="ja-JP"/>
              </w:rPr>
            </w:pPr>
            <w:r w:rsidRPr="009C2C82">
              <w:rPr>
                <w:rFonts w:ascii="Arial" w:eastAsia="宋体" w:hAnsi="Arial" w:cs="Arial"/>
                <w:sz w:val="18"/>
              </w:rPr>
              <w:t>2.</w:t>
            </w:r>
            <w:r w:rsidRPr="009C2C82">
              <w:rPr>
                <w:rFonts w:ascii="Arial" w:eastAsia="Yu Mincho" w:hAnsi="Arial" w:cs="Arial"/>
                <w:sz w:val="18"/>
                <w:lang w:eastAsia="ja-JP"/>
              </w:rPr>
              <w:tab/>
              <w:t>On the condition that component 1 is indicated, indicate the PA architecture, i.e., 1PA or 2PA</w:t>
            </w:r>
          </w:p>
          <w:p w14:paraId="627BD1AD" w14:textId="77777777" w:rsidR="00D902E5" w:rsidRPr="009C2C82" w:rsidRDefault="00D902E5" w:rsidP="00D902E5">
            <w:pPr>
              <w:keepNext/>
              <w:keepLines/>
              <w:widowControl/>
              <w:overflowPunct w:val="0"/>
              <w:autoSpaceDE w:val="0"/>
              <w:autoSpaceDN w:val="0"/>
              <w:adjustRightInd w:val="0"/>
              <w:ind w:left="295" w:hanging="295"/>
              <w:jc w:val="left"/>
              <w:rPr>
                <w:rFonts w:ascii="Arial" w:eastAsia="宋体" w:hAnsi="Arial" w:cs="Arial"/>
                <w:sz w:val="18"/>
              </w:rPr>
            </w:pPr>
            <w:r w:rsidRPr="009C2C82">
              <w:rPr>
                <w:rFonts w:ascii="Arial" w:eastAsia="宋体" w:hAnsi="Arial" w:cs="Arial"/>
                <w:sz w:val="18"/>
              </w:rPr>
              <w:t>3.</w:t>
            </w:r>
            <w:r w:rsidRPr="009C2C82">
              <w:rPr>
                <w:rFonts w:ascii="Arial" w:eastAsia="Yu Mincho" w:hAnsi="Arial" w:cs="Arial"/>
                <w:sz w:val="18"/>
                <w:lang w:eastAsia="ja-JP"/>
              </w:rPr>
              <w:tab/>
              <w:t>On the condition that component 1 and component 2 are indicated, indicate the MIMO layer number for each UL CC separately</w:t>
            </w:r>
          </w:p>
          <w:p w14:paraId="4327BB7B"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rPr>
            </w:pPr>
          </w:p>
          <w:p w14:paraId="66502B28" w14:textId="77777777" w:rsidR="00D902E5" w:rsidRPr="009C2C82" w:rsidRDefault="00D902E5" w:rsidP="00D902E5">
            <w:pPr>
              <w:keepNext/>
              <w:keepLines/>
              <w:widowControl/>
              <w:overflowPunct w:val="0"/>
              <w:autoSpaceDE w:val="0"/>
              <w:autoSpaceDN w:val="0"/>
              <w:adjustRightInd w:val="0"/>
              <w:jc w:val="left"/>
              <w:rPr>
                <w:rFonts w:ascii="Arial" w:eastAsia="Yu Mincho" w:hAnsi="Arial" w:cs="Arial"/>
                <w:sz w:val="18"/>
              </w:rPr>
            </w:pPr>
            <w:r w:rsidRPr="009C2C82">
              <w:rPr>
                <w:rFonts w:ascii="Arial" w:eastAsia="宋体" w:hAnsi="Arial" w:cs="Arial"/>
                <w:sz w:val="18"/>
              </w:rPr>
              <w:t>NOTE1: there is dependency for the three components as given above</w:t>
            </w:r>
          </w:p>
          <w:p w14:paraId="2C9496B1"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lang w:eastAsia="ja-JP"/>
              </w:rPr>
            </w:pPr>
          </w:p>
          <w:p w14:paraId="5B65D320"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lang w:eastAsia="ja-JP"/>
              </w:rPr>
            </w:pPr>
            <w:r w:rsidRPr="009C2C82">
              <w:rPr>
                <w:rFonts w:ascii="Arial" w:eastAsia="Times New Roman" w:hAnsi="Arial" w:cs="Arial"/>
                <w:sz w:val="18"/>
                <w:lang w:eastAsia="ja-JP"/>
              </w:rPr>
              <w:t>NOTE2: component 1/2/3 are existing signaling from Rel-15, the dependency and conditioned relation need to be ensured in Rel-16 signalling. It is up to RAN2 to decide how to ensure dependency and conditioned relation or new Rel-16 signaling is needed.</w:t>
            </w:r>
          </w:p>
        </w:tc>
        <w:tc>
          <w:tcPr>
            <w:tcW w:w="1427" w:type="pct"/>
            <w:tcBorders>
              <w:top w:val="single" w:sz="4" w:space="0" w:color="auto"/>
              <w:left w:val="single" w:sz="4" w:space="0" w:color="auto"/>
              <w:bottom w:val="single" w:sz="4" w:space="0" w:color="auto"/>
              <w:right w:val="single" w:sz="4" w:space="0" w:color="auto"/>
            </w:tcBorders>
            <w:hideMark/>
          </w:tcPr>
          <w:p w14:paraId="3DEBAD5A"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rPr>
            </w:pPr>
            <w:r w:rsidRPr="009C2C82">
              <w:rPr>
                <w:rFonts w:ascii="Arial" w:eastAsia="Times New Roman" w:hAnsi="Arial" w:cs="Arial"/>
                <w:sz w:val="18"/>
                <w:szCs w:val="18"/>
              </w:rPr>
              <w:t>for each contiguous CA bandwidth class, if 2PA architecture is indicated, MIMO is not supported for both UL CCs by default</w:t>
            </w:r>
          </w:p>
        </w:tc>
        <w:tc>
          <w:tcPr>
            <w:tcW w:w="660" w:type="pct"/>
            <w:tcBorders>
              <w:top w:val="single" w:sz="4" w:space="0" w:color="auto"/>
              <w:left w:val="single" w:sz="4" w:space="0" w:color="auto"/>
              <w:bottom w:val="single" w:sz="4" w:space="0" w:color="auto"/>
              <w:right w:val="single" w:sz="4" w:space="0" w:color="auto"/>
            </w:tcBorders>
            <w:hideMark/>
          </w:tcPr>
          <w:p w14:paraId="1566359B"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127412CA" w14:textId="7A4243CB"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500FB7">
              <w:rPr>
                <w:rFonts w:ascii="Arial" w:hAnsi="Arial" w:cs="Arial"/>
                <w:sz w:val="18"/>
              </w:rPr>
              <w:t>Depends on whether NCR-MT support band combinations.</w:t>
            </w:r>
          </w:p>
        </w:tc>
      </w:tr>
      <w:tr w:rsidR="00EC5B7E" w:rsidRPr="009C2C82" w14:paraId="5305024B" w14:textId="0A018B2E" w:rsidTr="00EC5B7E">
        <w:trPr>
          <w:trHeight w:val="2400"/>
        </w:trPr>
        <w:tc>
          <w:tcPr>
            <w:tcW w:w="438" w:type="pct"/>
            <w:tcBorders>
              <w:top w:val="single" w:sz="4" w:space="0" w:color="auto"/>
              <w:left w:val="single" w:sz="4" w:space="0" w:color="auto"/>
              <w:bottom w:val="single" w:sz="4" w:space="0" w:color="auto"/>
              <w:right w:val="single" w:sz="4" w:space="0" w:color="auto"/>
            </w:tcBorders>
            <w:vAlign w:val="center"/>
            <w:hideMark/>
          </w:tcPr>
          <w:p w14:paraId="1CA68596" w14:textId="77777777" w:rsidR="00EC5B7E" w:rsidRPr="009C2C82" w:rsidRDefault="00EC5B7E" w:rsidP="00771CB3">
            <w:pPr>
              <w:widowControl/>
              <w:jc w:val="left"/>
              <w:rPr>
                <w:rFonts w:ascii="Arial" w:eastAsia="Times New Roman" w:hAnsi="Arial" w:cs="Arial"/>
                <w:kern w:val="0"/>
                <w:sz w:val="18"/>
                <w:szCs w:val="18"/>
                <w:lang w:val="en-GB" w:eastAsia="ja-JP"/>
              </w:rPr>
            </w:pPr>
          </w:p>
        </w:tc>
        <w:tc>
          <w:tcPr>
            <w:tcW w:w="283" w:type="pct"/>
            <w:tcBorders>
              <w:top w:val="single" w:sz="4" w:space="0" w:color="auto"/>
              <w:left w:val="single" w:sz="4" w:space="0" w:color="auto"/>
              <w:bottom w:val="single" w:sz="4" w:space="0" w:color="auto"/>
              <w:right w:val="single" w:sz="4" w:space="0" w:color="auto"/>
            </w:tcBorders>
            <w:hideMark/>
          </w:tcPr>
          <w:p w14:paraId="3B5F91B3" w14:textId="77777777" w:rsidR="00EC5B7E" w:rsidRPr="009C2C82" w:rsidRDefault="00EC5B7E" w:rsidP="00771CB3">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7-</w:t>
            </w:r>
            <w:r w:rsidRPr="009C2C82">
              <w:rPr>
                <w:rFonts w:ascii="Arial" w:eastAsia="Times New Roman" w:hAnsi="Arial" w:cs="Arial"/>
                <w:sz w:val="18"/>
                <w:szCs w:val="18"/>
              </w:rPr>
              <w:t>4</w:t>
            </w:r>
          </w:p>
        </w:tc>
        <w:tc>
          <w:tcPr>
            <w:tcW w:w="424" w:type="pct"/>
            <w:tcBorders>
              <w:top w:val="single" w:sz="4" w:space="0" w:color="auto"/>
              <w:left w:val="single" w:sz="4" w:space="0" w:color="auto"/>
              <w:bottom w:val="single" w:sz="4" w:space="0" w:color="auto"/>
              <w:right w:val="single" w:sz="4" w:space="0" w:color="auto"/>
            </w:tcBorders>
            <w:hideMark/>
          </w:tcPr>
          <w:p w14:paraId="5C65616F" w14:textId="77777777" w:rsidR="00EC5B7E" w:rsidRPr="009C2C82" w:rsidRDefault="00EC5B7E" w:rsidP="00771CB3">
            <w:pPr>
              <w:keepNext/>
              <w:keepLines/>
              <w:widowControl/>
              <w:overflowPunct w:val="0"/>
              <w:autoSpaceDE w:val="0"/>
              <w:autoSpaceDN w:val="0"/>
              <w:adjustRightInd w:val="0"/>
              <w:jc w:val="left"/>
              <w:rPr>
                <w:rFonts w:ascii="Arial" w:eastAsia="Times New Roman" w:hAnsi="Arial" w:cs="Arial"/>
                <w:sz w:val="18"/>
                <w:szCs w:val="18"/>
              </w:rPr>
            </w:pPr>
            <w:r w:rsidRPr="009C2C82">
              <w:rPr>
                <w:rFonts w:ascii="Arial" w:eastAsia="宋体" w:hAnsi="Arial" w:cs="Arial"/>
                <w:sz w:val="18"/>
                <w:szCs w:val="18"/>
              </w:rPr>
              <w:t>Transient period</w:t>
            </w:r>
          </w:p>
        </w:tc>
        <w:tc>
          <w:tcPr>
            <w:tcW w:w="1109" w:type="pct"/>
            <w:tcBorders>
              <w:top w:val="single" w:sz="4" w:space="0" w:color="auto"/>
              <w:left w:val="single" w:sz="4" w:space="0" w:color="auto"/>
              <w:bottom w:val="single" w:sz="4" w:space="0" w:color="auto"/>
              <w:right w:val="single" w:sz="4" w:space="0" w:color="auto"/>
            </w:tcBorders>
            <w:hideMark/>
          </w:tcPr>
          <w:p w14:paraId="3857BE42" w14:textId="77777777" w:rsidR="00EC5B7E" w:rsidRPr="009C2C82" w:rsidRDefault="00EC5B7E" w:rsidP="00771CB3">
            <w:pPr>
              <w:keepNext/>
              <w:keepLines/>
              <w:widowControl/>
              <w:overflowPunct w:val="0"/>
              <w:autoSpaceDE w:val="0"/>
              <w:autoSpaceDN w:val="0"/>
              <w:adjustRightInd w:val="0"/>
              <w:jc w:val="left"/>
              <w:rPr>
                <w:rFonts w:ascii="Arial" w:eastAsia="宋体" w:hAnsi="Arial" w:cs="Times New Roman"/>
                <w:sz w:val="18"/>
                <w:szCs w:val="20"/>
              </w:rPr>
            </w:pPr>
            <w:r w:rsidRPr="009C2C82">
              <w:rPr>
                <w:rFonts w:ascii="Arial" w:eastAsia="宋体" w:hAnsi="Arial" w:cs="Arial"/>
                <w:sz w:val="18"/>
              </w:rPr>
              <w:t>Report the shorter transient capability supported by the UE: 2, 4 or 7us</w:t>
            </w:r>
          </w:p>
        </w:tc>
        <w:tc>
          <w:tcPr>
            <w:tcW w:w="1427" w:type="pct"/>
            <w:tcBorders>
              <w:top w:val="single" w:sz="4" w:space="0" w:color="auto"/>
              <w:left w:val="single" w:sz="4" w:space="0" w:color="auto"/>
              <w:bottom w:val="single" w:sz="4" w:space="0" w:color="auto"/>
              <w:right w:val="single" w:sz="4" w:space="0" w:color="auto"/>
            </w:tcBorders>
            <w:hideMark/>
          </w:tcPr>
          <w:p w14:paraId="4F2E27B8" w14:textId="77777777" w:rsidR="00EC5B7E" w:rsidRPr="009C2C82" w:rsidRDefault="00EC5B7E" w:rsidP="00771CB3">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No value reported means UE supports the legacy 10us transient period</w:t>
            </w:r>
          </w:p>
        </w:tc>
        <w:tc>
          <w:tcPr>
            <w:tcW w:w="660" w:type="pct"/>
            <w:tcBorders>
              <w:top w:val="single" w:sz="4" w:space="0" w:color="auto"/>
              <w:left w:val="single" w:sz="4" w:space="0" w:color="auto"/>
              <w:bottom w:val="single" w:sz="4" w:space="0" w:color="auto"/>
              <w:right w:val="single" w:sz="4" w:space="0" w:color="auto"/>
            </w:tcBorders>
            <w:hideMark/>
          </w:tcPr>
          <w:p w14:paraId="38B6AC83" w14:textId="77777777" w:rsidR="00EC5B7E" w:rsidRPr="009C2C82" w:rsidRDefault="00EC5B7E" w:rsidP="00771CB3">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7845153C" w14:textId="7EB46E8A" w:rsidR="00EC5B7E" w:rsidRPr="00D902E5" w:rsidRDefault="00D902E5" w:rsidP="00771CB3">
            <w:pPr>
              <w:keepNext/>
              <w:keepLines/>
              <w:widowControl/>
              <w:overflowPunct w:val="0"/>
              <w:autoSpaceDE w:val="0"/>
              <w:autoSpaceDN w:val="0"/>
              <w:adjustRightInd w:val="0"/>
              <w:jc w:val="left"/>
              <w:rPr>
                <w:rFonts w:ascii="Arial" w:eastAsia="宋体" w:hAnsi="Arial" w:cs="Arial"/>
                <w:sz w:val="18"/>
                <w:szCs w:val="18"/>
              </w:rPr>
            </w:pPr>
            <w:r>
              <w:rPr>
                <w:rFonts w:ascii="Arial" w:eastAsia="宋体" w:hAnsi="Arial" w:cs="Arial"/>
                <w:sz w:val="18"/>
                <w:szCs w:val="18"/>
              </w:rPr>
              <w:t>Optional for NCR-MT</w:t>
            </w:r>
          </w:p>
        </w:tc>
      </w:tr>
      <w:tr w:rsidR="00D902E5" w:rsidRPr="009C2C82" w14:paraId="4769EA15" w14:textId="0D4CA17A" w:rsidTr="00EC5B7E">
        <w:trPr>
          <w:trHeight w:val="1120"/>
        </w:trPr>
        <w:tc>
          <w:tcPr>
            <w:tcW w:w="438" w:type="pct"/>
            <w:tcBorders>
              <w:top w:val="single" w:sz="4" w:space="0" w:color="auto"/>
              <w:left w:val="single" w:sz="4" w:space="0" w:color="auto"/>
              <w:bottom w:val="single" w:sz="4" w:space="0" w:color="auto"/>
              <w:right w:val="single" w:sz="4" w:space="0" w:color="auto"/>
            </w:tcBorders>
          </w:tcPr>
          <w:p w14:paraId="0235D5E2"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283" w:type="pct"/>
            <w:tcBorders>
              <w:top w:val="single" w:sz="4" w:space="0" w:color="auto"/>
              <w:left w:val="single" w:sz="4" w:space="0" w:color="auto"/>
              <w:bottom w:val="single" w:sz="4" w:space="0" w:color="auto"/>
              <w:right w:val="single" w:sz="4" w:space="0" w:color="auto"/>
            </w:tcBorders>
            <w:hideMark/>
          </w:tcPr>
          <w:p w14:paraId="665B0263"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7-</w:t>
            </w:r>
            <w:r w:rsidRPr="009C2C82">
              <w:rPr>
                <w:rFonts w:ascii="Arial" w:eastAsia="Times New Roman" w:hAnsi="Arial" w:cs="Arial"/>
                <w:sz w:val="18"/>
                <w:szCs w:val="18"/>
              </w:rPr>
              <w:t>5</w:t>
            </w:r>
          </w:p>
        </w:tc>
        <w:tc>
          <w:tcPr>
            <w:tcW w:w="424" w:type="pct"/>
            <w:tcBorders>
              <w:top w:val="single" w:sz="4" w:space="0" w:color="auto"/>
              <w:left w:val="single" w:sz="4" w:space="0" w:color="auto"/>
              <w:bottom w:val="single" w:sz="4" w:space="0" w:color="auto"/>
              <w:right w:val="single" w:sz="4" w:space="0" w:color="auto"/>
            </w:tcBorders>
            <w:hideMark/>
          </w:tcPr>
          <w:p w14:paraId="4C776E27"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DC location for intra-band CA</w:t>
            </w:r>
          </w:p>
        </w:tc>
        <w:tc>
          <w:tcPr>
            <w:tcW w:w="1109" w:type="pct"/>
            <w:tcBorders>
              <w:top w:val="single" w:sz="4" w:space="0" w:color="auto"/>
              <w:left w:val="single" w:sz="4" w:space="0" w:color="auto"/>
              <w:bottom w:val="single" w:sz="4" w:space="0" w:color="auto"/>
              <w:right w:val="single" w:sz="4" w:space="0" w:color="auto"/>
            </w:tcBorders>
            <w:hideMark/>
          </w:tcPr>
          <w:p w14:paraId="1CC9A503" w14:textId="77777777" w:rsidR="00D902E5" w:rsidRPr="009C2C82" w:rsidRDefault="00D902E5" w:rsidP="00D902E5">
            <w:pPr>
              <w:keepNext/>
              <w:keepLines/>
              <w:widowControl/>
              <w:overflowPunct w:val="0"/>
              <w:autoSpaceDE w:val="0"/>
              <w:autoSpaceDN w:val="0"/>
              <w:adjustRightInd w:val="0"/>
              <w:jc w:val="left"/>
              <w:rPr>
                <w:rFonts w:ascii="Arial" w:eastAsia="宋体" w:hAnsi="Arial" w:cs="Times New Roman"/>
                <w:sz w:val="18"/>
                <w:szCs w:val="20"/>
              </w:rPr>
            </w:pPr>
            <w:r w:rsidRPr="009C2C82">
              <w:rPr>
                <w:rFonts w:ascii="Arial" w:eastAsia="宋体" w:hAnsi="Arial" w:cs="Arial"/>
                <w:sz w:val="18"/>
              </w:rPr>
              <w:t>Indicate whether UE support Additional DC location reporting for intra-band UL CA</w:t>
            </w:r>
          </w:p>
        </w:tc>
        <w:tc>
          <w:tcPr>
            <w:tcW w:w="1427" w:type="pct"/>
            <w:tcBorders>
              <w:top w:val="single" w:sz="4" w:space="0" w:color="auto"/>
              <w:left w:val="single" w:sz="4" w:space="0" w:color="auto"/>
              <w:bottom w:val="single" w:sz="4" w:space="0" w:color="auto"/>
              <w:right w:val="single" w:sz="4" w:space="0" w:color="auto"/>
            </w:tcBorders>
          </w:tcPr>
          <w:p w14:paraId="6B67A44D"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p>
        </w:tc>
        <w:tc>
          <w:tcPr>
            <w:tcW w:w="660" w:type="pct"/>
            <w:tcBorders>
              <w:top w:val="single" w:sz="4" w:space="0" w:color="auto"/>
              <w:left w:val="single" w:sz="4" w:space="0" w:color="auto"/>
              <w:bottom w:val="single" w:sz="4" w:space="0" w:color="auto"/>
              <w:right w:val="single" w:sz="4" w:space="0" w:color="auto"/>
            </w:tcBorders>
            <w:hideMark/>
          </w:tcPr>
          <w:p w14:paraId="0217000F"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宋体" w:hAnsi="Arial" w:cs="Arial"/>
                <w:sz w:val="18"/>
                <w:szCs w:val="18"/>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4FDB7067" w14:textId="7C0111ED"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AD0BDC">
              <w:rPr>
                <w:rFonts w:ascii="Arial" w:hAnsi="Arial" w:cs="Arial"/>
                <w:sz w:val="18"/>
              </w:rPr>
              <w:t>Depends on whether NCR-MT support band combinations.</w:t>
            </w:r>
          </w:p>
        </w:tc>
      </w:tr>
      <w:tr w:rsidR="00D902E5" w:rsidRPr="009C2C82" w14:paraId="0A8AB613" w14:textId="30740A44" w:rsidTr="00EC5B7E">
        <w:trPr>
          <w:trHeight w:val="1120"/>
        </w:trPr>
        <w:tc>
          <w:tcPr>
            <w:tcW w:w="438" w:type="pct"/>
            <w:tcBorders>
              <w:top w:val="single" w:sz="4" w:space="0" w:color="auto"/>
              <w:left w:val="single" w:sz="4" w:space="0" w:color="auto"/>
              <w:bottom w:val="single" w:sz="4" w:space="0" w:color="auto"/>
              <w:right w:val="single" w:sz="4" w:space="0" w:color="auto"/>
            </w:tcBorders>
          </w:tcPr>
          <w:p w14:paraId="45460F08" w14:textId="77777777" w:rsidR="00D902E5" w:rsidRPr="009C2C82" w:rsidRDefault="00D902E5" w:rsidP="00D902E5">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283" w:type="pct"/>
            <w:tcBorders>
              <w:top w:val="single" w:sz="4" w:space="0" w:color="auto"/>
              <w:left w:val="single" w:sz="4" w:space="0" w:color="auto"/>
              <w:bottom w:val="single" w:sz="4" w:space="0" w:color="auto"/>
              <w:right w:val="single" w:sz="4" w:space="0" w:color="auto"/>
            </w:tcBorders>
            <w:hideMark/>
          </w:tcPr>
          <w:p w14:paraId="2BBB89DD"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bCs/>
                <w:sz w:val="18"/>
                <w:szCs w:val="18"/>
              </w:rPr>
              <w:t>7-6 (RAN2)</w:t>
            </w:r>
          </w:p>
        </w:tc>
        <w:tc>
          <w:tcPr>
            <w:tcW w:w="424" w:type="pct"/>
            <w:tcBorders>
              <w:top w:val="single" w:sz="4" w:space="0" w:color="auto"/>
              <w:left w:val="single" w:sz="4" w:space="0" w:color="auto"/>
              <w:bottom w:val="single" w:sz="4" w:space="0" w:color="auto"/>
              <w:right w:val="single" w:sz="4" w:space="0" w:color="auto"/>
            </w:tcBorders>
            <w:hideMark/>
          </w:tcPr>
          <w:p w14:paraId="54A4A299"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sz w:val="18"/>
                <w:szCs w:val="18"/>
                <w:lang w:eastAsia="ja-JP"/>
              </w:rPr>
              <w:t>Indicating support of the uplink codebook subset when uplink Tx switching is triggered between last transmitted SRS and scheduled PUSCH transmission</w:t>
            </w:r>
          </w:p>
        </w:tc>
        <w:tc>
          <w:tcPr>
            <w:tcW w:w="1109" w:type="pct"/>
            <w:tcBorders>
              <w:top w:val="single" w:sz="4" w:space="0" w:color="auto"/>
              <w:left w:val="single" w:sz="4" w:space="0" w:color="auto"/>
              <w:bottom w:val="single" w:sz="4" w:space="0" w:color="auto"/>
              <w:right w:val="single" w:sz="4" w:space="0" w:color="auto"/>
            </w:tcBorders>
            <w:hideMark/>
          </w:tcPr>
          <w:p w14:paraId="4AFEB414" w14:textId="77777777" w:rsidR="00D902E5" w:rsidRPr="009C2C82" w:rsidRDefault="00D902E5" w:rsidP="00D902E5">
            <w:pPr>
              <w:widowControl/>
              <w:jc w:val="left"/>
              <w:rPr>
                <w:rFonts w:ascii="Arial" w:eastAsia="宋体" w:hAnsi="Arial" w:cs="Arial"/>
                <w:kern w:val="0"/>
                <w:sz w:val="18"/>
                <w:szCs w:val="18"/>
                <w:lang w:val="en-GB" w:eastAsia="en-US"/>
              </w:rPr>
            </w:pPr>
            <w:r w:rsidRPr="009C2C82">
              <w:rPr>
                <w:rFonts w:ascii="Arial" w:eastAsia="宋体" w:hAnsi="Arial" w:cs="Arial"/>
                <w:kern w:val="0"/>
                <w:sz w:val="18"/>
                <w:szCs w:val="18"/>
                <w:lang w:val="en-GB" w:eastAsia="en-US"/>
              </w:rPr>
              <w:t>UE indicating support of full coherent codebook subset shall also support non-coherent codebook subset.</w:t>
            </w:r>
          </w:p>
          <w:p w14:paraId="284F3DB5" w14:textId="77777777" w:rsidR="00D902E5" w:rsidRPr="009C2C82" w:rsidRDefault="00D902E5" w:rsidP="00D902E5">
            <w:pPr>
              <w:widowControl/>
              <w:jc w:val="left"/>
              <w:rPr>
                <w:rFonts w:ascii="Times New Roman" w:eastAsia="宋体" w:hAnsi="Times New Roman" w:cs="Arial"/>
                <w:kern w:val="0"/>
                <w:sz w:val="24"/>
                <w:szCs w:val="18"/>
                <w:lang w:val="en-GB" w:eastAsia="en-US"/>
              </w:rPr>
            </w:pPr>
            <w:r w:rsidRPr="009C2C82">
              <w:rPr>
                <w:rFonts w:ascii="Arial" w:eastAsia="宋体" w:hAnsi="Arial" w:cs="Arial"/>
                <w:kern w:val="0"/>
                <w:sz w:val="18"/>
                <w:szCs w:val="18"/>
                <w:lang w:val="en-GB" w:eastAsia="en-US"/>
              </w:rPr>
              <w:t xml:space="preserve">If the field is absent, the supported uplink codebook subset indicated by </w:t>
            </w:r>
            <w:r w:rsidRPr="009C2C82">
              <w:rPr>
                <w:rFonts w:ascii="Arial" w:eastAsia="宋体" w:hAnsi="Arial" w:cs="Arial"/>
                <w:i/>
                <w:iCs/>
                <w:kern w:val="0"/>
                <w:sz w:val="18"/>
                <w:szCs w:val="18"/>
                <w:lang w:val="en-GB" w:eastAsia="en-US"/>
              </w:rPr>
              <w:t>pusch-TransCoherence</w:t>
            </w:r>
            <w:r w:rsidRPr="009C2C82">
              <w:rPr>
                <w:rFonts w:ascii="Arial" w:eastAsia="宋体" w:hAnsi="Arial" w:cs="Arial"/>
                <w:kern w:val="0"/>
                <w:sz w:val="18"/>
                <w:szCs w:val="18"/>
                <w:lang w:val="en-GB" w:eastAsia="en-US"/>
              </w:rPr>
              <w:t xml:space="preserve"> applies when the uplink switching is triggered between last transmitted SRS and scheduled transmission.</w:t>
            </w:r>
          </w:p>
        </w:tc>
        <w:tc>
          <w:tcPr>
            <w:tcW w:w="1427" w:type="pct"/>
            <w:tcBorders>
              <w:top w:val="single" w:sz="4" w:space="0" w:color="auto"/>
              <w:left w:val="single" w:sz="4" w:space="0" w:color="auto"/>
              <w:bottom w:val="single" w:sz="4" w:space="0" w:color="auto"/>
              <w:right w:val="single" w:sz="4" w:space="0" w:color="auto"/>
            </w:tcBorders>
          </w:tcPr>
          <w:p w14:paraId="498A0C5D"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p>
        </w:tc>
        <w:tc>
          <w:tcPr>
            <w:tcW w:w="660" w:type="pct"/>
            <w:tcBorders>
              <w:top w:val="single" w:sz="4" w:space="0" w:color="auto"/>
              <w:left w:val="single" w:sz="4" w:space="0" w:color="auto"/>
              <w:bottom w:val="single" w:sz="4" w:space="0" w:color="auto"/>
              <w:right w:val="single" w:sz="4" w:space="0" w:color="auto"/>
            </w:tcBorders>
            <w:hideMark/>
          </w:tcPr>
          <w:p w14:paraId="50092985" w14:textId="77777777" w:rsidR="00D902E5" w:rsidRPr="009C2C82" w:rsidRDefault="00D902E5" w:rsidP="00D902E5">
            <w:pPr>
              <w:keepNext/>
              <w:keepLines/>
              <w:widowControl/>
              <w:overflowPunct w:val="0"/>
              <w:autoSpaceDE w:val="0"/>
              <w:autoSpaceDN w:val="0"/>
              <w:adjustRightInd w:val="0"/>
              <w:jc w:val="left"/>
              <w:rPr>
                <w:rFonts w:ascii="Arial" w:eastAsia="宋体" w:hAnsi="Arial" w:cs="Arial"/>
                <w:sz w:val="18"/>
                <w:szCs w:val="18"/>
              </w:rPr>
            </w:pPr>
            <w:r w:rsidRPr="009C2C82">
              <w:rPr>
                <w:rFonts w:ascii="Arial" w:eastAsia="Times New Roman" w:hAnsi="Arial" w:cs="Arial"/>
                <w:bCs/>
                <w:sz w:val="18"/>
                <w:szCs w:val="18"/>
                <w:lang w:eastAsia="ja-JP"/>
              </w:rPr>
              <w:t>Optional with capability signalling</w:t>
            </w:r>
          </w:p>
        </w:tc>
        <w:tc>
          <w:tcPr>
            <w:tcW w:w="660" w:type="pct"/>
            <w:tcBorders>
              <w:top w:val="single" w:sz="4" w:space="0" w:color="auto"/>
              <w:left w:val="single" w:sz="4" w:space="0" w:color="auto"/>
              <w:bottom w:val="single" w:sz="4" w:space="0" w:color="auto"/>
              <w:right w:val="single" w:sz="4" w:space="0" w:color="auto"/>
            </w:tcBorders>
          </w:tcPr>
          <w:p w14:paraId="6EBAAD4A" w14:textId="5019B33F" w:rsidR="00D902E5" w:rsidRPr="00DE650E" w:rsidRDefault="00D902E5" w:rsidP="00D902E5">
            <w:pPr>
              <w:keepNext/>
              <w:keepLines/>
              <w:widowControl/>
              <w:overflowPunct w:val="0"/>
              <w:autoSpaceDE w:val="0"/>
              <w:autoSpaceDN w:val="0"/>
              <w:adjustRightInd w:val="0"/>
              <w:jc w:val="left"/>
              <w:rPr>
                <w:rFonts w:ascii="Arial" w:eastAsia="Times New Roman" w:hAnsi="Arial" w:cs="Arial"/>
                <w:bCs/>
                <w:sz w:val="18"/>
                <w:szCs w:val="18"/>
                <w:lang w:eastAsia="ja-JP"/>
              </w:rPr>
            </w:pPr>
            <w:r w:rsidRPr="00AD0BDC">
              <w:rPr>
                <w:rFonts w:ascii="Arial" w:hAnsi="Arial" w:cs="Arial"/>
                <w:sz w:val="18"/>
              </w:rPr>
              <w:t>Depends on whether NCR-MT support band combinations.</w:t>
            </w:r>
          </w:p>
        </w:tc>
      </w:tr>
    </w:tbl>
    <w:p w14:paraId="0677B9D1" w14:textId="77777777" w:rsidR="009C2C82" w:rsidRPr="009C2C82" w:rsidRDefault="009C2C82" w:rsidP="009C2C82">
      <w:pPr>
        <w:widowControl/>
        <w:overflowPunct w:val="0"/>
        <w:autoSpaceDE w:val="0"/>
        <w:autoSpaceDN w:val="0"/>
        <w:adjustRightInd w:val="0"/>
        <w:spacing w:after="180"/>
        <w:jc w:val="left"/>
        <w:rPr>
          <w:rFonts w:ascii="Times New Roman" w:eastAsia="Batang" w:hAnsi="Times New Roman" w:cs="Times New Roman"/>
          <w:kern w:val="0"/>
          <w:sz w:val="20"/>
          <w:szCs w:val="20"/>
          <w:lang w:val="en-GB" w:eastAsia="ko-KR"/>
        </w:rPr>
      </w:pPr>
    </w:p>
    <w:p w14:paraId="3A204245" w14:textId="48CC493B" w:rsidR="009C2C82" w:rsidRDefault="00EC5B7E" w:rsidP="00EC5B7E">
      <w:pPr>
        <w:pStyle w:val="Heading3"/>
        <w:rPr>
          <w:lang w:val="en-GB" w:eastAsia="ko-KR"/>
        </w:rPr>
      </w:pPr>
      <w:r>
        <w:rPr>
          <w:lang w:val="en-GB" w:eastAsia="ko-KR"/>
        </w:rPr>
        <w:t>2.2.2 FR2</w:t>
      </w:r>
    </w:p>
    <w:p w14:paraId="6C0AE318" w14:textId="77777777" w:rsidR="00F64FC7" w:rsidRPr="00B334DF" w:rsidRDefault="00F64FC7" w:rsidP="00F64FC7">
      <w:pPr>
        <w:spacing w:before="120" w:after="120"/>
        <w:rPr>
          <w:rFonts w:ascii="Times New Roman" w:hAnsi="Times New Roman" w:cs="Times New Roman"/>
        </w:rPr>
      </w:pPr>
      <w:r w:rsidRPr="00B334DF">
        <w:rPr>
          <w:rFonts w:ascii="Times New Roman" w:hAnsi="Times New Roman" w:cs="Times New Roman"/>
        </w:rPr>
        <w:t>Following table list all the feature in TR 38.822 for R1</w:t>
      </w:r>
      <w:r>
        <w:rPr>
          <w:rFonts w:ascii="Times New Roman" w:hAnsi="Times New Roman" w:cs="Times New Roman"/>
        </w:rPr>
        <w:t>6</w:t>
      </w:r>
      <w:r w:rsidRPr="00B334DF">
        <w:rPr>
          <w:rFonts w:ascii="Times New Roman" w:hAnsi="Times New Roman" w:cs="Times New Roman"/>
        </w:rPr>
        <w:t xml:space="preserve"> RF part. Observations are listed as below:</w:t>
      </w:r>
    </w:p>
    <w:p w14:paraId="78B7044E" w14:textId="50F3F82E" w:rsidR="00F64FC7" w:rsidRDefault="00F64FC7" w:rsidP="00F64FC7">
      <w:pPr>
        <w:pStyle w:val="ListParagraph"/>
        <w:numPr>
          <w:ilvl w:val="0"/>
          <w:numId w:val="15"/>
        </w:numPr>
        <w:spacing w:before="120" w:after="120"/>
        <w:ind w:firstLineChars="0"/>
        <w:rPr>
          <w:rFonts w:ascii="Times New Roman" w:hAnsi="Times New Roman" w:cs="Times New Roman"/>
        </w:rPr>
      </w:pPr>
      <w:r>
        <w:rPr>
          <w:rFonts w:ascii="Times New Roman" w:hAnsi="Times New Roman" w:cs="Times New Roman"/>
        </w:rPr>
        <w:t xml:space="preserve">Except for one mandatory feature index 8-5 </w:t>
      </w:r>
      <w:r w:rsidRPr="00F64FC7">
        <w:rPr>
          <w:rFonts w:ascii="Times New Roman" w:hAnsi="Times New Roman" w:cs="Times New Roman"/>
        </w:rPr>
        <w:t>Inter-band DL CA</w:t>
      </w:r>
      <w:r>
        <w:rPr>
          <w:rFonts w:ascii="Times New Roman" w:hAnsi="Times New Roman" w:cs="Times New Roman"/>
        </w:rPr>
        <w:t xml:space="preserve"> to </w:t>
      </w:r>
      <w:r w:rsidRPr="00F64FC7">
        <w:rPr>
          <w:rFonts w:ascii="Times New Roman" w:hAnsi="Times New Roman" w:cs="Times New Roman"/>
        </w:rPr>
        <w:t>report supported beam management type</w:t>
      </w:r>
      <w:r>
        <w:rPr>
          <w:rFonts w:ascii="Times New Roman" w:hAnsi="Times New Roman" w:cs="Times New Roman"/>
        </w:rPr>
        <w:t>, all other feature are optional.</w:t>
      </w:r>
    </w:p>
    <w:p w14:paraId="202D1674" w14:textId="77777777" w:rsidR="00F64FC7" w:rsidRPr="00B334DF" w:rsidRDefault="00F64FC7" w:rsidP="00F64FC7">
      <w:pPr>
        <w:pStyle w:val="ListParagraph"/>
        <w:numPr>
          <w:ilvl w:val="0"/>
          <w:numId w:val="15"/>
        </w:numPr>
        <w:spacing w:before="120" w:after="120"/>
        <w:ind w:firstLineChars="0"/>
        <w:rPr>
          <w:rFonts w:ascii="Times New Roman" w:hAnsi="Times New Roman" w:cs="Times New Roman"/>
        </w:rPr>
      </w:pPr>
      <w:r w:rsidRPr="00B334DF">
        <w:rPr>
          <w:rFonts w:ascii="Times New Roman" w:hAnsi="Times New Roman" w:cs="Times New Roman"/>
        </w:rPr>
        <w:t>Features could be categorized as below</w:t>
      </w:r>
    </w:p>
    <w:p w14:paraId="6FCA4349" w14:textId="22FEB875" w:rsidR="00F64FC7" w:rsidRDefault="00F64FC7" w:rsidP="00F64FC7">
      <w:pPr>
        <w:pStyle w:val="ListParagraph"/>
        <w:numPr>
          <w:ilvl w:val="1"/>
          <w:numId w:val="15"/>
        </w:numPr>
        <w:spacing w:before="120" w:after="120"/>
        <w:ind w:firstLineChars="0"/>
        <w:rPr>
          <w:rFonts w:ascii="Times New Roman" w:hAnsi="Times New Roman" w:cs="Times New Roman"/>
        </w:rPr>
      </w:pPr>
      <w:r>
        <w:rPr>
          <w:rFonts w:ascii="Times New Roman" w:hAnsi="Times New Roman" w:cs="Times New Roman" w:hint="eastAsia"/>
        </w:rPr>
        <w:t>M</w:t>
      </w:r>
      <w:r>
        <w:rPr>
          <w:rFonts w:ascii="Times New Roman" w:hAnsi="Times New Roman" w:cs="Times New Roman"/>
        </w:rPr>
        <w:t>PE, i.e. index 8-1 P-MPR reporting</w:t>
      </w:r>
      <w:r w:rsidR="00344C29">
        <w:rPr>
          <w:rFonts w:ascii="Times New Roman" w:hAnsi="Times New Roman" w:cs="Times New Roman"/>
        </w:rPr>
        <w:t xml:space="preserve"> and </w:t>
      </w:r>
    </w:p>
    <w:p w14:paraId="43776D72" w14:textId="25BB45B0" w:rsidR="00F64FC7" w:rsidRDefault="00F64FC7" w:rsidP="00F64FC7">
      <w:pPr>
        <w:pStyle w:val="ListParagraph"/>
        <w:numPr>
          <w:ilvl w:val="1"/>
          <w:numId w:val="15"/>
        </w:numPr>
        <w:spacing w:before="120" w:after="120"/>
        <w:ind w:firstLineChars="0"/>
        <w:rPr>
          <w:rFonts w:ascii="Times New Roman" w:hAnsi="Times New Roman" w:cs="Times New Roman"/>
        </w:rPr>
      </w:pPr>
      <w:r>
        <w:rPr>
          <w:rFonts w:ascii="Times New Roman" w:hAnsi="Times New Roman" w:cs="Times New Roman"/>
        </w:rPr>
        <w:t xml:space="preserve">Beam correspondence related, i.e. </w:t>
      </w:r>
      <w:r w:rsidRPr="00F64FC7">
        <w:rPr>
          <w:rFonts w:ascii="Times New Roman" w:hAnsi="Times New Roman" w:cs="Times New Roman"/>
        </w:rPr>
        <w:t>SSB based Beam correspondence</w:t>
      </w:r>
      <w:r>
        <w:rPr>
          <w:rFonts w:ascii="Times New Roman" w:hAnsi="Times New Roman" w:cs="Times New Roman"/>
        </w:rPr>
        <w:t xml:space="preserve"> (index 8-2), CSI-RS</w:t>
      </w:r>
      <w:r w:rsidRPr="00F64FC7">
        <w:rPr>
          <w:rFonts w:ascii="Times New Roman" w:hAnsi="Times New Roman" w:cs="Times New Roman"/>
        </w:rPr>
        <w:t xml:space="preserve"> based Beam correspondence</w:t>
      </w:r>
      <w:r>
        <w:rPr>
          <w:rFonts w:ascii="Times New Roman" w:hAnsi="Times New Roman" w:cs="Times New Roman"/>
        </w:rPr>
        <w:t xml:space="preserve"> (index 8-3)</w:t>
      </w:r>
    </w:p>
    <w:p w14:paraId="67BA930E" w14:textId="77777777" w:rsidR="00917267" w:rsidRDefault="00F64FC7" w:rsidP="00F64FC7">
      <w:pPr>
        <w:pStyle w:val="ListParagraph"/>
        <w:numPr>
          <w:ilvl w:val="1"/>
          <w:numId w:val="15"/>
        </w:numPr>
        <w:spacing w:before="120" w:after="120"/>
        <w:ind w:firstLineChars="0"/>
        <w:rPr>
          <w:rFonts w:ascii="Times New Roman" w:hAnsi="Times New Roman" w:cs="Times New Roman"/>
        </w:rPr>
      </w:pPr>
      <w:r w:rsidRPr="00533ED7">
        <w:rPr>
          <w:rFonts w:ascii="Times New Roman" w:hAnsi="Times New Roman" w:cs="Times New Roman"/>
        </w:rPr>
        <w:t xml:space="preserve">Band combination related, </w:t>
      </w:r>
      <w:r w:rsidR="00D441AE">
        <w:rPr>
          <w:rFonts w:ascii="Times New Roman" w:hAnsi="Times New Roman" w:cs="Times New Roman"/>
        </w:rPr>
        <w:t xml:space="preserve">i.e. </w:t>
      </w:r>
      <w:r w:rsidR="00D441AE" w:rsidRPr="00D441AE">
        <w:rPr>
          <w:rFonts w:ascii="Times New Roman" w:hAnsi="Times New Roman" w:cs="Times New Roman"/>
        </w:rPr>
        <w:t>Non-contiguous intra-band DL CA</w:t>
      </w:r>
      <w:r w:rsidR="00D441AE">
        <w:rPr>
          <w:rFonts w:ascii="Times New Roman" w:hAnsi="Times New Roman" w:cs="Times New Roman"/>
        </w:rPr>
        <w:t xml:space="preserve"> (index 8-4) , </w:t>
      </w:r>
      <w:r w:rsidR="00D441AE" w:rsidRPr="00D441AE">
        <w:rPr>
          <w:rFonts w:ascii="Times New Roman" w:hAnsi="Times New Roman" w:cs="Times New Roman"/>
        </w:rPr>
        <w:t>Inter-band DL CA</w:t>
      </w:r>
      <w:r w:rsidR="00D441AE">
        <w:rPr>
          <w:rFonts w:ascii="Times New Roman" w:hAnsi="Times New Roman" w:cs="Times New Roman"/>
        </w:rPr>
        <w:t xml:space="preserve"> (index 8-5)</w:t>
      </w:r>
    </w:p>
    <w:p w14:paraId="2BD0E0DB" w14:textId="2B7868AC" w:rsidR="00917267" w:rsidRPr="00917267" w:rsidRDefault="00917267" w:rsidP="00F64FC7">
      <w:pPr>
        <w:pStyle w:val="ListParagraph"/>
        <w:numPr>
          <w:ilvl w:val="1"/>
          <w:numId w:val="15"/>
        </w:numPr>
        <w:spacing w:before="120" w:after="120"/>
        <w:ind w:firstLineChars="0"/>
        <w:rPr>
          <w:rFonts w:ascii="Times New Roman" w:hAnsi="Times New Roman" w:cs="Times New Roman"/>
        </w:rPr>
      </w:pPr>
      <w:r w:rsidRPr="00917267">
        <w:rPr>
          <w:rFonts w:ascii="Times New Roman" w:hAnsi="Times New Roman" w:cs="Times New Roman"/>
        </w:rPr>
        <w:t>MPR Enhancement</w:t>
      </w:r>
      <w:r>
        <w:rPr>
          <w:rFonts w:ascii="Times New Roman" w:hAnsi="Times New Roman" w:cs="Times New Roman"/>
        </w:rPr>
        <w:t>, i.e. index 8-6</w:t>
      </w:r>
    </w:p>
    <w:p w14:paraId="53944637" w14:textId="33F3D220" w:rsidR="00F64FC7" w:rsidRPr="002E1112" w:rsidRDefault="00F64FC7" w:rsidP="00F64FC7">
      <w:pPr>
        <w:spacing w:before="120" w:after="120"/>
        <w:rPr>
          <w:rFonts w:ascii="Times New Roman" w:hAnsi="Times New Roman" w:cs="Times New Roman"/>
        </w:rPr>
      </w:pPr>
      <w:r w:rsidRPr="002E1112">
        <w:rPr>
          <w:rFonts w:ascii="Times New Roman" w:hAnsi="Times New Roman" w:cs="Times New Roman"/>
        </w:rPr>
        <w:t>Following list</w:t>
      </w:r>
      <w:r>
        <w:rPr>
          <w:rFonts w:ascii="Times New Roman" w:hAnsi="Times New Roman" w:cs="Times New Roman"/>
        </w:rPr>
        <w:t>s</w:t>
      </w:r>
      <w:r w:rsidRPr="002E1112">
        <w:rPr>
          <w:rFonts w:ascii="Times New Roman" w:hAnsi="Times New Roman" w:cs="Times New Roman"/>
        </w:rPr>
        <w:t xml:space="preserve"> the feature </w:t>
      </w:r>
      <w:r>
        <w:rPr>
          <w:rFonts w:ascii="Times New Roman" w:hAnsi="Times New Roman" w:cs="Times New Roman"/>
        </w:rPr>
        <w:t>list for information and last column is the recommendation for NCR-MT feature.</w:t>
      </w:r>
    </w:p>
    <w:p w14:paraId="029B2584" w14:textId="77777777" w:rsidR="009C2C82" w:rsidRPr="009C2C82" w:rsidRDefault="009C2C82" w:rsidP="009C2C82">
      <w:pPr>
        <w:keepNext/>
        <w:keepLines/>
        <w:widowControl/>
        <w:overflowPunct w:val="0"/>
        <w:autoSpaceDE w:val="0"/>
        <w:autoSpaceDN w:val="0"/>
        <w:adjustRightInd w:val="0"/>
        <w:spacing w:before="60" w:after="180"/>
        <w:jc w:val="center"/>
        <w:rPr>
          <w:rFonts w:ascii="Arial" w:eastAsia="Times New Roman" w:hAnsi="Arial" w:cs="Arial"/>
          <w:b/>
          <w:lang w:eastAsia="ja-JP"/>
        </w:rPr>
      </w:pPr>
      <w:r w:rsidRPr="009C2C82">
        <w:rPr>
          <w:rFonts w:ascii="Arial" w:eastAsia="Times New Roman" w:hAnsi="Arial" w:cs="Arial"/>
          <w:b/>
          <w:lang w:eastAsia="ja-JP"/>
        </w:rPr>
        <w:lastRenderedPageBreak/>
        <w:t>Table 5.3.5-1: RF requirement enhancements for NR frequency range 2 (FR2)</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687"/>
        <w:gridCol w:w="1507"/>
        <w:gridCol w:w="4182"/>
        <w:gridCol w:w="2988"/>
        <w:gridCol w:w="1907"/>
        <w:gridCol w:w="1907"/>
      </w:tblGrid>
      <w:tr w:rsidR="00EC5B7E" w:rsidRPr="009C2C82" w14:paraId="1220CD51" w14:textId="5A067C3F" w:rsidTr="00EC5B7E">
        <w:trPr>
          <w:trHeight w:val="615"/>
        </w:trPr>
        <w:tc>
          <w:tcPr>
            <w:tcW w:w="485" w:type="pct"/>
            <w:tcBorders>
              <w:top w:val="single" w:sz="4" w:space="0" w:color="auto"/>
              <w:left w:val="single" w:sz="4" w:space="0" w:color="auto"/>
              <w:bottom w:val="single" w:sz="4" w:space="0" w:color="auto"/>
              <w:right w:val="single" w:sz="4" w:space="0" w:color="auto"/>
            </w:tcBorders>
            <w:hideMark/>
          </w:tcPr>
          <w:p w14:paraId="14FAE144" w14:textId="77777777"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Features</w:t>
            </w:r>
          </w:p>
        </w:tc>
        <w:tc>
          <w:tcPr>
            <w:tcW w:w="235" w:type="pct"/>
            <w:tcBorders>
              <w:top w:val="single" w:sz="4" w:space="0" w:color="auto"/>
              <w:left w:val="single" w:sz="4" w:space="0" w:color="auto"/>
              <w:bottom w:val="single" w:sz="4" w:space="0" w:color="auto"/>
              <w:right w:val="single" w:sz="4" w:space="0" w:color="auto"/>
            </w:tcBorders>
            <w:hideMark/>
          </w:tcPr>
          <w:p w14:paraId="77A0BCE7" w14:textId="77777777"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Index</w:t>
            </w:r>
          </w:p>
        </w:tc>
        <w:tc>
          <w:tcPr>
            <w:tcW w:w="516" w:type="pct"/>
            <w:tcBorders>
              <w:top w:val="single" w:sz="4" w:space="0" w:color="auto"/>
              <w:left w:val="single" w:sz="4" w:space="0" w:color="auto"/>
              <w:bottom w:val="single" w:sz="4" w:space="0" w:color="auto"/>
              <w:right w:val="single" w:sz="4" w:space="0" w:color="auto"/>
            </w:tcBorders>
            <w:hideMark/>
          </w:tcPr>
          <w:p w14:paraId="6C7BDA88" w14:textId="77777777"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Feature group</w:t>
            </w:r>
          </w:p>
        </w:tc>
        <w:tc>
          <w:tcPr>
            <w:tcW w:w="1432" w:type="pct"/>
            <w:tcBorders>
              <w:top w:val="single" w:sz="4" w:space="0" w:color="auto"/>
              <w:left w:val="single" w:sz="4" w:space="0" w:color="auto"/>
              <w:bottom w:val="single" w:sz="4" w:space="0" w:color="auto"/>
              <w:right w:val="single" w:sz="4" w:space="0" w:color="auto"/>
            </w:tcBorders>
            <w:hideMark/>
          </w:tcPr>
          <w:p w14:paraId="667B93E8" w14:textId="77777777"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Components</w:t>
            </w:r>
          </w:p>
        </w:tc>
        <w:tc>
          <w:tcPr>
            <w:tcW w:w="1024" w:type="pct"/>
            <w:tcBorders>
              <w:top w:val="single" w:sz="4" w:space="0" w:color="auto"/>
              <w:left w:val="single" w:sz="4" w:space="0" w:color="auto"/>
              <w:bottom w:val="single" w:sz="4" w:space="0" w:color="auto"/>
              <w:right w:val="single" w:sz="4" w:space="0" w:color="auto"/>
            </w:tcBorders>
            <w:hideMark/>
          </w:tcPr>
          <w:p w14:paraId="38DEDFE6" w14:textId="77777777"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Note</w:t>
            </w:r>
          </w:p>
        </w:tc>
        <w:tc>
          <w:tcPr>
            <w:tcW w:w="653" w:type="pct"/>
            <w:tcBorders>
              <w:top w:val="single" w:sz="4" w:space="0" w:color="auto"/>
              <w:left w:val="single" w:sz="4" w:space="0" w:color="auto"/>
              <w:bottom w:val="single" w:sz="4" w:space="0" w:color="auto"/>
              <w:right w:val="single" w:sz="4" w:space="0" w:color="auto"/>
            </w:tcBorders>
            <w:hideMark/>
          </w:tcPr>
          <w:p w14:paraId="59404841" w14:textId="6F4363B3"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9C2C82">
              <w:rPr>
                <w:rFonts w:ascii="Arial" w:eastAsia="Times New Roman" w:hAnsi="Arial" w:cs="Arial"/>
                <w:b/>
                <w:sz w:val="18"/>
                <w:lang w:eastAsia="ja-JP"/>
              </w:rPr>
              <w:t>Mandatory/Optional</w:t>
            </w:r>
            <w:r>
              <w:rPr>
                <w:rFonts w:ascii="Arial" w:eastAsia="Times New Roman" w:hAnsi="Arial" w:cs="Arial"/>
                <w:b/>
                <w:sz w:val="18"/>
                <w:lang w:eastAsia="ja-JP"/>
              </w:rPr>
              <w:t xml:space="preserve"> for UE</w:t>
            </w:r>
          </w:p>
        </w:tc>
        <w:tc>
          <w:tcPr>
            <w:tcW w:w="653" w:type="pct"/>
            <w:tcBorders>
              <w:top w:val="single" w:sz="4" w:space="0" w:color="auto"/>
              <w:left w:val="single" w:sz="4" w:space="0" w:color="auto"/>
              <w:bottom w:val="single" w:sz="4" w:space="0" w:color="auto"/>
              <w:right w:val="single" w:sz="4" w:space="0" w:color="auto"/>
            </w:tcBorders>
          </w:tcPr>
          <w:p w14:paraId="45D9626A" w14:textId="78B631E0" w:rsidR="00EC5B7E" w:rsidRPr="009C2C82" w:rsidRDefault="00EC5B7E" w:rsidP="009C2C82">
            <w:pPr>
              <w:keepNext/>
              <w:keepLines/>
              <w:widowControl/>
              <w:overflowPunct w:val="0"/>
              <w:autoSpaceDE w:val="0"/>
              <w:autoSpaceDN w:val="0"/>
              <w:adjustRightInd w:val="0"/>
              <w:jc w:val="center"/>
              <w:rPr>
                <w:rFonts w:ascii="Arial" w:eastAsia="Times New Roman" w:hAnsi="Arial" w:cs="Arial"/>
                <w:b/>
                <w:sz w:val="18"/>
                <w:lang w:eastAsia="ja-JP"/>
              </w:rPr>
            </w:pPr>
            <w:r w:rsidRPr="00EC5B7E">
              <w:rPr>
                <w:rFonts w:ascii="Arial" w:eastAsia="Times New Roman" w:hAnsi="Arial" w:cs="Arial"/>
                <w:b/>
                <w:sz w:val="18"/>
                <w:lang w:eastAsia="ja-JP"/>
              </w:rPr>
              <w:t xml:space="preserve">Mandatory/Optional for </w:t>
            </w:r>
            <w:r>
              <w:rPr>
                <w:rFonts w:ascii="Arial" w:eastAsia="Times New Roman" w:hAnsi="Arial" w:cs="Arial"/>
                <w:b/>
                <w:sz w:val="18"/>
                <w:lang w:eastAsia="ja-JP"/>
              </w:rPr>
              <w:t>NCR-MT</w:t>
            </w:r>
          </w:p>
        </w:tc>
      </w:tr>
      <w:tr w:rsidR="00EC5B7E" w:rsidRPr="009C2C82" w14:paraId="635F5EA2" w14:textId="3FA15B11" w:rsidTr="00EC5B7E">
        <w:trPr>
          <w:trHeight w:val="523"/>
        </w:trPr>
        <w:tc>
          <w:tcPr>
            <w:tcW w:w="485" w:type="pct"/>
            <w:vMerge w:val="restart"/>
            <w:tcBorders>
              <w:top w:val="single" w:sz="4" w:space="0" w:color="auto"/>
              <w:left w:val="single" w:sz="4" w:space="0" w:color="auto"/>
              <w:right w:val="single" w:sz="4" w:space="0" w:color="auto"/>
            </w:tcBorders>
            <w:vAlign w:val="center"/>
            <w:hideMark/>
          </w:tcPr>
          <w:p w14:paraId="0F715EE4" w14:textId="77777777" w:rsidR="00EC5B7E" w:rsidRPr="009C2C82" w:rsidRDefault="00EC5B7E" w:rsidP="00EC5B7E">
            <w:pPr>
              <w:keepNext/>
              <w:keepLines/>
              <w:widowControl/>
              <w:overflowPunct w:val="0"/>
              <w:autoSpaceDE w:val="0"/>
              <w:autoSpaceDN w:val="0"/>
              <w:adjustRightInd w:val="0"/>
              <w:jc w:val="center"/>
              <w:rPr>
                <w:rFonts w:ascii="Arial" w:eastAsia="Times New Roman" w:hAnsi="Arial" w:cs="Arial"/>
                <w:sz w:val="18"/>
                <w:szCs w:val="18"/>
                <w:lang w:eastAsia="ja-JP"/>
              </w:rPr>
            </w:pPr>
            <w:r w:rsidRPr="009C2C82">
              <w:rPr>
                <w:rFonts w:ascii="Arial" w:eastAsia="Times New Roman" w:hAnsi="Arial" w:cs="Arial"/>
                <w:sz w:val="18"/>
                <w:szCs w:val="18"/>
                <w:lang w:eastAsia="ja-JP"/>
              </w:rPr>
              <w:t>8. NR RF Requirement Enhancements for FR2</w:t>
            </w:r>
          </w:p>
        </w:tc>
        <w:tc>
          <w:tcPr>
            <w:tcW w:w="235" w:type="pct"/>
            <w:tcBorders>
              <w:top w:val="single" w:sz="4" w:space="0" w:color="auto"/>
              <w:left w:val="single" w:sz="4" w:space="0" w:color="auto"/>
              <w:bottom w:val="single" w:sz="4" w:space="0" w:color="auto"/>
              <w:right w:val="single" w:sz="4" w:space="0" w:color="auto"/>
            </w:tcBorders>
            <w:hideMark/>
          </w:tcPr>
          <w:p w14:paraId="0B5208BA"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MS Mincho" w:hAnsi="Arial" w:cs="Arial"/>
                <w:sz w:val="18"/>
                <w:szCs w:val="18"/>
                <w:lang w:eastAsia="ja-JP"/>
              </w:rPr>
              <w:t>8-1</w:t>
            </w:r>
          </w:p>
        </w:tc>
        <w:tc>
          <w:tcPr>
            <w:tcW w:w="516" w:type="pct"/>
            <w:tcBorders>
              <w:top w:val="single" w:sz="4" w:space="0" w:color="auto"/>
              <w:left w:val="single" w:sz="4" w:space="0" w:color="auto"/>
              <w:bottom w:val="single" w:sz="4" w:space="0" w:color="auto"/>
              <w:right w:val="single" w:sz="4" w:space="0" w:color="auto"/>
            </w:tcBorders>
            <w:hideMark/>
          </w:tcPr>
          <w:p w14:paraId="65258E60"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lang w:eastAsia="ja-JP"/>
              </w:rPr>
              <w:t>MPE</w:t>
            </w:r>
          </w:p>
        </w:tc>
        <w:tc>
          <w:tcPr>
            <w:tcW w:w="1432" w:type="pct"/>
            <w:tcBorders>
              <w:top w:val="single" w:sz="4" w:space="0" w:color="auto"/>
              <w:left w:val="single" w:sz="4" w:space="0" w:color="auto"/>
              <w:bottom w:val="single" w:sz="4" w:space="0" w:color="auto"/>
              <w:right w:val="single" w:sz="4" w:space="0" w:color="auto"/>
            </w:tcBorders>
          </w:tcPr>
          <w:p w14:paraId="6CD3EBAA" w14:textId="77777777" w:rsidR="00EC5B7E" w:rsidRPr="009C2C82" w:rsidRDefault="00EC5B7E" w:rsidP="009C2C82">
            <w:pPr>
              <w:widowControl/>
              <w:overflowPunct w:val="0"/>
              <w:autoSpaceDE w:val="0"/>
              <w:autoSpaceDN w:val="0"/>
              <w:adjustRightInd w:val="0"/>
              <w:snapToGrid w:val="0"/>
              <w:spacing w:afterLines="50" w:after="156"/>
              <w:contextualSpacing/>
              <w:rPr>
                <w:rFonts w:ascii="Arial" w:eastAsia="Times New Roman" w:hAnsi="Arial" w:cs="Arial"/>
                <w:kern w:val="0"/>
                <w:sz w:val="18"/>
                <w:szCs w:val="18"/>
                <w:lang w:val="en-GB" w:eastAsia="ja-JP"/>
              </w:rPr>
            </w:pPr>
            <w:r w:rsidRPr="009C2C82">
              <w:rPr>
                <w:rFonts w:ascii="Arial" w:eastAsia="Times New Roman" w:hAnsi="Arial" w:cs="Arial"/>
                <w:kern w:val="0"/>
                <w:sz w:val="18"/>
                <w:szCs w:val="18"/>
                <w:lang w:val="en-GB" w:eastAsia="ja-JP"/>
              </w:rPr>
              <w:t>1 P-MPR reporting</w:t>
            </w:r>
          </w:p>
          <w:p w14:paraId="1904BD17"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1024" w:type="pct"/>
            <w:tcBorders>
              <w:top w:val="single" w:sz="4" w:space="0" w:color="auto"/>
              <w:left w:val="single" w:sz="4" w:space="0" w:color="auto"/>
              <w:bottom w:val="single" w:sz="4" w:space="0" w:color="auto"/>
              <w:right w:val="single" w:sz="4" w:space="0" w:color="auto"/>
            </w:tcBorders>
          </w:tcPr>
          <w:p w14:paraId="29E78B9C"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653" w:type="pct"/>
            <w:tcBorders>
              <w:top w:val="single" w:sz="4" w:space="0" w:color="auto"/>
              <w:left w:val="single" w:sz="4" w:space="0" w:color="auto"/>
              <w:bottom w:val="single" w:sz="4" w:space="0" w:color="auto"/>
              <w:right w:val="single" w:sz="4" w:space="0" w:color="auto"/>
            </w:tcBorders>
            <w:hideMark/>
          </w:tcPr>
          <w:p w14:paraId="32E3AC8D"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Optional with capability signalling</w:t>
            </w:r>
          </w:p>
        </w:tc>
        <w:tc>
          <w:tcPr>
            <w:tcW w:w="653" w:type="pct"/>
            <w:tcBorders>
              <w:top w:val="single" w:sz="4" w:space="0" w:color="auto"/>
              <w:left w:val="single" w:sz="4" w:space="0" w:color="auto"/>
              <w:bottom w:val="single" w:sz="4" w:space="0" w:color="auto"/>
              <w:right w:val="single" w:sz="4" w:space="0" w:color="auto"/>
            </w:tcBorders>
          </w:tcPr>
          <w:p w14:paraId="2C2F7DDC" w14:textId="77777777" w:rsidR="00EC5B7E" w:rsidRPr="009C2C82" w:rsidRDefault="00EC5B7E" w:rsidP="009C2C82">
            <w:pPr>
              <w:keepNext/>
              <w:keepLines/>
              <w:widowControl/>
              <w:overflowPunct w:val="0"/>
              <w:autoSpaceDE w:val="0"/>
              <w:autoSpaceDN w:val="0"/>
              <w:adjustRightInd w:val="0"/>
              <w:jc w:val="left"/>
              <w:rPr>
                <w:rFonts w:ascii="Arial" w:eastAsia="宋体" w:hAnsi="Arial" w:cs="Arial"/>
                <w:sz w:val="18"/>
                <w:szCs w:val="18"/>
              </w:rPr>
            </w:pPr>
          </w:p>
        </w:tc>
      </w:tr>
      <w:tr w:rsidR="00EC5B7E" w:rsidRPr="009C2C82" w14:paraId="6E9B2107" w14:textId="34FC1CDE" w:rsidTr="00EC5B7E">
        <w:trPr>
          <w:trHeight w:val="523"/>
        </w:trPr>
        <w:tc>
          <w:tcPr>
            <w:tcW w:w="485" w:type="pct"/>
            <w:vMerge/>
            <w:tcBorders>
              <w:left w:val="single" w:sz="4" w:space="0" w:color="auto"/>
              <w:right w:val="single" w:sz="4" w:space="0" w:color="auto"/>
            </w:tcBorders>
            <w:vAlign w:val="center"/>
            <w:hideMark/>
          </w:tcPr>
          <w:p w14:paraId="5CBE5CA5" w14:textId="77777777" w:rsidR="00EC5B7E" w:rsidRPr="009C2C82" w:rsidRDefault="00EC5B7E" w:rsidP="009C2C82">
            <w:pPr>
              <w:widowControl/>
              <w:jc w:val="left"/>
              <w:rPr>
                <w:rFonts w:ascii="Arial" w:eastAsia="Times New Roman" w:hAnsi="Arial" w:cs="Arial"/>
                <w:kern w:val="0"/>
                <w:sz w:val="18"/>
                <w:szCs w:val="18"/>
                <w:lang w:val="en-GB" w:eastAsia="ja-JP"/>
              </w:rPr>
            </w:pPr>
          </w:p>
        </w:tc>
        <w:tc>
          <w:tcPr>
            <w:tcW w:w="235" w:type="pct"/>
            <w:tcBorders>
              <w:top w:val="single" w:sz="4" w:space="0" w:color="auto"/>
              <w:left w:val="single" w:sz="4" w:space="0" w:color="auto"/>
              <w:bottom w:val="single" w:sz="4" w:space="0" w:color="auto"/>
              <w:right w:val="single" w:sz="4" w:space="0" w:color="auto"/>
            </w:tcBorders>
            <w:hideMark/>
          </w:tcPr>
          <w:p w14:paraId="0DF50015"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MS Mincho" w:hAnsi="Arial" w:cs="Arial"/>
                <w:sz w:val="18"/>
                <w:szCs w:val="18"/>
                <w:lang w:eastAsia="ja-JP"/>
              </w:rPr>
              <w:t>8-</w:t>
            </w:r>
            <w:r w:rsidRPr="009C2C82">
              <w:rPr>
                <w:rFonts w:ascii="Arial" w:eastAsia="Times New Roman" w:hAnsi="Arial" w:cs="Arial"/>
                <w:sz w:val="18"/>
                <w:szCs w:val="18"/>
              </w:rPr>
              <w:t>2</w:t>
            </w:r>
          </w:p>
        </w:tc>
        <w:tc>
          <w:tcPr>
            <w:tcW w:w="516" w:type="pct"/>
            <w:tcBorders>
              <w:top w:val="single" w:sz="4" w:space="0" w:color="auto"/>
              <w:left w:val="single" w:sz="4" w:space="0" w:color="auto"/>
              <w:bottom w:val="single" w:sz="4" w:space="0" w:color="auto"/>
              <w:right w:val="single" w:sz="4" w:space="0" w:color="auto"/>
            </w:tcBorders>
            <w:hideMark/>
          </w:tcPr>
          <w:p w14:paraId="0B10ECD0"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rPr>
              <w:t xml:space="preserve">SSB based </w:t>
            </w:r>
            <w:r w:rsidRPr="009C2C82">
              <w:rPr>
                <w:rFonts w:ascii="Arial" w:eastAsia="MS Mincho" w:hAnsi="Arial" w:cs="Arial"/>
                <w:sz w:val="18"/>
                <w:szCs w:val="18"/>
                <w:lang w:eastAsia="ja-JP"/>
              </w:rPr>
              <w:t>Beam correspondence</w:t>
            </w:r>
          </w:p>
        </w:tc>
        <w:tc>
          <w:tcPr>
            <w:tcW w:w="1432" w:type="pct"/>
            <w:tcBorders>
              <w:top w:val="single" w:sz="4" w:space="0" w:color="auto"/>
              <w:left w:val="single" w:sz="4" w:space="0" w:color="auto"/>
              <w:bottom w:val="single" w:sz="4" w:space="0" w:color="auto"/>
              <w:right w:val="single" w:sz="4" w:space="0" w:color="auto"/>
            </w:tcBorders>
          </w:tcPr>
          <w:p w14:paraId="2359B078"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Times New Roman"/>
                <w:sz w:val="18"/>
                <w:szCs w:val="20"/>
                <w:lang w:eastAsia="ja-JP"/>
              </w:rPr>
            </w:pPr>
            <w:r w:rsidRPr="009C2C82">
              <w:rPr>
                <w:rFonts w:ascii="Arial" w:eastAsia="Times New Roman" w:hAnsi="Arial" w:cs="Arial"/>
                <w:sz w:val="18"/>
                <w:lang w:eastAsia="ja-JP"/>
              </w:rPr>
              <w:t>Support for beam correspondence based on SSB</w:t>
            </w:r>
          </w:p>
          <w:p w14:paraId="42D3BB51"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lang w:eastAsia="ja-JP"/>
              </w:rPr>
            </w:pPr>
            <w:r w:rsidRPr="009C2C82">
              <w:rPr>
                <w:rFonts w:ascii="Arial" w:eastAsia="Times New Roman" w:hAnsi="Arial" w:cs="Arial"/>
                <w:sz w:val="18"/>
                <w:lang w:eastAsia="ja-JP"/>
              </w:rPr>
              <w:t>A UE indicating support for beam correspondence based on SSB has the ability to select its uplink beam based on measurements of SSB.</w:t>
            </w:r>
          </w:p>
          <w:p w14:paraId="4FC5F674" w14:textId="77777777" w:rsidR="00EC5B7E" w:rsidRPr="009C2C82" w:rsidRDefault="00EC5B7E" w:rsidP="009C2C82">
            <w:pPr>
              <w:keepNext/>
              <w:keepLines/>
              <w:widowControl/>
              <w:overflowPunct w:val="0"/>
              <w:autoSpaceDE w:val="0"/>
              <w:autoSpaceDN w:val="0"/>
              <w:adjustRightInd w:val="0"/>
              <w:jc w:val="left"/>
              <w:rPr>
                <w:rFonts w:ascii="Arial" w:eastAsia="Yu Mincho" w:hAnsi="Arial" w:cs="Arial"/>
                <w:sz w:val="18"/>
              </w:rPr>
            </w:pPr>
          </w:p>
          <w:p w14:paraId="788CACC9" w14:textId="77777777" w:rsidR="00EC5B7E" w:rsidRPr="009C2C82" w:rsidRDefault="00EC5B7E" w:rsidP="009C2C82">
            <w:pPr>
              <w:keepNext/>
              <w:keepLines/>
              <w:widowControl/>
              <w:overflowPunct w:val="0"/>
              <w:autoSpaceDE w:val="0"/>
              <w:autoSpaceDN w:val="0"/>
              <w:adjustRightInd w:val="0"/>
              <w:jc w:val="left"/>
              <w:rPr>
                <w:rFonts w:ascii="Arial" w:eastAsia="Yu Mincho" w:hAnsi="Arial" w:cs="Arial"/>
                <w:i/>
                <w:sz w:val="18"/>
              </w:rPr>
            </w:pPr>
            <w:r w:rsidRPr="009C2C82">
              <w:rPr>
                <w:rFonts w:ascii="Arial" w:eastAsia="Yu Mincho" w:hAnsi="Arial" w:cs="Arial"/>
                <w:sz w:val="18"/>
              </w:rPr>
              <w:t xml:space="preserve">Supported by UEs with capability </w:t>
            </w:r>
            <w:r w:rsidRPr="009C2C82">
              <w:rPr>
                <w:rFonts w:ascii="Arial" w:eastAsia="Yu Mincho" w:hAnsi="Arial" w:cs="Arial"/>
                <w:i/>
                <w:sz w:val="18"/>
              </w:rPr>
              <w:t>beamCorrespondenceWithoutUL-BeamSweeping = {0,1}</w:t>
            </w:r>
          </w:p>
          <w:p w14:paraId="47CD8365" w14:textId="77777777" w:rsidR="00EC5B7E" w:rsidRPr="009C2C82" w:rsidRDefault="00EC5B7E" w:rsidP="009C2C82">
            <w:pPr>
              <w:keepNext/>
              <w:keepLines/>
              <w:widowControl/>
              <w:overflowPunct w:val="0"/>
              <w:autoSpaceDE w:val="0"/>
              <w:autoSpaceDN w:val="0"/>
              <w:adjustRightInd w:val="0"/>
              <w:jc w:val="left"/>
              <w:rPr>
                <w:rFonts w:ascii="Arial" w:eastAsia="Yu Mincho" w:hAnsi="Arial" w:cs="Arial"/>
                <w:sz w:val="18"/>
              </w:rPr>
            </w:pPr>
          </w:p>
          <w:p w14:paraId="32369495"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lang w:eastAsia="ja-JP"/>
              </w:rPr>
            </w:pPr>
            <w:r w:rsidRPr="009C2C82">
              <w:rPr>
                <w:rFonts w:ascii="Arial" w:eastAsia="Times New Roman" w:hAnsi="Arial" w:cs="Arial"/>
                <w:sz w:val="18"/>
              </w:rPr>
              <w:t>If a UE supports beam correspondence based on SSB, then the network can expect the UE to also fulfill Rel-15 beam correspondence requirements.</w:t>
            </w:r>
          </w:p>
        </w:tc>
        <w:tc>
          <w:tcPr>
            <w:tcW w:w="1024" w:type="pct"/>
            <w:tcBorders>
              <w:top w:val="single" w:sz="4" w:space="0" w:color="auto"/>
              <w:left w:val="single" w:sz="4" w:space="0" w:color="auto"/>
              <w:bottom w:val="single" w:sz="4" w:space="0" w:color="auto"/>
              <w:right w:val="single" w:sz="4" w:space="0" w:color="auto"/>
            </w:tcBorders>
          </w:tcPr>
          <w:p w14:paraId="2F1CC2E5"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653" w:type="pct"/>
            <w:tcBorders>
              <w:top w:val="single" w:sz="4" w:space="0" w:color="auto"/>
              <w:left w:val="single" w:sz="4" w:space="0" w:color="auto"/>
              <w:bottom w:val="single" w:sz="4" w:space="0" w:color="auto"/>
              <w:right w:val="single" w:sz="4" w:space="0" w:color="auto"/>
            </w:tcBorders>
            <w:hideMark/>
          </w:tcPr>
          <w:p w14:paraId="7D6D8BDA"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Optional with capability signalling</w:t>
            </w:r>
          </w:p>
        </w:tc>
        <w:tc>
          <w:tcPr>
            <w:tcW w:w="653" w:type="pct"/>
            <w:tcBorders>
              <w:top w:val="single" w:sz="4" w:space="0" w:color="auto"/>
              <w:left w:val="single" w:sz="4" w:space="0" w:color="auto"/>
              <w:bottom w:val="single" w:sz="4" w:space="0" w:color="auto"/>
              <w:right w:val="single" w:sz="4" w:space="0" w:color="auto"/>
            </w:tcBorders>
          </w:tcPr>
          <w:p w14:paraId="46EC301D" w14:textId="77777777" w:rsidR="00EC5B7E" w:rsidRPr="009C2C82" w:rsidRDefault="00EC5B7E" w:rsidP="009C2C82">
            <w:pPr>
              <w:keepNext/>
              <w:keepLines/>
              <w:widowControl/>
              <w:overflowPunct w:val="0"/>
              <w:autoSpaceDE w:val="0"/>
              <w:autoSpaceDN w:val="0"/>
              <w:adjustRightInd w:val="0"/>
              <w:jc w:val="left"/>
              <w:rPr>
                <w:rFonts w:ascii="Arial" w:eastAsia="宋体" w:hAnsi="Arial" w:cs="Arial"/>
                <w:sz w:val="18"/>
                <w:szCs w:val="18"/>
              </w:rPr>
            </w:pPr>
          </w:p>
        </w:tc>
      </w:tr>
      <w:tr w:rsidR="00EC5B7E" w:rsidRPr="009C2C82" w14:paraId="70A99BD0" w14:textId="6DFE9C9A" w:rsidTr="00EC5B7E">
        <w:trPr>
          <w:trHeight w:val="523"/>
        </w:trPr>
        <w:tc>
          <w:tcPr>
            <w:tcW w:w="485" w:type="pct"/>
            <w:vMerge/>
            <w:tcBorders>
              <w:left w:val="single" w:sz="4" w:space="0" w:color="auto"/>
              <w:right w:val="single" w:sz="4" w:space="0" w:color="auto"/>
            </w:tcBorders>
            <w:vAlign w:val="center"/>
            <w:hideMark/>
          </w:tcPr>
          <w:p w14:paraId="504F0D0B" w14:textId="77777777" w:rsidR="00EC5B7E" w:rsidRPr="009C2C82" w:rsidRDefault="00EC5B7E" w:rsidP="009C2C82">
            <w:pPr>
              <w:widowControl/>
              <w:jc w:val="left"/>
              <w:rPr>
                <w:rFonts w:ascii="Arial" w:eastAsia="Times New Roman" w:hAnsi="Arial" w:cs="Arial"/>
                <w:kern w:val="0"/>
                <w:sz w:val="18"/>
                <w:szCs w:val="18"/>
                <w:lang w:val="en-GB" w:eastAsia="ja-JP"/>
              </w:rPr>
            </w:pPr>
          </w:p>
        </w:tc>
        <w:tc>
          <w:tcPr>
            <w:tcW w:w="235" w:type="pct"/>
            <w:tcBorders>
              <w:top w:val="single" w:sz="4" w:space="0" w:color="auto"/>
              <w:left w:val="single" w:sz="4" w:space="0" w:color="auto"/>
              <w:bottom w:val="single" w:sz="4" w:space="0" w:color="auto"/>
              <w:right w:val="single" w:sz="4" w:space="0" w:color="auto"/>
            </w:tcBorders>
            <w:hideMark/>
          </w:tcPr>
          <w:p w14:paraId="03B43072"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MS Mincho" w:hAnsi="Arial" w:cs="Arial"/>
                <w:sz w:val="18"/>
                <w:szCs w:val="18"/>
                <w:lang w:eastAsia="ja-JP"/>
              </w:rPr>
              <w:t>8-</w:t>
            </w:r>
            <w:r w:rsidRPr="009C2C82">
              <w:rPr>
                <w:rFonts w:ascii="Arial" w:eastAsia="Times New Roman" w:hAnsi="Arial" w:cs="Arial"/>
                <w:sz w:val="18"/>
                <w:szCs w:val="18"/>
              </w:rPr>
              <w:t>3</w:t>
            </w:r>
          </w:p>
        </w:tc>
        <w:tc>
          <w:tcPr>
            <w:tcW w:w="516" w:type="pct"/>
            <w:tcBorders>
              <w:top w:val="single" w:sz="4" w:space="0" w:color="auto"/>
              <w:left w:val="single" w:sz="4" w:space="0" w:color="auto"/>
              <w:bottom w:val="single" w:sz="4" w:space="0" w:color="auto"/>
              <w:right w:val="single" w:sz="4" w:space="0" w:color="auto"/>
            </w:tcBorders>
            <w:hideMark/>
          </w:tcPr>
          <w:p w14:paraId="32B349E6"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Times New Roman" w:hAnsi="Arial" w:cs="Arial"/>
                <w:sz w:val="18"/>
                <w:szCs w:val="18"/>
              </w:rPr>
              <w:t xml:space="preserve">CSI-RS based </w:t>
            </w:r>
            <w:r w:rsidRPr="009C2C82">
              <w:rPr>
                <w:rFonts w:ascii="Arial" w:eastAsia="MS Mincho" w:hAnsi="Arial" w:cs="Arial"/>
                <w:sz w:val="18"/>
                <w:szCs w:val="18"/>
                <w:lang w:eastAsia="ja-JP"/>
              </w:rPr>
              <w:t>Beam correspondence</w:t>
            </w:r>
          </w:p>
        </w:tc>
        <w:tc>
          <w:tcPr>
            <w:tcW w:w="1432" w:type="pct"/>
            <w:tcBorders>
              <w:top w:val="single" w:sz="4" w:space="0" w:color="auto"/>
              <w:left w:val="single" w:sz="4" w:space="0" w:color="auto"/>
              <w:bottom w:val="single" w:sz="4" w:space="0" w:color="auto"/>
              <w:right w:val="single" w:sz="4" w:space="0" w:color="auto"/>
            </w:tcBorders>
          </w:tcPr>
          <w:p w14:paraId="2326D725"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Times New Roman"/>
                <w:sz w:val="18"/>
                <w:szCs w:val="20"/>
                <w:lang w:eastAsia="ja-JP"/>
              </w:rPr>
            </w:pPr>
            <w:r w:rsidRPr="009C2C82">
              <w:rPr>
                <w:rFonts w:ascii="Arial" w:eastAsia="Times New Roman" w:hAnsi="Arial" w:cs="Arial"/>
                <w:sz w:val="18"/>
                <w:lang w:eastAsia="ja-JP"/>
              </w:rPr>
              <w:t>Support for beam correspondence based on CSI-RS</w:t>
            </w:r>
          </w:p>
          <w:p w14:paraId="24187112"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lang w:eastAsia="ja-JP"/>
              </w:rPr>
            </w:pPr>
            <w:r w:rsidRPr="009C2C82">
              <w:rPr>
                <w:rFonts w:ascii="Arial" w:eastAsia="Times New Roman" w:hAnsi="Arial" w:cs="Arial"/>
                <w:sz w:val="18"/>
                <w:lang w:eastAsia="ja-JP"/>
              </w:rPr>
              <w:t>A UE indicating support for beam correspondence based on CSI-RS has the ability to select its uplink beam based on measurements of CSI-RS in scenarios when the SSB PSD is X dB below CSI-RS PSD.</w:t>
            </w:r>
          </w:p>
          <w:p w14:paraId="58B69614" w14:textId="77777777" w:rsidR="00EC5B7E" w:rsidRPr="009C2C82" w:rsidRDefault="00EC5B7E" w:rsidP="009C2C82">
            <w:pPr>
              <w:keepNext/>
              <w:keepLines/>
              <w:widowControl/>
              <w:overflowPunct w:val="0"/>
              <w:autoSpaceDE w:val="0"/>
              <w:autoSpaceDN w:val="0"/>
              <w:adjustRightInd w:val="0"/>
              <w:jc w:val="left"/>
              <w:rPr>
                <w:rFonts w:ascii="Arial" w:eastAsia="Yu Mincho" w:hAnsi="Arial" w:cs="Arial"/>
                <w:sz w:val="18"/>
              </w:rPr>
            </w:pPr>
          </w:p>
          <w:p w14:paraId="6FA87599" w14:textId="77777777" w:rsidR="00EC5B7E" w:rsidRPr="009C2C82" w:rsidRDefault="00EC5B7E" w:rsidP="009C2C82">
            <w:pPr>
              <w:keepNext/>
              <w:keepLines/>
              <w:widowControl/>
              <w:overflowPunct w:val="0"/>
              <w:autoSpaceDE w:val="0"/>
              <w:autoSpaceDN w:val="0"/>
              <w:adjustRightInd w:val="0"/>
              <w:jc w:val="left"/>
              <w:rPr>
                <w:rFonts w:ascii="Arial" w:eastAsia="Yu Mincho" w:hAnsi="Arial" w:cs="Arial"/>
                <w:sz w:val="18"/>
              </w:rPr>
            </w:pPr>
            <w:r w:rsidRPr="009C2C82">
              <w:rPr>
                <w:rFonts w:ascii="Arial" w:eastAsia="Yu Mincho" w:hAnsi="Arial" w:cs="Arial"/>
                <w:sz w:val="18"/>
              </w:rPr>
              <w:t>Supported by UEs with capability beamCorrespondenceWithoutUL-BeamSweeping = {0,1}</w:t>
            </w:r>
          </w:p>
          <w:p w14:paraId="2CB463D9" w14:textId="77777777" w:rsidR="00EC5B7E" w:rsidRPr="009C2C82" w:rsidRDefault="00EC5B7E" w:rsidP="009C2C82">
            <w:pPr>
              <w:keepNext/>
              <w:keepLines/>
              <w:widowControl/>
              <w:overflowPunct w:val="0"/>
              <w:autoSpaceDE w:val="0"/>
              <w:autoSpaceDN w:val="0"/>
              <w:adjustRightInd w:val="0"/>
              <w:jc w:val="left"/>
              <w:rPr>
                <w:rFonts w:ascii="Arial" w:eastAsia="Yu Mincho" w:hAnsi="Arial" w:cs="Arial"/>
                <w:sz w:val="18"/>
              </w:rPr>
            </w:pPr>
          </w:p>
          <w:p w14:paraId="1F6739A6"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lang w:eastAsia="ja-JP"/>
              </w:rPr>
            </w:pPr>
            <w:r w:rsidRPr="009C2C82">
              <w:rPr>
                <w:rFonts w:ascii="Arial" w:eastAsia="Times New Roman" w:hAnsi="Arial" w:cs="Arial"/>
                <w:sz w:val="18"/>
              </w:rPr>
              <w:t>If a UE supports beam correspondence based on CSI-RS, then the network can expect the UE to also fulfill Rel-15 beam correspondence requirements.</w:t>
            </w:r>
          </w:p>
        </w:tc>
        <w:tc>
          <w:tcPr>
            <w:tcW w:w="1024" w:type="pct"/>
            <w:tcBorders>
              <w:top w:val="single" w:sz="4" w:space="0" w:color="auto"/>
              <w:left w:val="single" w:sz="4" w:space="0" w:color="auto"/>
              <w:bottom w:val="single" w:sz="4" w:space="0" w:color="auto"/>
              <w:right w:val="single" w:sz="4" w:space="0" w:color="auto"/>
            </w:tcBorders>
          </w:tcPr>
          <w:p w14:paraId="511E400E"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653" w:type="pct"/>
            <w:tcBorders>
              <w:top w:val="single" w:sz="4" w:space="0" w:color="auto"/>
              <w:left w:val="single" w:sz="4" w:space="0" w:color="auto"/>
              <w:bottom w:val="single" w:sz="4" w:space="0" w:color="auto"/>
              <w:right w:val="single" w:sz="4" w:space="0" w:color="auto"/>
            </w:tcBorders>
            <w:hideMark/>
          </w:tcPr>
          <w:p w14:paraId="108C47C2"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9C2C82">
              <w:rPr>
                <w:rFonts w:ascii="Arial" w:eastAsia="宋体" w:hAnsi="Arial" w:cs="Arial"/>
                <w:sz w:val="18"/>
                <w:szCs w:val="18"/>
              </w:rPr>
              <w:t>Optional with capability signalling</w:t>
            </w:r>
          </w:p>
        </w:tc>
        <w:tc>
          <w:tcPr>
            <w:tcW w:w="653" w:type="pct"/>
            <w:tcBorders>
              <w:top w:val="single" w:sz="4" w:space="0" w:color="auto"/>
              <w:left w:val="single" w:sz="4" w:space="0" w:color="auto"/>
              <w:bottom w:val="single" w:sz="4" w:space="0" w:color="auto"/>
              <w:right w:val="single" w:sz="4" w:space="0" w:color="auto"/>
            </w:tcBorders>
          </w:tcPr>
          <w:p w14:paraId="5BCAB881" w14:textId="77777777" w:rsidR="00EC5B7E" w:rsidRPr="009C2C82" w:rsidRDefault="00EC5B7E" w:rsidP="009C2C82">
            <w:pPr>
              <w:keepNext/>
              <w:keepLines/>
              <w:widowControl/>
              <w:overflowPunct w:val="0"/>
              <w:autoSpaceDE w:val="0"/>
              <w:autoSpaceDN w:val="0"/>
              <w:adjustRightInd w:val="0"/>
              <w:jc w:val="left"/>
              <w:rPr>
                <w:rFonts w:ascii="Arial" w:eastAsia="宋体" w:hAnsi="Arial" w:cs="Arial"/>
                <w:sz w:val="18"/>
                <w:szCs w:val="18"/>
              </w:rPr>
            </w:pPr>
          </w:p>
        </w:tc>
      </w:tr>
      <w:tr w:rsidR="00EC5B7E" w:rsidRPr="009C2C82" w14:paraId="08912068" w14:textId="0B1510BF" w:rsidTr="00EC5B7E">
        <w:trPr>
          <w:trHeight w:val="523"/>
        </w:trPr>
        <w:tc>
          <w:tcPr>
            <w:tcW w:w="485" w:type="pct"/>
            <w:vMerge/>
            <w:tcBorders>
              <w:left w:val="single" w:sz="4" w:space="0" w:color="auto"/>
              <w:right w:val="single" w:sz="4" w:space="0" w:color="auto"/>
            </w:tcBorders>
            <w:vAlign w:val="center"/>
            <w:hideMark/>
          </w:tcPr>
          <w:p w14:paraId="35CB7F90" w14:textId="77777777" w:rsidR="00EC5B7E" w:rsidRPr="009C2C82" w:rsidRDefault="00EC5B7E" w:rsidP="009C2C82">
            <w:pPr>
              <w:widowControl/>
              <w:jc w:val="left"/>
              <w:rPr>
                <w:rFonts w:ascii="Arial" w:eastAsia="Times New Roman" w:hAnsi="Arial" w:cs="Arial"/>
                <w:kern w:val="0"/>
                <w:sz w:val="18"/>
                <w:szCs w:val="18"/>
                <w:lang w:val="en-GB" w:eastAsia="ja-JP"/>
              </w:rPr>
            </w:pPr>
          </w:p>
        </w:tc>
        <w:tc>
          <w:tcPr>
            <w:tcW w:w="235" w:type="pct"/>
            <w:tcBorders>
              <w:top w:val="single" w:sz="4" w:space="0" w:color="auto"/>
              <w:left w:val="single" w:sz="4" w:space="0" w:color="auto"/>
              <w:bottom w:val="single" w:sz="4" w:space="0" w:color="auto"/>
              <w:right w:val="single" w:sz="4" w:space="0" w:color="auto"/>
            </w:tcBorders>
            <w:hideMark/>
          </w:tcPr>
          <w:p w14:paraId="5AE97AAC"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MS Mincho" w:hAnsi="Arial" w:cs="Arial"/>
                <w:sz w:val="18"/>
                <w:szCs w:val="18"/>
                <w:lang w:eastAsia="ja-JP"/>
              </w:rPr>
              <w:t>8-</w:t>
            </w:r>
            <w:r w:rsidRPr="00C64A12">
              <w:rPr>
                <w:rFonts w:ascii="Arial" w:eastAsia="Times New Roman" w:hAnsi="Arial" w:cs="Arial"/>
                <w:sz w:val="18"/>
                <w:szCs w:val="18"/>
              </w:rPr>
              <w:t>4</w:t>
            </w:r>
          </w:p>
        </w:tc>
        <w:tc>
          <w:tcPr>
            <w:tcW w:w="516" w:type="pct"/>
            <w:tcBorders>
              <w:top w:val="single" w:sz="4" w:space="0" w:color="auto"/>
              <w:left w:val="single" w:sz="4" w:space="0" w:color="auto"/>
              <w:bottom w:val="single" w:sz="4" w:space="0" w:color="auto"/>
              <w:right w:val="single" w:sz="4" w:space="0" w:color="auto"/>
            </w:tcBorders>
            <w:hideMark/>
          </w:tcPr>
          <w:p w14:paraId="4A13FDA3"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宋体" w:hAnsi="Arial" w:cs="Arial"/>
                <w:sz w:val="18"/>
                <w:szCs w:val="18"/>
              </w:rPr>
              <w:t>Non-contiguous intra-</w:t>
            </w:r>
            <w:r w:rsidRPr="00C64A12">
              <w:rPr>
                <w:rFonts w:ascii="Arial" w:eastAsia="Times New Roman" w:hAnsi="Arial" w:cs="Arial"/>
                <w:sz w:val="18"/>
                <w:szCs w:val="18"/>
              </w:rPr>
              <w:t xml:space="preserve">band </w:t>
            </w:r>
            <w:r w:rsidRPr="00C64A12">
              <w:rPr>
                <w:rFonts w:ascii="Arial" w:eastAsia="宋体" w:hAnsi="Arial" w:cs="Arial"/>
                <w:sz w:val="18"/>
                <w:szCs w:val="18"/>
              </w:rPr>
              <w:t>DL CA</w:t>
            </w:r>
          </w:p>
        </w:tc>
        <w:tc>
          <w:tcPr>
            <w:tcW w:w="1432" w:type="pct"/>
            <w:tcBorders>
              <w:top w:val="single" w:sz="4" w:space="0" w:color="auto"/>
              <w:left w:val="single" w:sz="4" w:space="0" w:color="auto"/>
              <w:bottom w:val="single" w:sz="4" w:space="0" w:color="auto"/>
              <w:right w:val="single" w:sz="4" w:space="0" w:color="auto"/>
            </w:tcBorders>
            <w:hideMark/>
          </w:tcPr>
          <w:p w14:paraId="7BF6384B" w14:textId="77777777" w:rsidR="00EC5B7E" w:rsidRPr="00C64A12" w:rsidRDefault="00EC5B7E" w:rsidP="009C2C82">
            <w:pPr>
              <w:keepNext/>
              <w:keepLines/>
              <w:widowControl/>
              <w:overflowPunct w:val="0"/>
              <w:autoSpaceDE w:val="0"/>
              <w:autoSpaceDN w:val="0"/>
              <w:adjustRightInd w:val="0"/>
              <w:jc w:val="left"/>
              <w:rPr>
                <w:rFonts w:ascii="Arial" w:eastAsia="宋体" w:hAnsi="Arial" w:cs="Times New Roman"/>
                <w:sz w:val="18"/>
                <w:szCs w:val="20"/>
              </w:rPr>
            </w:pPr>
            <w:r w:rsidRPr="00C64A12">
              <w:rPr>
                <w:rFonts w:ascii="Arial" w:eastAsia="宋体" w:hAnsi="Arial" w:cs="Arial"/>
                <w:sz w:val="18"/>
              </w:rPr>
              <w:t>Support for frequency separation class for DL-only spectrum (Fsd):</w:t>
            </w:r>
          </w:p>
          <w:p w14:paraId="2FDA8C89"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rPr>
            </w:pPr>
            <w:r w:rsidRPr="00C64A12">
              <w:rPr>
                <w:rFonts w:ascii="Arial" w:eastAsia="宋体" w:hAnsi="Arial" w:cs="Arial"/>
                <w:sz w:val="18"/>
              </w:rPr>
              <w:t>DL-only spectrum is available for configuration of only DL CCs and not UL CCs.</w:t>
            </w:r>
          </w:p>
          <w:p w14:paraId="6E4E1DD6"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rPr>
            </w:pPr>
            <w:r w:rsidRPr="00C64A12">
              <w:rPr>
                <w:rFonts w:ascii="Arial" w:eastAsia="宋体" w:hAnsi="Arial" w:cs="Arial"/>
                <w:sz w:val="18"/>
              </w:rPr>
              <w:t>The spectrum covered by the DL-only frequency separation extends on one-side of the bidirectional spectrum in a contiguous manner with no frequency gap between the two.</w:t>
            </w:r>
          </w:p>
          <w:p w14:paraId="45DB922E"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rPr>
            </w:pPr>
            <w:r w:rsidRPr="00C64A12">
              <w:rPr>
                <w:rFonts w:ascii="Arial" w:eastAsia="宋体" w:hAnsi="Arial" w:cs="Arial"/>
                <w:sz w:val="18"/>
              </w:rPr>
              <w:t>The bidirectional spectrum is defined as the UL/DL common spectrum in which the UE supports the configuration of uplink or downlink CCs and is signalled by UL and DL frequency separation from Rel-15.</w:t>
            </w:r>
          </w:p>
          <w:p w14:paraId="1383B6DF"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rPr>
            </w:pPr>
            <w:r w:rsidRPr="00C64A12">
              <w:rPr>
                <w:rFonts w:ascii="Arial" w:eastAsia="宋体" w:hAnsi="Arial" w:cs="Arial"/>
                <w:sz w:val="18"/>
              </w:rPr>
              <w:t>The combined downlink spectrum (DL Fs + Fsd) cannot exceed 2400 MHz.</w:t>
            </w:r>
          </w:p>
          <w:p w14:paraId="3F0B396A" w14:textId="77777777" w:rsidR="00EC5B7E" w:rsidRPr="00C64A12" w:rsidRDefault="00EC5B7E" w:rsidP="009C2C82">
            <w:pPr>
              <w:keepNext/>
              <w:keepLines/>
              <w:widowControl/>
              <w:overflowPunct w:val="0"/>
              <w:autoSpaceDE w:val="0"/>
              <w:autoSpaceDN w:val="0"/>
              <w:adjustRightInd w:val="0"/>
              <w:jc w:val="left"/>
              <w:rPr>
                <w:rFonts w:ascii="Arial" w:eastAsia="Yu Mincho" w:hAnsi="Arial" w:cs="Arial"/>
                <w:sz w:val="18"/>
              </w:rPr>
            </w:pPr>
            <w:r w:rsidRPr="00C64A12">
              <w:rPr>
                <w:rFonts w:ascii="Arial" w:eastAsia="宋体" w:hAnsi="Arial" w:cs="Arial"/>
                <w:sz w:val="18"/>
              </w:rPr>
              <w:t>The component value range is defined in TS38.101-2</w:t>
            </w:r>
          </w:p>
        </w:tc>
        <w:tc>
          <w:tcPr>
            <w:tcW w:w="1024" w:type="pct"/>
            <w:tcBorders>
              <w:top w:val="single" w:sz="4" w:space="0" w:color="auto"/>
              <w:left w:val="single" w:sz="4" w:space="0" w:color="auto"/>
              <w:bottom w:val="single" w:sz="4" w:space="0" w:color="auto"/>
              <w:right w:val="single" w:sz="4" w:space="0" w:color="auto"/>
            </w:tcBorders>
          </w:tcPr>
          <w:p w14:paraId="1E01D327"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653" w:type="pct"/>
            <w:tcBorders>
              <w:top w:val="single" w:sz="4" w:space="0" w:color="auto"/>
              <w:left w:val="single" w:sz="4" w:space="0" w:color="auto"/>
              <w:bottom w:val="single" w:sz="4" w:space="0" w:color="auto"/>
              <w:right w:val="single" w:sz="4" w:space="0" w:color="auto"/>
            </w:tcBorders>
            <w:hideMark/>
          </w:tcPr>
          <w:p w14:paraId="470E3EEF"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宋体" w:hAnsi="Arial" w:cs="Arial"/>
                <w:sz w:val="18"/>
                <w:szCs w:val="18"/>
              </w:rPr>
              <w:t>Optional with capability signalling</w:t>
            </w:r>
          </w:p>
        </w:tc>
        <w:tc>
          <w:tcPr>
            <w:tcW w:w="653" w:type="pct"/>
            <w:tcBorders>
              <w:top w:val="single" w:sz="4" w:space="0" w:color="auto"/>
              <w:left w:val="single" w:sz="4" w:space="0" w:color="auto"/>
              <w:bottom w:val="single" w:sz="4" w:space="0" w:color="auto"/>
              <w:right w:val="single" w:sz="4" w:space="0" w:color="auto"/>
            </w:tcBorders>
          </w:tcPr>
          <w:p w14:paraId="423027BC"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szCs w:val="18"/>
              </w:rPr>
            </w:pPr>
          </w:p>
        </w:tc>
      </w:tr>
      <w:tr w:rsidR="00EC5B7E" w:rsidRPr="009C2C82" w14:paraId="15984ABA" w14:textId="4C71218D" w:rsidTr="00EC5B7E">
        <w:trPr>
          <w:trHeight w:val="523"/>
        </w:trPr>
        <w:tc>
          <w:tcPr>
            <w:tcW w:w="485" w:type="pct"/>
            <w:vMerge/>
            <w:tcBorders>
              <w:left w:val="single" w:sz="4" w:space="0" w:color="auto"/>
              <w:right w:val="single" w:sz="4" w:space="0" w:color="auto"/>
            </w:tcBorders>
            <w:vAlign w:val="center"/>
            <w:hideMark/>
          </w:tcPr>
          <w:p w14:paraId="4294F77E" w14:textId="77777777" w:rsidR="00EC5B7E" w:rsidRPr="009C2C82" w:rsidRDefault="00EC5B7E" w:rsidP="009C2C82">
            <w:pPr>
              <w:widowControl/>
              <w:jc w:val="left"/>
              <w:rPr>
                <w:rFonts w:ascii="Arial" w:eastAsia="Times New Roman" w:hAnsi="Arial" w:cs="Arial"/>
                <w:kern w:val="0"/>
                <w:sz w:val="18"/>
                <w:szCs w:val="18"/>
                <w:lang w:val="en-GB" w:eastAsia="ja-JP"/>
              </w:rPr>
            </w:pPr>
          </w:p>
        </w:tc>
        <w:tc>
          <w:tcPr>
            <w:tcW w:w="235" w:type="pct"/>
            <w:tcBorders>
              <w:top w:val="single" w:sz="4" w:space="0" w:color="auto"/>
              <w:left w:val="single" w:sz="4" w:space="0" w:color="auto"/>
              <w:bottom w:val="single" w:sz="4" w:space="0" w:color="auto"/>
              <w:right w:val="single" w:sz="4" w:space="0" w:color="auto"/>
            </w:tcBorders>
            <w:hideMark/>
          </w:tcPr>
          <w:p w14:paraId="67E78213"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MS Mincho" w:hAnsi="Arial" w:cs="Arial"/>
                <w:sz w:val="18"/>
                <w:szCs w:val="18"/>
                <w:lang w:eastAsia="ja-JP"/>
              </w:rPr>
              <w:t>8-</w:t>
            </w:r>
            <w:r w:rsidRPr="00C64A12">
              <w:rPr>
                <w:rFonts w:ascii="Arial" w:eastAsia="Times New Roman" w:hAnsi="Arial" w:cs="Arial"/>
                <w:sz w:val="18"/>
                <w:szCs w:val="18"/>
              </w:rPr>
              <w:t>5</w:t>
            </w:r>
          </w:p>
        </w:tc>
        <w:tc>
          <w:tcPr>
            <w:tcW w:w="516" w:type="pct"/>
            <w:tcBorders>
              <w:top w:val="single" w:sz="4" w:space="0" w:color="auto"/>
              <w:left w:val="single" w:sz="4" w:space="0" w:color="auto"/>
              <w:bottom w:val="single" w:sz="4" w:space="0" w:color="auto"/>
              <w:right w:val="single" w:sz="4" w:space="0" w:color="auto"/>
            </w:tcBorders>
            <w:hideMark/>
          </w:tcPr>
          <w:p w14:paraId="377602EC"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宋体" w:hAnsi="Arial" w:cs="Arial"/>
                <w:sz w:val="18"/>
                <w:szCs w:val="18"/>
              </w:rPr>
              <w:t>Inter-band DL CA</w:t>
            </w:r>
          </w:p>
        </w:tc>
        <w:tc>
          <w:tcPr>
            <w:tcW w:w="1432" w:type="pct"/>
            <w:tcBorders>
              <w:top w:val="single" w:sz="4" w:space="0" w:color="auto"/>
              <w:left w:val="single" w:sz="4" w:space="0" w:color="auto"/>
              <w:bottom w:val="single" w:sz="4" w:space="0" w:color="auto"/>
              <w:right w:val="single" w:sz="4" w:space="0" w:color="auto"/>
            </w:tcBorders>
            <w:hideMark/>
          </w:tcPr>
          <w:p w14:paraId="455AE06A"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Times New Roman"/>
                <w:sz w:val="18"/>
                <w:szCs w:val="20"/>
                <w:lang w:eastAsia="ja-JP"/>
              </w:rPr>
            </w:pPr>
            <w:r w:rsidRPr="00C64A12">
              <w:rPr>
                <w:rFonts w:ascii="Arial" w:eastAsia="宋体" w:hAnsi="Arial" w:cs="Arial"/>
                <w:sz w:val="18"/>
              </w:rPr>
              <w:t>1 Indicate the supported beam management type for inter-band CA within FR2. Beam management type can be independent beam management (IBM) or common beam management (CBM)</w:t>
            </w:r>
          </w:p>
        </w:tc>
        <w:tc>
          <w:tcPr>
            <w:tcW w:w="1024" w:type="pct"/>
            <w:tcBorders>
              <w:top w:val="single" w:sz="4" w:space="0" w:color="auto"/>
              <w:left w:val="single" w:sz="4" w:space="0" w:color="auto"/>
              <w:bottom w:val="single" w:sz="4" w:space="0" w:color="auto"/>
              <w:right w:val="single" w:sz="4" w:space="0" w:color="auto"/>
            </w:tcBorders>
          </w:tcPr>
          <w:p w14:paraId="61CB2C3B"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Times New Roman" w:hAnsi="Arial" w:cs="Arial"/>
                <w:sz w:val="18"/>
                <w:szCs w:val="18"/>
                <w:lang w:eastAsia="ja-JP"/>
              </w:rPr>
              <w:t>Candidate value set</w:t>
            </w:r>
            <w:r w:rsidRPr="00C64A12">
              <w:rPr>
                <w:rFonts w:ascii="Arial" w:eastAsia="宋体" w:hAnsi="Arial" w:cs="Arial"/>
                <w:sz w:val="18"/>
                <w:szCs w:val="18"/>
              </w:rPr>
              <w:t xml:space="preserve"> for beam management type</w:t>
            </w:r>
            <w:r w:rsidRPr="00C64A12">
              <w:rPr>
                <w:rFonts w:ascii="Arial" w:eastAsia="Times New Roman" w:hAnsi="Arial" w:cs="Arial"/>
                <w:sz w:val="18"/>
                <w:szCs w:val="18"/>
                <w:lang w:eastAsia="ja-JP"/>
              </w:rPr>
              <w:t>: {IBM, CBM}</w:t>
            </w:r>
          </w:p>
          <w:p w14:paraId="4A6CAC13"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rPr>
            </w:pPr>
          </w:p>
          <w:p w14:paraId="46122A2C"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Times New Roman" w:hAnsi="Arial" w:cs="Arial"/>
                <w:sz w:val="18"/>
                <w:szCs w:val="18"/>
                <w:lang w:eastAsia="ja-JP"/>
              </w:rPr>
              <w:t>The capability is restricted to IBM for the band combinations specified in Rel-16 until CBM requirement is specified in a future release.</w:t>
            </w:r>
          </w:p>
        </w:tc>
        <w:tc>
          <w:tcPr>
            <w:tcW w:w="653" w:type="pct"/>
            <w:tcBorders>
              <w:top w:val="single" w:sz="4" w:space="0" w:color="auto"/>
              <w:left w:val="single" w:sz="4" w:space="0" w:color="auto"/>
              <w:bottom w:val="single" w:sz="4" w:space="0" w:color="auto"/>
              <w:right w:val="single" w:sz="4" w:space="0" w:color="auto"/>
            </w:tcBorders>
            <w:hideMark/>
          </w:tcPr>
          <w:p w14:paraId="41E8A896"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Times New Roman" w:hAnsi="Arial" w:cs="Arial"/>
                <w:sz w:val="18"/>
                <w:szCs w:val="18"/>
              </w:rPr>
              <w:t>M</w:t>
            </w:r>
            <w:r w:rsidRPr="00C64A12">
              <w:rPr>
                <w:rFonts w:ascii="Arial" w:eastAsia="Times New Roman" w:hAnsi="Arial" w:cs="Arial"/>
                <w:sz w:val="18"/>
                <w:szCs w:val="18"/>
                <w:lang w:eastAsia="ja-JP"/>
              </w:rPr>
              <w:t>andatory to report the supported beam management type</w:t>
            </w:r>
          </w:p>
        </w:tc>
        <w:tc>
          <w:tcPr>
            <w:tcW w:w="653" w:type="pct"/>
            <w:tcBorders>
              <w:top w:val="single" w:sz="4" w:space="0" w:color="auto"/>
              <w:left w:val="single" w:sz="4" w:space="0" w:color="auto"/>
              <w:bottom w:val="single" w:sz="4" w:space="0" w:color="auto"/>
              <w:right w:val="single" w:sz="4" w:space="0" w:color="auto"/>
            </w:tcBorders>
          </w:tcPr>
          <w:p w14:paraId="2B20F84A"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rPr>
            </w:pPr>
          </w:p>
        </w:tc>
      </w:tr>
      <w:tr w:rsidR="00EC5B7E" w:rsidRPr="009C2C82" w14:paraId="047766A9" w14:textId="2AE1EF19" w:rsidTr="00EC5B7E">
        <w:trPr>
          <w:trHeight w:val="392"/>
        </w:trPr>
        <w:tc>
          <w:tcPr>
            <w:tcW w:w="485" w:type="pct"/>
            <w:vMerge/>
            <w:tcBorders>
              <w:left w:val="single" w:sz="4" w:space="0" w:color="auto"/>
              <w:bottom w:val="single" w:sz="4" w:space="0" w:color="auto"/>
              <w:right w:val="single" w:sz="4" w:space="0" w:color="auto"/>
            </w:tcBorders>
          </w:tcPr>
          <w:p w14:paraId="0E7778F2" w14:textId="77777777" w:rsidR="00EC5B7E" w:rsidRPr="009C2C8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235" w:type="pct"/>
            <w:tcBorders>
              <w:top w:val="single" w:sz="4" w:space="0" w:color="auto"/>
              <w:left w:val="single" w:sz="4" w:space="0" w:color="auto"/>
              <w:bottom w:val="single" w:sz="4" w:space="0" w:color="auto"/>
              <w:right w:val="single" w:sz="4" w:space="0" w:color="auto"/>
            </w:tcBorders>
            <w:hideMark/>
          </w:tcPr>
          <w:p w14:paraId="1867984F" w14:textId="77777777" w:rsidR="00EC5B7E" w:rsidRPr="00C64A12" w:rsidRDefault="00EC5B7E" w:rsidP="009C2C82">
            <w:pPr>
              <w:keepNext/>
              <w:keepLines/>
              <w:widowControl/>
              <w:overflowPunct w:val="0"/>
              <w:autoSpaceDE w:val="0"/>
              <w:autoSpaceDN w:val="0"/>
              <w:adjustRightInd w:val="0"/>
              <w:jc w:val="left"/>
              <w:rPr>
                <w:rFonts w:ascii="Arial" w:eastAsia="MS Mincho" w:hAnsi="Arial" w:cs="Arial"/>
                <w:sz w:val="18"/>
                <w:szCs w:val="18"/>
                <w:lang w:eastAsia="ja-JP"/>
              </w:rPr>
            </w:pPr>
            <w:r w:rsidRPr="00C64A12">
              <w:rPr>
                <w:rFonts w:ascii="Arial" w:eastAsia="Times New Roman" w:hAnsi="Arial" w:cs="Arial"/>
                <w:sz w:val="18"/>
                <w:szCs w:val="18"/>
                <w:lang w:eastAsia="ja-JP"/>
              </w:rPr>
              <w:t>8-</w:t>
            </w:r>
            <w:r w:rsidRPr="00C64A12">
              <w:rPr>
                <w:rFonts w:ascii="Arial" w:eastAsia="Times New Roman" w:hAnsi="Arial" w:cs="Arial"/>
                <w:sz w:val="18"/>
                <w:szCs w:val="18"/>
              </w:rPr>
              <w:t>6</w:t>
            </w:r>
          </w:p>
        </w:tc>
        <w:tc>
          <w:tcPr>
            <w:tcW w:w="516" w:type="pct"/>
            <w:tcBorders>
              <w:top w:val="single" w:sz="4" w:space="0" w:color="auto"/>
              <w:left w:val="single" w:sz="4" w:space="0" w:color="auto"/>
              <w:bottom w:val="single" w:sz="4" w:space="0" w:color="auto"/>
              <w:right w:val="single" w:sz="4" w:space="0" w:color="auto"/>
            </w:tcBorders>
            <w:hideMark/>
          </w:tcPr>
          <w:p w14:paraId="594AD19C"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szCs w:val="18"/>
              </w:rPr>
            </w:pPr>
            <w:r w:rsidRPr="00C64A12">
              <w:rPr>
                <w:rFonts w:ascii="Arial" w:eastAsia="宋体" w:hAnsi="Arial" w:cs="Arial"/>
                <w:sz w:val="18"/>
                <w:szCs w:val="18"/>
              </w:rPr>
              <w:t>MPR Enhancement</w:t>
            </w:r>
          </w:p>
        </w:tc>
        <w:tc>
          <w:tcPr>
            <w:tcW w:w="1432" w:type="pct"/>
            <w:tcBorders>
              <w:top w:val="single" w:sz="4" w:space="0" w:color="auto"/>
              <w:left w:val="single" w:sz="4" w:space="0" w:color="auto"/>
              <w:bottom w:val="single" w:sz="4" w:space="0" w:color="auto"/>
              <w:right w:val="single" w:sz="4" w:space="0" w:color="auto"/>
            </w:tcBorders>
            <w:hideMark/>
          </w:tcPr>
          <w:p w14:paraId="26582F61" w14:textId="77777777" w:rsidR="00EC5B7E" w:rsidRPr="00C64A12" w:rsidRDefault="00EC5B7E" w:rsidP="009C2C82">
            <w:pPr>
              <w:keepNext/>
              <w:keepLines/>
              <w:widowControl/>
              <w:overflowPunct w:val="0"/>
              <w:autoSpaceDE w:val="0"/>
              <w:autoSpaceDN w:val="0"/>
              <w:adjustRightInd w:val="0"/>
              <w:jc w:val="left"/>
              <w:rPr>
                <w:rFonts w:ascii="Arial" w:eastAsia="宋体" w:hAnsi="Arial" w:cs="Times New Roman"/>
                <w:sz w:val="18"/>
                <w:szCs w:val="20"/>
              </w:rPr>
            </w:pPr>
            <w:r w:rsidRPr="00C64A12">
              <w:rPr>
                <w:rFonts w:ascii="Arial" w:eastAsia="宋体" w:hAnsi="Arial" w:cs="Arial"/>
                <w:sz w:val="18"/>
              </w:rPr>
              <w:t>UE Tx power boost feature when IBE is suspended</w:t>
            </w:r>
          </w:p>
        </w:tc>
        <w:tc>
          <w:tcPr>
            <w:tcW w:w="1024" w:type="pct"/>
            <w:tcBorders>
              <w:top w:val="single" w:sz="4" w:space="0" w:color="auto"/>
              <w:left w:val="single" w:sz="4" w:space="0" w:color="auto"/>
              <w:bottom w:val="single" w:sz="4" w:space="0" w:color="auto"/>
              <w:right w:val="single" w:sz="4" w:space="0" w:color="auto"/>
            </w:tcBorders>
          </w:tcPr>
          <w:p w14:paraId="711B2441"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653" w:type="pct"/>
            <w:tcBorders>
              <w:top w:val="single" w:sz="4" w:space="0" w:color="auto"/>
              <w:left w:val="single" w:sz="4" w:space="0" w:color="auto"/>
              <w:bottom w:val="single" w:sz="4" w:space="0" w:color="auto"/>
              <w:right w:val="single" w:sz="4" w:space="0" w:color="auto"/>
            </w:tcBorders>
            <w:hideMark/>
          </w:tcPr>
          <w:p w14:paraId="394AC514" w14:textId="77777777" w:rsidR="00EC5B7E" w:rsidRPr="00C64A12" w:rsidRDefault="00EC5B7E" w:rsidP="009C2C82">
            <w:pPr>
              <w:keepNext/>
              <w:keepLines/>
              <w:widowControl/>
              <w:overflowPunct w:val="0"/>
              <w:autoSpaceDE w:val="0"/>
              <w:autoSpaceDN w:val="0"/>
              <w:adjustRightInd w:val="0"/>
              <w:jc w:val="left"/>
              <w:rPr>
                <w:rFonts w:ascii="Arial" w:eastAsia="Times New Roman" w:hAnsi="Arial" w:cs="Arial"/>
                <w:sz w:val="18"/>
                <w:szCs w:val="18"/>
              </w:rPr>
            </w:pPr>
            <w:r w:rsidRPr="00C64A12">
              <w:rPr>
                <w:rFonts w:ascii="Arial" w:eastAsia="宋体" w:hAnsi="Arial" w:cs="Arial"/>
                <w:sz w:val="18"/>
                <w:szCs w:val="18"/>
              </w:rPr>
              <w:t>Optional with capability signalling</w:t>
            </w:r>
          </w:p>
        </w:tc>
        <w:tc>
          <w:tcPr>
            <w:tcW w:w="653" w:type="pct"/>
            <w:tcBorders>
              <w:top w:val="single" w:sz="4" w:space="0" w:color="auto"/>
              <w:left w:val="single" w:sz="4" w:space="0" w:color="auto"/>
              <w:bottom w:val="single" w:sz="4" w:space="0" w:color="auto"/>
              <w:right w:val="single" w:sz="4" w:space="0" w:color="auto"/>
            </w:tcBorders>
          </w:tcPr>
          <w:p w14:paraId="389E5F1C" w14:textId="77777777" w:rsidR="00EC5B7E" w:rsidRPr="00C64A12" w:rsidRDefault="00EC5B7E" w:rsidP="009C2C82">
            <w:pPr>
              <w:keepNext/>
              <w:keepLines/>
              <w:widowControl/>
              <w:overflowPunct w:val="0"/>
              <w:autoSpaceDE w:val="0"/>
              <w:autoSpaceDN w:val="0"/>
              <w:adjustRightInd w:val="0"/>
              <w:jc w:val="left"/>
              <w:rPr>
                <w:rFonts w:ascii="Arial" w:eastAsia="宋体" w:hAnsi="Arial" w:cs="Arial"/>
                <w:sz w:val="18"/>
                <w:szCs w:val="18"/>
              </w:rPr>
            </w:pPr>
          </w:p>
        </w:tc>
      </w:tr>
    </w:tbl>
    <w:p w14:paraId="3E2A1CAF" w14:textId="77777777" w:rsidR="009C2C82" w:rsidRDefault="009C2C82" w:rsidP="009C2C82"/>
    <w:p w14:paraId="4798DCB2" w14:textId="58B99E85" w:rsidR="00FE289E" w:rsidRDefault="00FE289E" w:rsidP="00FE289E">
      <w:pPr>
        <w:pStyle w:val="Heading3"/>
        <w:rPr>
          <w:lang w:val="en-GB" w:eastAsia="ko-KR"/>
        </w:rPr>
      </w:pPr>
      <w:r>
        <w:rPr>
          <w:lang w:val="en-GB" w:eastAsia="ko-KR"/>
        </w:rPr>
        <w:lastRenderedPageBreak/>
        <w:t>2.2.</w:t>
      </w:r>
      <w:r w:rsidR="008A531E">
        <w:rPr>
          <w:lang w:val="en-GB" w:eastAsia="ko-KR"/>
        </w:rPr>
        <w:t>3</w:t>
      </w:r>
      <w:r>
        <w:rPr>
          <w:lang w:val="en-GB" w:eastAsia="ko-KR"/>
        </w:rPr>
        <w:t xml:space="preserve"> others</w:t>
      </w:r>
    </w:p>
    <w:p w14:paraId="4E577DD1" w14:textId="77777777" w:rsidR="00FE289E" w:rsidRPr="00DE2ABB" w:rsidRDefault="00FE289E" w:rsidP="00FE289E">
      <w:pPr>
        <w:spacing w:before="120" w:after="120"/>
        <w:rPr>
          <w:rFonts w:ascii="Times New Roman" w:hAnsi="Times New Roman" w:cs="Times New Roman"/>
        </w:rPr>
      </w:pPr>
      <w:r w:rsidRPr="00DE2ABB">
        <w:rPr>
          <w:rFonts w:ascii="Times New Roman" w:hAnsi="Times New Roman" w:cs="Times New Roman"/>
        </w:rPr>
        <w:t>Following table list all the feature in TR 38.822 for R16 RF part. Observations are listed as below:</w:t>
      </w:r>
    </w:p>
    <w:p w14:paraId="0D829D03" w14:textId="4B9DC2B4" w:rsidR="00FE289E" w:rsidRPr="00DE2ABB" w:rsidRDefault="00A311B9" w:rsidP="00FE289E">
      <w:pPr>
        <w:pStyle w:val="ListParagraph"/>
        <w:numPr>
          <w:ilvl w:val="0"/>
          <w:numId w:val="15"/>
        </w:numPr>
        <w:spacing w:before="120" w:after="120"/>
        <w:ind w:firstLineChars="0"/>
        <w:rPr>
          <w:rFonts w:ascii="Times New Roman" w:hAnsi="Times New Roman" w:cs="Times New Roman"/>
        </w:rPr>
      </w:pPr>
      <w:r>
        <w:rPr>
          <w:rFonts w:ascii="Times New Roman" w:hAnsi="Times New Roman" w:cs="Times New Roman"/>
        </w:rPr>
        <w:t>All features are optional</w:t>
      </w:r>
      <w:r w:rsidR="00FE289E" w:rsidRPr="00DE2ABB">
        <w:rPr>
          <w:rFonts w:ascii="Times New Roman" w:hAnsi="Times New Roman" w:cs="Times New Roman"/>
        </w:rPr>
        <w:t>.</w:t>
      </w:r>
    </w:p>
    <w:p w14:paraId="66CE26A6" w14:textId="77777777" w:rsidR="00FE289E" w:rsidRPr="00DE2ABB" w:rsidRDefault="00FE289E" w:rsidP="00FE289E">
      <w:pPr>
        <w:pStyle w:val="ListParagraph"/>
        <w:numPr>
          <w:ilvl w:val="0"/>
          <w:numId w:val="15"/>
        </w:numPr>
        <w:spacing w:before="120" w:after="120"/>
        <w:ind w:firstLineChars="0"/>
        <w:rPr>
          <w:rFonts w:ascii="Times New Roman" w:hAnsi="Times New Roman" w:cs="Times New Roman"/>
        </w:rPr>
      </w:pPr>
      <w:r w:rsidRPr="00DE2ABB">
        <w:rPr>
          <w:rFonts w:ascii="Times New Roman" w:hAnsi="Times New Roman" w:cs="Times New Roman"/>
        </w:rPr>
        <w:t>Features could be categorized as below</w:t>
      </w:r>
    </w:p>
    <w:p w14:paraId="767F787D" w14:textId="1D342C1A" w:rsidR="0040254E" w:rsidRDefault="0040254E" w:rsidP="00FE289E">
      <w:pPr>
        <w:pStyle w:val="ListParagraph"/>
        <w:numPr>
          <w:ilvl w:val="1"/>
          <w:numId w:val="15"/>
        </w:numPr>
        <w:spacing w:before="120" w:after="120"/>
        <w:ind w:firstLineChars="0"/>
        <w:rPr>
          <w:rFonts w:ascii="Times New Roman" w:hAnsi="Times New Roman" w:cs="Times New Roman"/>
        </w:rPr>
      </w:pPr>
      <w:r>
        <w:rPr>
          <w:rFonts w:ascii="Times New Roman" w:hAnsi="Times New Roman" w:cs="Times New Roman"/>
        </w:rPr>
        <w:t>Max duty cycle for EN-DC, i.e. index 2-18 and 2-20</w:t>
      </w:r>
    </w:p>
    <w:p w14:paraId="31C953C4" w14:textId="57707160" w:rsidR="00DE2ABB" w:rsidRDefault="00DE2ABB" w:rsidP="00FE289E">
      <w:pPr>
        <w:pStyle w:val="ListParagraph"/>
        <w:numPr>
          <w:ilvl w:val="1"/>
          <w:numId w:val="15"/>
        </w:numPr>
        <w:spacing w:before="120" w:after="120"/>
        <w:ind w:firstLineChars="0"/>
        <w:rPr>
          <w:rFonts w:ascii="Times New Roman" w:hAnsi="Times New Roman" w:cs="Times New Roman"/>
        </w:rPr>
      </w:pPr>
      <w:r w:rsidRPr="00DE2ABB">
        <w:rPr>
          <w:rFonts w:ascii="Times New Roman" w:hAnsi="Times New Roman" w:cs="Times New Roman"/>
        </w:rPr>
        <w:t>Transparent Tx Diversity</w:t>
      </w:r>
      <w:r w:rsidR="00363563">
        <w:rPr>
          <w:rFonts w:ascii="Times New Roman" w:hAnsi="Times New Roman" w:cs="Times New Roman"/>
        </w:rPr>
        <w:t>, i.e. index 2-21</w:t>
      </w:r>
    </w:p>
    <w:p w14:paraId="73316060" w14:textId="77777777" w:rsidR="00FE289E" w:rsidRPr="00DE2ABB" w:rsidRDefault="00FE289E" w:rsidP="00FE289E">
      <w:pPr>
        <w:spacing w:before="120" w:after="120"/>
        <w:rPr>
          <w:rFonts w:ascii="Times New Roman" w:hAnsi="Times New Roman" w:cs="Times New Roman"/>
        </w:rPr>
      </w:pPr>
      <w:r w:rsidRPr="00DE2ABB">
        <w:rPr>
          <w:rFonts w:ascii="Times New Roman" w:hAnsi="Times New Roman" w:cs="Times New Roman"/>
        </w:rPr>
        <w:t>Following lists the feature list for information and last column is the recommendation for NCR-MT feature.</w:t>
      </w:r>
    </w:p>
    <w:p w14:paraId="6C10E41D" w14:textId="778E1B18" w:rsidR="009E6505" w:rsidRPr="009E6505" w:rsidRDefault="009E6505" w:rsidP="009E6505">
      <w:pPr>
        <w:keepNext/>
        <w:keepLines/>
        <w:widowControl/>
        <w:overflowPunct w:val="0"/>
        <w:autoSpaceDE w:val="0"/>
        <w:autoSpaceDN w:val="0"/>
        <w:adjustRightInd w:val="0"/>
        <w:spacing w:before="60" w:after="180"/>
        <w:jc w:val="center"/>
        <w:rPr>
          <w:rFonts w:ascii="Arial" w:eastAsia="Times New Roman" w:hAnsi="Arial" w:cs="Arial"/>
          <w:b/>
          <w:lang w:eastAsia="ja-JP"/>
        </w:rPr>
      </w:pPr>
      <w:r w:rsidRPr="009E6505">
        <w:rPr>
          <w:rFonts w:ascii="Arial" w:eastAsia="Times New Roman" w:hAnsi="Arial" w:cs="Arial"/>
          <w:b/>
          <w:lang w:eastAsia="ja-JP"/>
        </w:rPr>
        <w:t>Table 5.3.12-1: Others</w:t>
      </w:r>
    </w:p>
    <w:tbl>
      <w:tblPr>
        <w:tblW w:w="49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66"/>
        <w:gridCol w:w="1559"/>
        <w:gridCol w:w="4536"/>
        <w:gridCol w:w="1419"/>
        <w:gridCol w:w="3401"/>
        <w:gridCol w:w="1276"/>
        <w:gridCol w:w="1276"/>
      </w:tblGrid>
      <w:tr w:rsidR="00EC5B7E" w:rsidRPr="009E6505" w14:paraId="14328BD3" w14:textId="53DEF1B2" w:rsidTr="00DE2ABB">
        <w:trPr>
          <w:trHeight w:val="606"/>
        </w:trPr>
        <w:tc>
          <w:tcPr>
            <w:tcW w:w="193" w:type="pct"/>
            <w:tcBorders>
              <w:top w:val="single" w:sz="4" w:space="0" w:color="auto"/>
              <w:left w:val="single" w:sz="4" w:space="0" w:color="auto"/>
              <w:bottom w:val="single" w:sz="4" w:space="0" w:color="auto"/>
              <w:right w:val="single" w:sz="4" w:space="0" w:color="auto"/>
            </w:tcBorders>
            <w:hideMark/>
          </w:tcPr>
          <w:p w14:paraId="5F0C2C96" w14:textId="77777777"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Features</w:t>
            </w:r>
          </w:p>
        </w:tc>
        <w:tc>
          <w:tcPr>
            <w:tcW w:w="194" w:type="pct"/>
            <w:tcBorders>
              <w:top w:val="single" w:sz="4" w:space="0" w:color="auto"/>
              <w:left w:val="single" w:sz="4" w:space="0" w:color="auto"/>
              <w:bottom w:val="single" w:sz="4" w:space="0" w:color="auto"/>
              <w:right w:val="single" w:sz="4" w:space="0" w:color="auto"/>
            </w:tcBorders>
            <w:hideMark/>
          </w:tcPr>
          <w:p w14:paraId="711760AA" w14:textId="77777777"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Index</w:t>
            </w:r>
          </w:p>
        </w:tc>
        <w:tc>
          <w:tcPr>
            <w:tcW w:w="534" w:type="pct"/>
            <w:tcBorders>
              <w:top w:val="single" w:sz="4" w:space="0" w:color="auto"/>
              <w:left w:val="single" w:sz="4" w:space="0" w:color="auto"/>
              <w:bottom w:val="single" w:sz="4" w:space="0" w:color="auto"/>
              <w:right w:val="single" w:sz="4" w:space="0" w:color="auto"/>
            </w:tcBorders>
            <w:hideMark/>
          </w:tcPr>
          <w:p w14:paraId="28E4425C" w14:textId="77777777"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Feature group</w:t>
            </w:r>
          </w:p>
        </w:tc>
        <w:tc>
          <w:tcPr>
            <w:tcW w:w="1554" w:type="pct"/>
            <w:tcBorders>
              <w:top w:val="single" w:sz="4" w:space="0" w:color="auto"/>
              <w:left w:val="single" w:sz="4" w:space="0" w:color="auto"/>
              <w:bottom w:val="single" w:sz="4" w:space="0" w:color="auto"/>
              <w:right w:val="single" w:sz="4" w:space="0" w:color="auto"/>
            </w:tcBorders>
            <w:hideMark/>
          </w:tcPr>
          <w:p w14:paraId="57D28CC7" w14:textId="77777777"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Components</w:t>
            </w:r>
          </w:p>
        </w:tc>
        <w:tc>
          <w:tcPr>
            <w:tcW w:w="486" w:type="pct"/>
            <w:tcBorders>
              <w:top w:val="single" w:sz="4" w:space="0" w:color="auto"/>
              <w:left w:val="single" w:sz="4" w:space="0" w:color="auto"/>
              <w:bottom w:val="single" w:sz="4" w:space="0" w:color="auto"/>
              <w:right w:val="single" w:sz="4" w:space="0" w:color="auto"/>
            </w:tcBorders>
            <w:hideMark/>
          </w:tcPr>
          <w:p w14:paraId="057D409E" w14:textId="77777777"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Need of FR1/FR2 differentiation</w:t>
            </w:r>
          </w:p>
        </w:tc>
        <w:tc>
          <w:tcPr>
            <w:tcW w:w="1165" w:type="pct"/>
            <w:tcBorders>
              <w:top w:val="single" w:sz="4" w:space="0" w:color="auto"/>
              <w:left w:val="single" w:sz="4" w:space="0" w:color="auto"/>
              <w:bottom w:val="single" w:sz="4" w:space="0" w:color="auto"/>
              <w:right w:val="single" w:sz="4" w:space="0" w:color="auto"/>
            </w:tcBorders>
            <w:hideMark/>
          </w:tcPr>
          <w:p w14:paraId="3124B1F6" w14:textId="77777777"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Note</w:t>
            </w:r>
          </w:p>
        </w:tc>
        <w:tc>
          <w:tcPr>
            <w:tcW w:w="437" w:type="pct"/>
            <w:tcBorders>
              <w:top w:val="single" w:sz="4" w:space="0" w:color="auto"/>
              <w:left w:val="single" w:sz="4" w:space="0" w:color="auto"/>
              <w:bottom w:val="single" w:sz="4" w:space="0" w:color="auto"/>
              <w:right w:val="single" w:sz="4" w:space="0" w:color="auto"/>
            </w:tcBorders>
            <w:hideMark/>
          </w:tcPr>
          <w:p w14:paraId="67CBE58F" w14:textId="12A37F28"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9E6505">
              <w:rPr>
                <w:rFonts w:ascii="Arial" w:eastAsia="Times New Roman" w:hAnsi="Arial" w:cs="Arial"/>
                <w:b/>
                <w:sz w:val="18"/>
                <w:lang w:eastAsia="ja-JP"/>
              </w:rPr>
              <w:t>Mandatory/Optional</w:t>
            </w:r>
            <w:r>
              <w:rPr>
                <w:rFonts w:ascii="Arial" w:eastAsia="Times New Roman" w:hAnsi="Arial" w:cs="Arial"/>
                <w:b/>
                <w:sz w:val="18"/>
                <w:lang w:eastAsia="ja-JP"/>
              </w:rPr>
              <w:t xml:space="preserve"> for UE</w:t>
            </w:r>
          </w:p>
        </w:tc>
        <w:tc>
          <w:tcPr>
            <w:tcW w:w="437" w:type="pct"/>
            <w:tcBorders>
              <w:top w:val="single" w:sz="4" w:space="0" w:color="auto"/>
              <w:left w:val="single" w:sz="4" w:space="0" w:color="auto"/>
              <w:bottom w:val="single" w:sz="4" w:space="0" w:color="auto"/>
              <w:right w:val="single" w:sz="4" w:space="0" w:color="auto"/>
            </w:tcBorders>
          </w:tcPr>
          <w:p w14:paraId="2AEB28C9" w14:textId="670FBFAF" w:rsidR="00EC5B7E" w:rsidRPr="009E6505" w:rsidRDefault="00EC5B7E" w:rsidP="009E6505">
            <w:pPr>
              <w:keepNext/>
              <w:keepLines/>
              <w:widowControl/>
              <w:overflowPunct w:val="0"/>
              <w:autoSpaceDE w:val="0"/>
              <w:autoSpaceDN w:val="0"/>
              <w:adjustRightInd w:val="0"/>
              <w:jc w:val="center"/>
              <w:rPr>
                <w:rFonts w:ascii="Arial" w:eastAsia="Times New Roman" w:hAnsi="Arial" w:cs="Arial"/>
                <w:b/>
                <w:sz w:val="18"/>
                <w:lang w:eastAsia="ja-JP"/>
              </w:rPr>
            </w:pPr>
            <w:r w:rsidRPr="00EC5B7E">
              <w:rPr>
                <w:rFonts w:ascii="Arial" w:eastAsia="Times New Roman" w:hAnsi="Arial" w:cs="Arial"/>
                <w:b/>
                <w:sz w:val="18"/>
                <w:lang w:eastAsia="ja-JP"/>
              </w:rPr>
              <w:t xml:space="preserve">Mandatory/Optional for </w:t>
            </w:r>
            <w:r>
              <w:rPr>
                <w:rFonts w:ascii="Arial" w:eastAsia="Times New Roman" w:hAnsi="Arial" w:cs="Arial"/>
                <w:b/>
                <w:sz w:val="18"/>
                <w:lang w:eastAsia="ja-JP"/>
              </w:rPr>
              <w:t>NCR-MT</w:t>
            </w:r>
          </w:p>
        </w:tc>
      </w:tr>
      <w:tr w:rsidR="00EC5B7E" w:rsidRPr="009E6505" w14:paraId="53DD44FB" w14:textId="1A8868CF" w:rsidTr="00DE2ABB">
        <w:tc>
          <w:tcPr>
            <w:tcW w:w="193" w:type="pct"/>
            <w:tcBorders>
              <w:top w:val="single" w:sz="4" w:space="0" w:color="auto"/>
              <w:left w:val="single" w:sz="4" w:space="0" w:color="auto"/>
              <w:bottom w:val="single" w:sz="4" w:space="0" w:color="auto"/>
              <w:right w:val="single" w:sz="4" w:space="0" w:color="auto"/>
            </w:tcBorders>
            <w:hideMark/>
          </w:tcPr>
          <w:p w14:paraId="722ACE34"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MS Mincho" w:hAnsi="Arial" w:cs="Arial"/>
                <w:sz w:val="18"/>
                <w:szCs w:val="18"/>
                <w:lang w:eastAsia="ja-JP"/>
              </w:rPr>
              <w:t>UE RF</w:t>
            </w:r>
          </w:p>
        </w:tc>
        <w:tc>
          <w:tcPr>
            <w:tcW w:w="194" w:type="pct"/>
            <w:tcBorders>
              <w:top w:val="single" w:sz="4" w:space="0" w:color="auto"/>
              <w:left w:val="single" w:sz="4" w:space="0" w:color="auto"/>
              <w:bottom w:val="single" w:sz="4" w:space="0" w:color="auto"/>
              <w:right w:val="single" w:sz="4" w:space="0" w:color="auto"/>
            </w:tcBorders>
            <w:hideMark/>
          </w:tcPr>
          <w:p w14:paraId="6F3595B4"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MS Mincho" w:hAnsi="Arial" w:cs="Arial"/>
                <w:sz w:val="18"/>
                <w:szCs w:val="18"/>
                <w:lang w:eastAsia="ja-JP"/>
              </w:rPr>
              <w:t>2-18</w:t>
            </w:r>
          </w:p>
        </w:tc>
        <w:tc>
          <w:tcPr>
            <w:tcW w:w="534" w:type="pct"/>
            <w:tcBorders>
              <w:top w:val="single" w:sz="4" w:space="0" w:color="auto"/>
              <w:left w:val="single" w:sz="4" w:space="0" w:color="auto"/>
              <w:bottom w:val="single" w:sz="4" w:space="0" w:color="auto"/>
              <w:right w:val="single" w:sz="4" w:space="0" w:color="auto"/>
            </w:tcBorders>
            <w:hideMark/>
          </w:tcPr>
          <w:p w14:paraId="75BCFB1F"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Times New Roman" w:hAnsi="Arial" w:cs="Arial"/>
                <w:bCs/>
                <w:iCs/>
                <w:sz w:val="18"/>
                <w:szCs w:val="18"/>
                <w:lang w:eastAsia="ja-JP"/>
              </w:rPr>
              <w:t>Maximum uplink duty cycle for TDD+TDD EN-DC power class 2</w:t>
            </w:r>
            <w:r w:rsidRPr="009E6505">
              <w:rPr>
                <w:rFonts w:ascii="Arial" w:eastAsia="宋体" w:hAnsi="Arial" w:cs="Arial"/>
                <w:bCs/>
                <w:iCs/>
                <w:sz w:val="18"/>
                <w:szCs w:val="18"/>
              </w:rPr>
              <w:t xml:space="preserve"> </w:t>
            </w:r>
            <w:r w:rsidRPr="009E6505">
              <w:rPr>
                <w:rFonts w:ascii="Arial" w:eastAsia="宋体" w:hAnsi="Arial" w:cs="Arial"/>
                <w:bCs/>
                <w:i/>
                <w:iCs/>
                <w:sz w:val="18"/>
                <w:szCs w:val="18"/>
              </w:rPr>
              <w:t>(maxUplinkDutyCycle-interBandENDC-TDD-PC2-r16)</w:t>
            </w:r>
          </w:p>
        </w:tc>
        <w:tc>
          <w:tcPr>
            <w:tcW w:w="1554" w:type="pct"/>
            <w:tcBorders>
              <w:top w:val="single" w:sz="4" w:space="0" w:color="auto"/>
              <w:left w:val="single" w:sz="4" w:space="0" w:color="auto"/>
              <w:bottom w:val="single" w:sz="4" w:space="0" w:color="auto"/>
              <w:right w:val="single" w:sz="4" w:space="0" w:color="auto"/>
            </w:tcBorders>
            <w:hideMark/>
          </w:tcPr>
          <w:p w14:paraId="6DFAC148"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bCs/>
                <w:iCs/>
                <w:sz w:val="18"/>
                <w:szCs w:val="18"/>
                <w:lang w:eastAsia="ja-JP"/>
              </w:rPr>
            </w:pPr>
            <w:r w:rsidRPr="009E6505">
              <w:rPr>
                <w:rFonts w:ascii="Arial" w:eastAsia="Times New Roman" w:hAnsi="Arial" w:cs="Arial"/>
                <w:bCs/>
                <w:iCs/>
                <w:sz w:val="18"/>
                <w:szCs w:val="18"/>
                <w:lang w:eastAsia="ja-JP"/>
              </w:rPr>
              <w:t>Indicates the maximum percentage of symbols during a certain evaluation period that can be scheduled for NR uplink transmission under different EUTRA TDD uplink-downlink configurations so as to ensure compliance with applicable electromagnetic energy absorption requirements provided by regulatory bodies. This field is only applicable for inter-band TDD+TDD EN-DC power class 2 UE as specified in TS 38.101-3. If the field is absent, 30% shall be applied to all EUTRA TDD uplink-downlink configurations. If eutra-TDD-Configx is absent, 30% shall be applied to the corresponding EUTRA TDD uplink-downlink configuration.</w:t>
            </w:r>
          </w:p>
          <w:p w14:paraId="47D5CC16"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Times New Roman" w:hAnsi="Arial" w:cs="Arial"/>
                <w:bCs/>
                <w:iCs/>
                <w:sz w:val="18"/>
                <w:szCs w:val="18"/>
                <w:lang w:eastAsia="ja-JP"/>
              </w:rPr>
              <w:t>Value n20 corresponds to 20%, value n40 corresponds to 40% and so on.</w:t>
            </w:r>
          </w:p>
        </w:tc>
        <w:tc>
          <w:tcPr>
            <w:tcW w:w="486" w:type="pct"/>
            <w:tcBorders>
              <w:top w:val="single" w:sz="4" w:space="0" w:color="auto"/>
              <w:left w:val="single" w:sz="4" w:space="0" w:color="auto"/>
              <w:bottom w:val="single" w:sz="4" w:space="0" w:color="auto"/>
              <w:right w:val="single" w:sz="4" w:space="0" w:color="auto"/>
            </w:tcBorders>
            <w:hideMark/>
          </w:tcPr>
          <w:p w14:paraId="3F9325EF"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宋体" w:hAnsi="Arial" w:cs="Arial"/>
                <w:sz w:val="18"/>
                <w:szCs w:val="18"/>
              </w:rPr>
              <w:t>FR1 only</w:t>
            </w:r>
          </w:p>
        </w:tc>
        <w:tc>
          <w:tcPr>
            <w:tcW w:w="1165" w:type="pct"/>
            <w:tcBorders>
              <w:top w:val="single" w:sz="4" w:space="0" w:color="auto"/>
              <w:left w:val="single" w:sz="4" w:space="0" w:color="auto"/>
              <w:bottom w:val="single" w:sz="4" w:space="0" w:color="auto"/>
              <w:right w:val="single" w:sz="4" w:space="0" w:color="auto"/>
            </w:tcBorders>
          </w:tcPr>
          <w:p w14:paraId="0B232841"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437" w:type="pct"/>
            <w:tcBorders>
              <w:top w:val="single" w:sz="4" w:space="0" w:color="auto"/>
              <w:left w:val="single" w:sz="4" w:space="0" w:color="auto"/>
              <w:bottom w:val="single" w:sz="4" w:space="0" w:color="auto"/>
              <w:right w:val="single" w:sz="4" w:space="0" w:color="auto"/>
            </w:tcBorders>
            <w:hideMark/>
          </w:tcPr>
          <w:p w14:paraId="5ECC04B4"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宋体" w:hAnsi="Arial" w:cs="Arial"/>
                <w:sz w:val="18"/>
                <w:szCs w:val="18"/>
              </w:rPr>
              <w:t>Optional with capability signalling</w:t>
            </w:r>
          </w:p>
        </w:tc>
        <w:tc>
          <w:tcPr>
            <w:tcW w:w="437" w:type="pct"/>
            <w:tcBorders>
              <w:top w:val="single" w:sz="4" w:space="0" w:color="auto"/>
              <w:left w:val="single" w:sz="4" w:space="0" w:color="auto"/>
              <w:bottom w:val="single" w:sz="4" w:space="0" w:color="auto"/>
              <w:right w:val="single" w:sz="4" w:space="0" w:color="auto"/>
            </w:tcBorders>
          </w:tcPr>
          <w:p w14:paraId="7E29931B" w14:textId="77777777" w:rsidR="00EC5B7E" w:rsidRPr="009E6505" w:rsidRDefault="00EC5B7E" w:rsidP="009E6505">
            <w:pPr>
              <w:keepNext/>
              <w:keepLines/>
              <w:widowControl/>
              <w:overflowPunct w:val="0"/>
              <w:autoSpaceDE w:val="0"/>
              <w:autoSpaceDN w:val="0"/>
              <w:adjustRightInd w:val="0"/>
              <w:jc w:val="left"/>
              <w:rPr>
                <w:rFonts w:ascii="Arial" w:eastAsia="宋体" w:hAnsi="Arial" w:cs="Arial"/>
                <w:sz w:val="18"/>
                <w:szCs w:val="18"/>
              </w:rPr>
            </w:pPr>
          </w:p>
        </w:tc>
      </w:tr>
      <w:tr w:rsidR="00EC5B7E" w:rsidRPr="009E6505" w14:paraId="6FE2DE06" w14:textId="1BFD5EB5" w:rsidTr="00DE2ABB">
        <w:tc>
          <w:tcPr>
            <w:tcW w:w="193" w:type="pct"/>
            <w:tcBorders>
              <w:top w:val="single" w:sz="4" w:space="0" w:color="auto"/>
              <w:left w:val="single" w:sz="4" w:space="0" w:color="auto"/>
              <w:bottom w:val="single" w:sz="4" w:space="0" w:color="auto"/>
              <w:right w:val="single" w:sz="4" w:space="0" w:color="auto"/>
            </w:tcBorders>
            <w:vAlign w:val="center"/>
            <w:hideMark/>
          </w:tcPr>
          <w:p w14:paraId="00305675" w14:textId="77777777" w:rsidR="00EC5B7E" w:rsidRPr="009E6505" w:rsidRDefault="00EC5B7E" w:rsidP="009E6505">
            <w:pPr>
              <w:widowControl/>
              <w:jc w:val="left"/>
              <w:rPr>
                <w:rFonts w:ascii="Arial" w:eastAsia="Times New Roman" w:hAnsi="Arial" w:cs="Arial"/>
                <w:kern w:val="0"/>
                <w:sz w:val="18"/>
                <w:szCs w:val="18"/>
                <w:lang w:val="en-GB" w:eastAsia="ja-JP"/>
              </w:rPr>
            </w:pPr>
          </w:p>
        </w:tc>
        <w:tc>
          <w:tcPr>
            <w:tcW w:w="194" w:type="pct"/>
            <w:tcBorders>
              <w:top w:val="single" w:sz="4" w:space="0" w:color="auto"/>
              <w:left w:val="single" w:sz="4" w:space="0" w:color="auto"/>
              <w:bottom w:val="single" w:sz="4" w:space="0" w:color="auto"/>
              <w:right w:val="single" w:sz="4" w:space="0" w:color="auto"/>
            </w:tcBorders>
            <w:hideMark/>
          </w:tcPr>
          <w:p w14:paraId="59716992"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Times New Roman" w:hAnsi="Arial" w:cs="Arial"/>
                <w:sz w:val="18"/>
                <w:szCs w:val="18"/>
              </w:rPr>
              <w:t>2-20</w:t>
            </w:r>
          </w:p>
        </w:tc>
        <w:tc>
          <w:tcPr>
            <w:tcW w:w="534" w:type="pct"/>
            <w:tcBorders>
              <w:top w:val="single" w:sz="4" w:space="0" w:color="auto"/>
              <w:left w:val="single" w:sz="4" w:space="0" w:color="auto"/>
              <w:bottom w:val="single" w:sz="4" w:space="0" w:color="auto"/>
              <w:right w:val="single" w:sz="4" w:space="0" w:color="auto"/>
            </w:tcBorders>
            <w:hideMark/>
          </w:tcPr>
          <w:p w14:paraId="6EEBE02D"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Times New Roman" w:hAnsi="Arial" w:cs="Arial"/>
                <w:bCs/>
                <w:iCs/>
                <w:sz w:val="18"/>
                <w:szCs w:val="18"/>
                <w:lang w:eastAsia="ja-JP"/>
              </w:rPr>
              <w:t>Maximum uplink duty cycle for FDD+TDD EN-DC power class 2</w:t>
            </w:r>
          </w:p>
        </w:tc>
        <w:tc>
          <w:tcPr>
            <w:tcW w:w="1554" w:type="pct"/>
            <w:tcBorders>
              <w:top w:val="single" w:sz="4" w:space="0" w:color="auto"/>
              <w:left w:val="single" w:sz="4" w:space="0" w:color="auto"/>
              <w:bottom w:val="single" w:sz="4" w:space="0" w:color="auto"/>
              <w:right w:val="single" w:sz="4" w:space="0" w:color="auto"/>
            </w:tcBorders>
            <w:hideMark/>
          </w:tcPr>
          <w:p w14:paraId="6A041A47" w14:textId="77777777" w:rsidR="00EC5B7E" w:rsidRPr="009E6505" w:rsidRDefault="00EC5B7E" w:rsidP="009E6505">
            <w:pPr>
              <w:keepNext/>
              <w:keepLines/>
              <w:widowControl/>
              <w:overflowPunct w:val="0"/>
              <w:autoSpaceDE w:val="0"/>
              <w:autoSpaceDN w:val="0"/>
              <w:adjustRightInd w:val="0"/>
              <w:spacing w:after="180"/>
              <w:jc w:val="left"/>
              <w:rPr>
                <w:rFonts w:ascii="Times New Roman" w:eastAsia="Yu Mincho" w:hAnsi="Times New Roman" w:cs="Arial"/>
                <w:kern w:val="0"/>
                <w:sz w:val="20"/>
                <w:szCs w:val="18"/>
                <w:lang w:val="en-GB"/>
              </w:rPr>
            </w:pPr>
            <w:r w:rsidRPr="009E6505">
              <w:rPr>
                <w:rFonts w:ascii="Arial" w:eastAsia="Yu Mincho" w:hAnsi="Arial" w:cs="Arial"/>
                <w:kern w:val="0"/>
                <w:sz w:val="18"/>
                <w:szCs w:val="18"/>
                <w:lang w:val="en-GB"/>
              </w:rPr>
              <w:t>T</w:t>
            </w:r>
            <w:r w:rsidRPr="009E6505">
              <w:rPr>
                <w:rFonts w:ascii="Arial" w:eastAsia="Times New Roman" w:hAnsi="Arial" w:cs="Arial"/>
                <w:kern w:val="0"/>
                <w:sz w:val="18"/>
                <w:szCs w:val="18"/>
                <w:lang w:val="en-GB" w:eastAsia="ja-JP"/>
              </w:rPr>
              <w:t>he maximum percentage of symbols during a certain evaluation period that can be scheduled for NR uplink transmission and EUTRA FDD uplink transmission so as to ensure compliance with applicable electromagnetic energy absorption requirements provided by regulatory bodies</w:t>
            </w:r>
            <w:r w:rsidRPr="009E6505">
              <w:rPr>
                <w:rFonts w:ascii="Arial" w:eastAsia="Yu Mincho" w:hAnsi="Arial" w:cs="Arial"/>
                <w:kern w:val="0"/>
                <w:sz w:val="18"/>
                <w:szCs w:val="18"/>
                <w:lang w:val="en-GB"/>
              </w:rPr>
              <w:t xml:space="preserve"> </w:t>
            </w:r>
            <w:r w:rsidRPr="009E6505">
              <w:rPr>
                <w:rFonts w:ascii="Arial" w:eastAsia="Times New Roman" w:hAnsi="Arial" w:cs="Arial"/>
                <w:kern w:val="0"/>
                <w:sz w:val="18"/>
                <w:szCs w:val="18"/>
                <w:lang w:val="en-GB" w:eastAsia="ja-JP"/>
              </w:rPr>
              <w:t xml:space="preserve">for </w:t>
            </w:r>
            <w:r w:rsidRPr="009E6505">
              <w:rPr>
                <w:rFonts w:ascii="Arial" w:eastAsia="Times New Roman" w:hAnsi="Arial" w:cs="Arial"/>
                <w:bCs/>
                <w:iCs/>
                <w:kern w:val="0"/>
                <w:sz w:val="18"/>
                <w:szCs w:val="18"/>
                <w:lang w:val="en-GB" w:eastAsia="ja-JP"/>
              </w:rPr>
              <w:t>FDD+TDD EN-DC power class 2 UE</w:t>
            </w:r>
            <w:r w:rsidRPr="009E6505">
              <w:rPr>
                <w:rFonts w:ascii="Arial" w:eastAsia="Times New Roman" w:hAnsi="Arial" w:cs="Arial"/>
                <w:kern w:val="0"/>
                <w:sz w:val="18"/>
                <w:szCs w:val="18"/>
                <w:lang w:val="en-GB" w:eastAsia="ja-JP"/>
              </w:rPr>
              <w:t>.</w:t>
            </w:r>
          </w:p>
        </w:tc>
        <w:tc>
          <w:tcPr>
            <w:tcW w:w="486" w:type="pct"/>
            <w:tcBorders>
              <w:top w:val="single" w:sz="4" w:space="0" w:color="auto"/>
              <w:left w:val="single" w:sz="4" w:space="0" w:color="auto"/>
              <w:bottom w:val="single" w:sz="4" w:space="0" w:color="auto"/>
              <w:right w:val="single" w:sz="4" w:space="0" w:color="auto"/>
            </w:tcBorders>
            <w:hideMark/>
          </w:tcPr>
          <w:p w14:paraId="6FDE2278"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Times New Roman" w:hAnsi="Arial" w:cs="Arial"/>
                <w:sz w:val="18"/>
                <w:szCs w:val="18"/>
                <w:lang w:eastAsia="ja-JP"/>
              </w:rPr>
              <w:t>FR1 only</w:t>
            </w:r>
          </w:p>
        </w:tc>
        <w:tc>
          <w:tcPr>
            <w:tcW w:w="1165" w:type="pct"/>
            <w:tcBorders>
              <w:top w:val="single" w:sz="4" w:space="0" w:color="auto"/>
              <w:left w:val="single" w:sz="4" w:space="0" w:color="auto"/>
              <w:bottom w:val="single" w:sz="4" w:space="0" w:color="auto"/>
              <w:right w:val="single" w:sz="4" w:space="0" w:color="auto"/>
            </w:tcBorders>
          </w:tcPr>
          <w:p w14:paraId="37DD3C06"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Times New Roman"/>
                <w:sz w:val="18"/>
                <w:szCs w:val="20"/>
                <w:lang w:eastAsia="ja-JP"/>
              </w:rPr>
            </w:pPr>
            <w:r w:rsidRPr="009E6505">
              <w:rPr>
                <w:rFonts w:ascii="Arial" w:eastAsia="Times New Roman" w:hAnsi="Arial" w:cs="Arial"/>
                <w:sz w:val="18"/>
                <w:lang w:eastAsia="ja-JP"/>
              </w:rPr>
              <w:t xml:space="preserve">Introduce 2 </w:t>
            </w:r>
            <w:r w:rsidRPr="009E6505">
              <w:rPr>
                <w:rFonts w:ascii="Arial" w:eastAsia="Times New Roman" w:hAnsi="Arial" w:cs="Arial"/>
                <w:sz w:val="18"/>
              </w:rPr>
              <w:t xml:space="preserve">UE capabilities of </w:t>
            </w:r>
            <w:r w:rsidRPr="009E6505">
              <w:rPr>
                <w:rFonts w:ascii="Arial" w:eastAsia="Times New Roman" w:hAnsi="Arial" w:cs="Arial"/>
                <w:i/>
                <w:sz w:val="18"/>
                <w:lang w:eastAsia="ko-KR"/>
              </w:rPr>
              <w:t>maxUplinkDutyCycle</w:t>
            </w:r>
            <w:r w:rsidRPr="009E6505">
              <w:rPr>
                <w:rFonts w:ascii="Arial" w:eastAsia="Times New Roman" w:hAnsi="Arial" w:cs="Arial"/>
                <w:i/>
                <w:sz w:val="18"/>
              </w:rPr>
              <w:t xml:space="preserve">-FDD&amp;TDD-EN-DC1 </w:t>
            </w:r>
            <w:r w:rsidRPr="009E6505">
              <w:rPr>
                <w:rFonts w:ascii="Arial" w:eastAsia="Times New Roman" w:hAnsi="Arial" w:cs="Arial"/>
                <w:sz w:val="18"/>
                <w:lang w:eastAsia="ja-JP"/>
              </w:rPr>
              <w:t xml:space="preserve">and </w:t>
            </w:r>
            <w:r w:rsidRPr="009E6505">
              <w:rPr>
                <w:rFonts w:ascii="Arial" w:eastAsia="Times New Roman" w:hAnsi="Arial" w:cs="Arial"/>
                <w:i/>
                <w:sz w:val="18"/>
                <w:lang w:eastAsia="ko-KR"/>
              </w:rPr>
              <w:t>maxUplinkDutyCycle</w:t>
            </w:r>
            <w:r w:rsidRPr="009E6505">
              <w:rPr>
                <w:rFonts w:ascii="Arial" w:eastAsia="Times New Roman" w:hAnsi="Arial" w:cs="Arial"/>
                <w:i/>
                <w:sz w:val="18"/>
              </w:rPr>
              <w:t xml:space="preserve">-FDD&amp;TDD-EN-DC2 </w:t>
            </w:r>
            <w:r w:rsidRPr="009E6505">
              <w:rPr>
                <w:rFonts w:ascii="Arial" w:eastAsia="Times New Roman" w:hAnsi="Arial" w:cs="Arial"/>
                <w:sz w:val="18"/>
                <w:lang w:eastAsia="ja-JP"/>
              </w:rPr>
              <w:t xml:space="preserve">which indicate the </w:t>
            </w:r>
            <w:r w:rsidRPr="009E6505">
              <w:rPr>
                <w:rFonts w:ascii="Arial" w:eastAsia="Times New Roman" w:hAnsi="Arial" w:cs="Arial"/>
                <w:sz w:val="18"/>
              </w:rPr>
              <w:t>maxUplinkDutyCycle capability of NR band</w:t>
            </w:r>
            <w:r w:rsidRPr="009E6505">
              <w:rPr>
                <w:rFonts w:ascii="Arial" w:eastAsia="Times New Roman" w:hAnsi="Arial" w:cs="Arial"/>
                <w:sz w:val="18"/>
                <w:lang w:eastAsia="ja-JP"/>
              </w:rPr>
              <w:t xml:space="preserve"> corresponding to different LTE reference configurations</w:t>
            </w:r>
            <w:r w:rsidRPr="009E6505">
              <w:rPr>
                <w:rFonts w:ascii="Arial" w:eastAsia="Times New Roman" w:hAnsi="Arial" w:cs="Arial"/>
                <w:sz w:val="18"/>
              </w:rPr>
              <w:t xml:space="preserve"> as described in TS 38.101-3 clause 6.2B.1.3.</w:t>
            </w:r>
          </w:p>
          <w:p w14:paraId="3D547158"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p>
          <w:p w14:paraId="6B8D1B87"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r w:rsidRPr="009E6505">
              <w:rPr>
                <w:rFonts w:ascii="Arial" w:eastAsia="Times New Roman" w:hAnsi="Arial" w:cs="Arial"/>
                <w:sz w:val="18"/>
                <w:lang w:eastAsia="ja-JP"/>
              </w:rPr>
              <w:t>The value range is as below:</w:t>
            </w:r>
          </w:p>
          <w:p w14:paraId="1F65ECBA" w14:textId="77777777" w:rsidR="00EC5B7E" w:rsidRPr="009E6505" w:rsidRDefault="00EC5B7E" w:rsidP="009E6505">
            <w:pPr>
              <w:keepNext/>
              <w:keepLines/>
              <w:widowControl/>
              <w:overflowPunct w:val="0"/>
              <w:autoSpaceDE w:val="0"/>
              <w:autoSpaceDN w:val="0"/>
              <w:adjustRightInd w:val="0"/>
              <w:ind w:left="342" w:hanging="342"/>
              <w:jc w:val="left"/>
              <w:rPr>
                <w:rFonts w:ascii="Arial" w:eastAsia="Times New Roman" w:hAnsi="Arial" w:cs="Arial"/>
                <w:sz w:val="18"/>
                <w:lang w:eastAsia="ja-JP"/>
              </w:rPr>
            </w:pPr>
            <w:r w:rsidRPr="009E6505">
              <w:rPr>
                <w:rFonts w:ascii="Arial" w:eastAsia="Times New Roman" w:hAnsi="Arial" w:cs="Arial"/>
                <w:sz w:val="18"/>
                <w:lang w:eastAsia="ja-JP"/>
              </w:rPr>
              <w:t>-</w:t>
            </w:r>
            <w:r w:rsidRPr="009E6505">
              <w:rPr>
                <w:rFonts w:ascii="Arial" w:eastAsia="Times New Roman" w:hAnsi="Arial" w:cs="Arial"/>
                <w:sz w:val="18"/>
                <w:lang w:eastAsia="ja-JP"/>
              </w:rPr>
              <w:tab/>
              <w:t xml:space="preserve">maxUplinkDutyCycle-FDD&amp;TDD-EN-DC1, maxUplinkDutyCycle-FDD&amp;TDD-EN-DC2 </w:t>
            </w:r>
            <w:r w:rsidRPr="009E6505">
              <w:rPr>
                <w:rFonts w:ascii="Cambria Math" w:eastAsia="Times New Roman" w:hAnsi="Cambria Math" w:cs="Cambria Math"/>
                <w:sz w:val="18"/>
                <w:lang w:eastAsia="ja-JP"/>
              </w:rPr>
              <w:t>∈</w:t>
            </w:r>
            <w:r w:rsidRPr="009E6505">
              <w:rPr>
                <w:rFonts w:ascii="Arial" w:eastAsia="Times New Roman" w:hAnsi="Arial" w:cs="Arial"/>
                <w:sz w:val="18"/>
                <w:lang w:eastAsia="ja-JP"/>
              </w:rPr>
              <w:t xml:space="preserve"> {30%, 40%, 50%, 60%, 70%, 80%, 90%, 100%}</w:t>
            </w:r>
          </w:p>
          <w:p w14:paraId="24375797" w14:textId="77777777" w:rsidR="00EC5B7E" w:rsidRPr="009E6505" w:rsidRDefault="00EC5B7E" w:rsidP="009E6505">
            <w:pPr>
              <w:keepNext/>
              <w:keepLines/>
              <w:widowControl/>
              <w:overflowPunct w:val="0"/>
              <w:autoSpaceDE w:val="0"/>
              <w:autoSpaceDN w:val="0"/>
              <w:adjustRightInd w:val="0"/>
              <w:ind w:left="342" w:hanging="342"/>
              <w:jc w:val="left"/>
              <w:rPr>
                <w:rFonts w:ascii="Arial" w:eastAsia="Times New Roman" w:hAnsi="Arial" w:cs="Arial"/>
                <w:sz w:val="18"/>
                <w:lang w:eastAsia="ja-JP"/>
              </w:rPr>
            </w:pPr>
          </w:p>
          <w:p w14:paraId="7A280249"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r w:rsidRPr="009E6505">
              <w:rPr>
                <w:rFonts w:ascii="Arial" w:eastAsia="Times New Roman" w:hAnsi="Arial" w:cs="Arial"/>
                <w:sz w:val="18"/>
                <w:lang w:eastAsia="ja-JP"/>
              </w:rPr>
              <w:t>This field is only applicable for inter-band FDD+TDD EN-DC power class 2 UE as specified in TS 38.101-3.</w:t>
            </w:r>
          </w:p>
        </w:tc>
        <w:tc>
          <w:tcPr>
            <w:tcW w:w="437" w:type="pct"/>
            <w:tcBorders>
              <w:top w:val="single" w:sz="4" w:space="0" w:color="auto"/>
              <w:left w:val="single" w:sz="4" w:space="0" w:color="auto"/>
              <w:bottom w:val="single" w:sz="4" w:space="0" w:color="auto"/>
              <w:right w:val="single" w:sz="4" w:space="0" w:color="auto"/>
            </w:tcBorders>
            <w:hideMark/>
          </w:tcPr>
          <w:p w14:paraId="6BECA0D4"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宋体" w:hAnsi="Arial" w:cs="Arial"/>
                <w:sz w:val="18"/>
                <w:szCs w:val="18"/>
              </w:rPr>
              <w:t>Optional with capability signalling</w:t>
            </w:r>
          </w:p>
        </w:tc>
        <w:tc>
          <w:tcPr>
            <w:tcW w:w="437" w:type="pct"/>
            <w:tcBorders>
              <w:top w:val="single" w:sz="4" w:space="0" w:color="auto"/>
              <w:left w:val="single" w:sz="4" w:space="0" w:color="auto"/>
              <w:bottom w:val="single" w:sz="4" w:space="0" w:color="auto"/>
              <w:right w:val="single" w:sz="4" w:space="0" w:color="auto"/>
            </w:tcBorders>
          </w:tcPr>
          <w:p w14:paraId="62270ECF" w14:textId="77777777" w:rsidR="00EC5B7E" w:rsidRPr="009E6505" w:rsidRDefault="00EC5B7E" w:rsidP="009E6505">
            <w:pPr>
              <w:keepNext/>
              <w:keepLines/>
              <w:widowControl/>
              <w:overflowPunct w:val="0"/>
              <w:autoSpaceDE w:val="0"/>
              <w:autoSpaceDN w:val="0"/>
              <w:adjustRightInd w:val="0"/>
              <w:jc w:val="left"/>
              <w:rPr>
                <w:rFonts w:ascii="Arial" w:eastAsia="宋体" w:hAnsi="Arial" w:cs="Arial"/>
                <w:sz w:val="18"/>
                <w:szCs w:val="18"/>
              </w:rPr>
            </w:pPr>
          </w:p>
        </w:tc>
      </w:tr>
      <w:tr w:rsidR="00EC5B7E" w:rsidRPr="009E6505" w14:paraId="320AB955" w14:textId="0F6FF8DD" w:rsidTr="00DE2ABB">
        <w:tc>
          <w:tcPr>
            <w:tcW w:w="193" w:type="pct"/>
            <w:tcBorders>
              <w:top w:val="single" w:sz="4" w:space="0" w:color="auto"/>
              <w:left w:val="single" w:sz="4" w:space="0" w:color="auto"/>
              <w:bottom w:val="single" w:sz="4" w:space="0" w:color="auto"/>
              <w:right w:val="single" w:sz="4" w:space="0" w:color="auto"/>
            </w:tcBorders>
          </w:tcPr>
          <w:p w14:paraId="6D6C7381" w14:textId="77777777" w:rsidR="00EC5B7E" w:rsidRPr="00C64A12"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194" w:type="pct"/>
            <w:tcBorders>
              <w:top w:val="single" w:sz="4" w:space="0" w:color="auto"/>
              <w:left w:val="single" w:sz="4" w:space="0" w:color="auto"/>
              <w:bottom w:val="single" w:sz="4" w:space="0" w:color="auto"/>
              <w:right w:val="single" w:sz="4" w:space="0" w:color="auto"/>
            </w:tcBorders>
            <w:hideMark/>
          </w:tcPr>
          <w:p w14:paraId="74980848" w14:textId="77777777" w:rsidR="00EC5B7E" w:rsidRPr="00C64A12" w:rsidRDefault="00EC5B7E" w:rsidP="009E6505">
            <w:pPr>
              <w:keepNext/>
              <w:keepLines/>
              <w:widowControl/>
              <w:overflowPunct w:val="0"/>
              <w:autoSpaceDE w:val="0"/>
              <w:autoSpaceDN w:val="0"/>
              <w:adjustRightInd w:val="0"/>
              <w:jc w:val="left"/>
              <w:rPr>
                <w:rFonts w:ascii="Arial" w:eastAsia="Times New Roman" w:hAnsi="Arial" w:cs="Arial"/>
                <w:sz w:val="18"/>
                <w:szCs w:val="18"/>
              </w:rPr>
            </w:pPr>
            <w:r w:rsidRPr="00C64A12">
              <w:rPr>
                <w:rFonts w:ascii="Arial" w:eastAsia="Times New Roman" w:hAnsi="Arial" w:cs="Arial"/>
                <w:sz w:val="18"/>
              </w:rPr>
              <w:t>2-21</w:t>
            </w:r>
          </w:p>
        </w:tc>
        <w:tc>
          <w:tcPr>
            <w:tcW w:w="534" w:type="pct"/>
            <w:tcBorders>
              <w:top w:val="single" w:sz="4" w:space="0" w:color="auto"/>
              <w:left w:val="single" w:sz="4" w:space="0" w:color="auto"/>
              <w:bottom w:val="single" w:sz="4" w:space="0" w:color="auto"/>
              <w:right w:val="single" w:sz="4" w:space="0" w:color="auto"/>
            </w:tcBorders>
            <w:hideMark/>
          </w:tcPr>
          <w:p w14:paraId="0782AC11" w14:textId="77777777" w:rsidR="00EC5B7E" w:rsidRPr="00C64A12" w:rsidRDefault="00EC5B7E" w:rsidP="009E6505">
            <w:pPr>
              <w:keepNext/>
              <w:keepLines/>
              <w:widowControl/>
              <w:overflowPunct w:val="0"/>
              <w:autoSpaceDE w:val="0"/>
              <w:autoSpaceDN w:val="0"/>
              <w:adjustRightInd w:val="0"/>
              <w:jc w:val="left"/>
              <w:rPr>
                <w:rFonts w:ascii="Arial" w:eastAsia="Times New Roman" w:hAnsi="Arial" w:cs="Arial"/>
                <w:bCs/>
                <w:iCs/>
                <w:sz w:val="18"/>
                <w:szCs w:val="18"/>
                <w:lang w:eastAsia="ja-JP"/>
              </w:rPr>
            </w:pPr>
            <w:r w:rsidRPr="00C64A12">
              <w:rPr>
                <w:rFonts w:ascii="Arial" w:eastAsia="Times New Roman" w:hAnsi="Arial" w:cs="Arial"/>
                <w:bCs/>
                <w:iCs/>
                <w:sz w:val="18"/>
              </w:rPr>
              <w:t>Transparent Tx Diversity</w:t>
            </w:r>
          </w:p>
        </w:tc>
        <w:tc>
          <w:tcPr>
            <w:tcW w:w="1554" w:type="pct"/>
            <w:tcBorders>
              <w:top w:val="single" w:sz="4" w:space="0" w:color="auto"/>
              <w:left w:val="single" w:sz="4" w:space="0" w:color="auto"/>
              <w:bottom w:val="single" w:sz="4" w:space="0" w:color="auto"/>
              <w:right w:val="single" w:sz="4" w:space="0" w:color="auto"/>
            </w:tcBorders>
            <w:hideMark/>
          </w:tcPr>
          <w:p w14:paraId="3B0FD008" w14:textId="77777777" w:rsidR="00EC5B7E" w:rsidRPr="00C64A12" w:rsidRDefault="00EC5B7E" w:rsidP="009E6505">
            <w:pPr>
              <w:keepNext/>
              <w:keepLines/>
              <w:widowControl/>
              <w:overflowPunct w:val="0"/>
              <w:autoSpaceDE w:val="0"/>
              <w:autoSpaceDN w:val="0"/>
              <w:adjustRightInd w:val="0"/>
              <w:spacing w:after="180"/>
              <w:jc w:val="left"/>
              <w:rPr>
                <w:rFonts w:ascii="Arial" w:eastAsia="Yu Mincho" w:hAnsi="Arial" w:cs="Arial"/>
                <w:kern w:val="0"/>
                <w:sz w:val="18"/>
                <w:szCs w:val="18"/>
                <w:lang w:val="en-GB"/>
              </w:rPr>
            </w:pPr>
            <w:r w:rsidRPr="00C64A12">
              <w:rPr>
                <w:rFonts w:ascii="Arial" w:eastAsia="Yu Mincho" w:hAnsi="Arial" w:cs="Arial"/>
                <w:kern w:val="0"/>
                <w:sz w:val="18"/>
                <w:szCs w:val="20"/>
                <w:lang w:val="en-GB"/>
              </w:rPr>
              <w:t xml:space="preserve">Indicates whether the UE supports Tx diversity requirements as specified in TS 38.101-1. </w:t>
            </w:r>
            <w:r w:rsidRPr="00C64A12">
              <w:rPr>
                <w:rFonts w:ascii="Arial" w:eastAsia="Times New Roman" w:hAnsi="Arial" w:cs="Arial"/>
                <w:kern w:val="0"/>
                <w:sz w:val="18"/>
                <w:szCs w:val="18"/>
                <w:lang w:val="en-GB" w:eastAsia="ja-JP"/>
              </w:rPr>
              <w:t>The capability applies to all power classes equally in all the applicable releases via a release independent manner</w:t>
            </w:r>
            <w:r w:rsidRPr="00C64A12">
              <w:rPr>
                <w:rFonts w:ascii="Arial" w:eastAsia="Yu Mincho" w:hAnsi="Arial" w:cs="Arial"/>
                <w:kern w:val="0"/>
                <w:sz w:val="18"/>
                <w:szCs w:val="18"/>
                <w:lang w:val="en-GB"/>
              </w:rPr>
              <w:t>.</w:t>
            </w:r>
          </w:p>
        </w:tc>
        <w:tc>
          <w:tcPr>
            <w:tcW w:w="486" w:type="pct"/>
            <w:tcBorders>
              <w:top w:val="single" w:sz="4" w:space="0" w:color="auto"/>
              <w:left w:val="single" w:sz="4" w:space="0" w:color="auto"/>
              <w:bottom w:val="single" w:sz="4" w:space="0" w:color="auto"/>
              <w:right w:val="single" w:sz="4" w:space="0" w:color="auto"/>
            </w:tcBorders>
            <w:hideMark/>
          </w:tcPr>
          <w:p w14:paraId="77E46929" w14:textId="77777777" w:rsidR="00EC5B7E" w:rsidRPr="00C64A12"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C64A12">
              <w:rPr>
                <w:rFonts w:ascii="Arial" w:eastAsia="Times New Roman" w:hAnsi="Arial" w:cs="Arial"/>
                <w:sz w:val="18"/>
                <w:szCs w:val="18"/>
                <w:lang w:eastAsia="ja-JP"/>
              </w:rPr>
              <w:t>FR1 only</w:t>
            </w:r>
          </w:p>
        </w:tc>
        <w:tc>
          <w:tcPr>
            <w:tcW w:w="1165" w:type="pct"/>
            <w:tcBorders>
              <w:top w:val="single" w:sz="4" w:space="0" w:color="auto"/>
              <w:left w:val="single" w:sz="4" w:space="0" w:color="auto"/>
              <w:bottom w:val="single" w:sz="4" w:space="0" w:color="auto"/>
              <w:right w:val="single" w:sz="4" w:space="0" w:color="auto"/>
            </w:tcBorders>
          </w:tcPr>
          <w:p w14:paraId="10A33592" w14:textId="77777777" w:rsidR="00EC5B7E" w:rsidRPr="00C64A12" w:rsidRDefault="00EC5B7E" w:rsidP="009E6505">
            <w:pPr>
              <w:keepNext/>
              <w:keepLines/>
              <w:widowControl/>
              <w:overflowPunct w:val="0"/>
              <w:autoSpaceDE w:val="0"/>
              <w:autoSpaceDN w:val="0"/>
              <w:adjustRightInd w:val="0"/>
              <w:jc w:val="left"/>
              <w:rPr>
                <w:rFonts w:ascii="Arial" w:eastAsia="Times New Roman" w:hAnsi="Arial" w:cs="Times New Roman"/>
                <w:sz w:val="18"/>
                <w:szCs w:val="20"/>
                <w:lang w:eastAsia="ja-JP"/>
              </w:rPr>
            </w:pPr>
          </w:p>
        </w:tc>
        <w:tc>
          <w:tcPr>
            <w:tcW w:w="437" w:type="pct"/>
            <w:tcBorders>
              <w:top w:val="single" w:sz="4" w:space="0" w:color="auto"/>
              <w:left w:val="single" w:sz="4" w:space="0" w:color="auto"/>
              <w:bottom w:val="single" w:sz="4" w:space="0" w:color="auto"/>
              <w:right w:val="single" w:sz="4" w:space="0" w:color="auto"/>
            </w:tcBorders>
            <w:hideMark/>
          </w:tcPr>
          <w:p w14:paraId="604AD643" w14:textId="77777777" w:rsidR="00EC5B7E" w:rsidRPr="00C64A12" w:rsidRDefault="00EC5B7E" w:rsidP="009E6505">
            <w:pPr>
              <w:keepNext/>
              <w:keepLines/>
              <w:widowControl/>
              <w:overflowPunct w:val="0"/>
              <w:autoSpaceDE w:val="0"/>
              <w:autoSpaceDN w:val="0"/>
              <w:adjustRightInd w:val="0"/>
              <w:jc w:val="left"/>
              <w:rPr>
                <w:rFonts w:ascii="Arial" w:eastAsia="宋体" w:hAnsi="Arial" w:cs="Arial"/>
                <w:sz w:val="18"/>
                <w:szCs w:val="18"/>
              </w:rPr>
            </w:pPr>
            <w:r w:rsidRPr="00C64A12">
              <w:rPr>
                <w:rFonts w:ascii="Arial" w:eastAsia="宋体" w:hAnsi="Arial" w:cs="Arial"/>
                <w:sz w:val="18"/>
                <w:szCs w:val="18"/>
              </w:rPr>
              <w:t>Optional with capability signalling</w:t>
            </w:r>
          </w:p>
        </w:tc>
        <w:tc>
          <w:tcPr>
            <w:tcW w:w="437" w:type="pct"/>
            <w:tcBorders>
              <w:top w:val="single" w:sz="4" w:space="0" w:color="auto"/>
              <w:left w:val="single" w:sz="4" w:space="0" w:color="auto"/>
              <w:bottom w:val="single" w:sz="4" w:space="0" w:color="auto"/>
              <w:right w:val="single" w:sz="4" w:space="0" w:color="auto"/>
            </w:tcBorders>
          </w:tcPr>
          <w:p w14:paraId="55AAEBB5" w14:textId="77777777" w:rsidR="00EC5B7E" w:rsidRPr="00C64A12" w:rsidRDefault="00EC5B7E" w:rsidP="009E6505">
            <w:pPr>
              <w:keepNext/>
              <w:keepLines/>
              <w:widowControl/>
              <w:overflowPunct w:val="0"/>
              <w:autoSpaceDE w:val="0"/>
              <w:autoSpaceDN w:val="0"/>
              <w:adjustRightInd w:val="0"/>
              <w:jc w:val="left"/>
              <w:rPr>
                <w:rFonts w:ascii="Arial" w:eastAsia="宋体" w:hAnsi="Arial" w:cs="Arial"/>
                <w:sz w:val="18"/>
                <w:szCs w:val="18"/>
              </w:rPr>
            </w:pPr>
          </w:p>
        </w:tc>
      </w:tr>
      <w:tr w:rsidR="00EC5B7E" w:rsidRPr="009E6505" w14:paraId="0C4A48C5" w14:textId="19216C27" w:rsidTr="00DE2ABB">
        <w:tc>
          <w:tcPr>
            <w:tcW w:w="193" w:type="pct"/>
            <w:tcBorders>
              <w:top w:val="single" w:sz="4" w:space="0" w:color="auto"/>
              <w:left w:val="single" w:sz="4" w:space="0" w:color="auto"/>
              <w:bottom w:val="single" w:sz="4" w:space="0" w:color="auto"/>
              <w:right w:val="single" w:sz="4" w:space="0" w:color="auto"/>
            </w:tcBorders>
          </w:tcPr>
          <w:p w14:paraId="6074C86B"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p>
        </w:tc>
        <w:tc>
          <w:tcPr>
            <w:tcW w:w="194" w:type="pct"/>
            <w:tcBorders>
              <w:top w:val="single" w:sz="4" w:space="0" w:color="auto"/>
              <w:left w:val="single" w:sz="4" w:space="0" w:color="auto"/>
              <w:bottom w:val="single" w:sz="4" w:space="0" w:color="auto"/>
              <w:right w:val="single" w:sz="4" w:space="0" w:color="auto"/>
            </w:tcBorders>
            <w:hideMark/>
          </w:tcPr>
          <w:p w14:paraId="7B39A934"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rPr>
            </w:pPr>
            <w:r w:rsidRPr="009E6505">
              <w:rPr>
                <w:rFonts w:ascii="Arial" w:eastAsia="Times New Roman" w:hAnsi="Arial" w:cs="Arial"/>
                <w:sz w:val="18"/>
                <w:szCs w:val="18"/>
              </w:rPr>
              <w:t>2-22 (RAN2)</w:t>
            </w:r>
          </w:p>
        </w:tc>
        <w:tc>
          <w:tcPr>
            <w:tcW w:w="534" w:type="pct"/>
            <w:tcBorders>
              <w:top w:val="single" w:sz="4" w:space="0" w:color="auto"/>
              <w:left w:val="single" w:sz="4" w:space="0" w:color="auto"/>
              <w:bottom w:val="single" w:sz="4" w:space="0" w:color="auto"/>
              <w:right w:val="single" w:sz="4" w:space="0" w:color="auto"/>
            </w:tcBorders>
          </w:tcPr>
          <w:p w14:paraId="6E1D2527"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bCs/>
                <w:iCs/>
                <w:sz w:val="18"/>
                <w:szCs w:val="18"/>
                <w:lang w:eastAsia="ja-JP"/>
              </w:rPr>
            </w:pPr>
          </w:p>
        </w:tc>
        <w:tc>
          <w:tcPr>
            <w:tcW w:w="1554" w:type="pct"/>
            <w:tcBorders>
              <w:top w:val="single" w:sz="4" w:space="0" w:color="auto"/>
              <w:left w:val="single" w:sz="4" w:space="0" w:color="auto"/>
              <w:bottom w:val="single" w:sz="4" w:space="0" w:color="auto"/>
              <w:right w:val="single" w:sz="4" w:space="0" w:color="auto"/>
            </w:tcBorders>
            <w:hideMark/>
          </w:tcPr>
          <w:p w14:paraId="6F272D58" w14:textId="77777777" w:rsidR="00EC5B7E" w:rsidRPr="009E6505" w:rsidRDefault="00EC5B7E" w:rsidP="009E6505">
            <w:pPr>
              <w:keepNext/>
              <w:keepLines/>
              <w:widowControl/>
              <w:overflowPunct w:val="0"/>
              <w:autoSpaceDE w:val="0"/>
              <w:autoSpaceDN w:val="0"/>
              <w:adjustRightInd w:val="0"/>
              <w:spacing w:after="180"/>
              <w:jc w:val="left"/>
              <w:rPr>
                <w:rFonts w:ascii="Arial" w:eastAsia="Times New Roman" w:hAnsi="Arial" w:cs="Arial"/>
                <w:kern w:val="0"/>
                <w:sz w:val="18"/>
                <w:szCs w:val="18"/>
                <w:lang w:val="en-GB" w:eastAsia="ja-JP"/>
              </w:rPr>
            </w:pPr>
            <w:r w:rsidRPr="009E6505">
              <w:rPr>
                <w:rFonts w:ascii="Arial" w:eastAsia="Times New Roman" w:hAnsi="Arial" w:cs="Arial"/>
                <w:kern w:val="0"/>
                <w:sz w:val="18"/>
                <w:szCs w:val="18"/>
                <w:lang w:val="en-GB" w:eastAsia="ja-JP"/>
              </w:rPr>
              <w:t xml:space="preserve">Indicates power class 1.5 the UE supports when operating according to this band combination. If the field is absent, the UE supports the default power class. If this power class is higher than the power class that the UE supports on the individual bands of this band combination </w:t>
            </w:r>
            <w:r w:rsidRPr="009E6505">
              <w:rPr>
                <w:rFonts w:ascii="Arial" w:eastAsia="Times New Roman" w:hAnsi="Arial" w:cs="Arial"/>
                <w:i/>
                <w:iCs/>
                <w:kern w:val="0"/>
                <w:sz w:val="18"/>
                <w:szCs w:val="18"/>
                <w:lang w:val="en-GB" w:eastAsia="ja-JP"/>
              </w:rPr>
              <w:t>(ue-PowerClass in BandNR</w:t>
            </w:r>
            <w:r w:rsidRPr="009E6505">
              <w:rPr>
                <w:rFonts w:ascii="Arial" w:eastAsia="Times New Roman" w:hAnsi="Arial" w:cs="Arial"/>
                <w:kern w:val="0"/>
                <w:sz w:val="18"/>
                <w:szCs w:val="18"/>
                <w:lang w:val="en-GB" w:eastAsia="ja-JP"/>
              </w:rPr>
              <w:t>), the latter determines maximum TX power available in each band.</w:t>
            </w:r>
          </w:p>
        </w:tc>
        <w:tc>
          <w:tcPr>
            <w:tcW w:w="486" w:type="pct"/>
            <w:tcBorders>
              <w:top w:val="single" w:sz="4" w:space="0" w:color="auto"/>
              <w:left w:val="single" w:sz="4" w:space="0" w:color="auto"/>
              <w:bottom w:val="single" w:sz="4" w:space="0" w:color="auto"/>
              <w:right w:val="single" w:sz="4" w:space="0" w:color="auto"/>
            </w:tcBorders>
            <w:hideMark/>
          </w:tcPr>
          <w:p w14:paraId="036F63E9"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szCs w:val="18"/>
                <w:lang w:eastAsia="ja-JP"/>
              </w:rPr>
            </w:pPr>
            <w:r w:rsidRPr="009E6505">
              <w:rPr>
                <w:rFonts w:ascii="Arial" w:eastAsia="Times New Roman" w:hAnsi="Arial" w:cs="Arial"/>
                <w:sz w:val="18"/>
                <w:szCs w:val="18"/>
                <w:lang w:eastAsia="ja-JP"/>
              </w:rPr>
              <w:t>FR1 only</w:t>
            </w:r>
          </w:p>
        </w:tc>
        <w:tc>
          <w:tcPr>
            <w:tcW w:w="1165" w:type="pct"/>
            <w:tcBorders>
              <w:top w:val="single" w:sz="4" w:space="0" w:color="auto"/>
              <w:left w:val="single" w:sz="4" w:space="0" w:color="auto"/>
              <w:bottom w:val="single" w:sz="4" w:space="0" w:color="auto"/>
              <w:right w:val="single" w:sz="4" w:space="0" w:color="auto"/>
            </w:tcBorders>
          </w:tcPr>
          <w:p w14:paraId="6358823D" w14:textId="77777777" w:rsidR="00EC5B7E" w:rsidRPr="009E6505" w:rsidRDefault="00EC5B7E" w:rsidP="009E6505">
            <w:pPr>
              <w:widowControl/>
              <w:overflowPunct w:val="0"/>
              <w:autoSpaceDE w:val="0"/>
              <w:autoSpaceDN w:val="0"/>
              <w:adjustRightInd w:val="0"/>
              <w:spacing w:afterLines="50" w:after="156"/>
              <w:jc w:val="left"/>
              <w:rPr>
                <w:rFonts w:ascii="Arial" w:eastAsia="Times New Roman" w:hAnsi="Arial" w:cs="Arial"/>
                <w:kern w:val="0"/>
                <w:sz w:val="18"/>
                <w:szCs w:val="18"/>
                <w:lang w:val="en-GB" w:eastAsia="ja-JP"/>
              </w:rPr>
            </w:pPr>
          </w:p>
        </w:tc>
        <w:tc>
          <w:tcPr>
            <w:tcW w:w="437" w:type="pct"/>
            <w:tcBorders>
              <w:top w:val="single" w:sz="4" w:space="0" w:color="auto"/>
              <w:left w:val="single" w:sz="4" w:space="0" w:color="auto"/>
              <w:bottom w:val="single" w:sz="4" w:space="0" w:color="auto"/>
              <w:right w:val="single" w:sz="4" w:space="0" w:color="auto"/>
            </w:tcBorders>
            <w:hideMark/>
          </w:tcPr>
          <w:p w14:paraId="55893886" w14:textId="77777777" w:rsidR="00EC5B7E" w:rsidRPr="009E6505" w:rsidRDefault="00EC5B7E" w:rsidP="009E6505">
            <w:pPr>
              <w:keepNext/>
              <w:keepLines/>
              <w:widowControl/>
              <w:overflowPunct w:val="0"/>
              <w:autoSpaceDE w:val="0"/>
              <w:autoSpaceDN w:val="0"/>
              <w:adjustRightInd w:val="0"/>
              <w:jc w:val="left"/>
              <w:rPr>
                <w:rFonts w:ascii="Arial" w:eastAsia="宋体" w:hAnsi="Arial" w:cs="Arial"/>
                <w:sz w:val="18"/>
                <w:szCs w:val="18"/>
              </w:rPr>
            </w:pPr>
            <w:r w:rsidRPr="009E6505">
              <w:rPr>
                <w:rFonts w:ascii="Arial" w:eastAsia="宋体" w:hAnsi="Arial" w:cs="Arial"/>
                <w:sz w:val="18"/>
                <w:szCs w:val="18"/>
              </w:rPr>
              <w:t>Optional with capability signalling</w:t>
            </w:r>
          </w:p>
        </w:tc>
        <w:tc>
          <w:tcPr>
            <w:tcW w:w="437" w:type="pct"/>
            <w:tcBorders>
              <w:top w:val="single" w:sz="4" w:space="0" w:color="auto"/>
              <w:left w:val="single" w:sz="4" w:space="0" w:color="auto"/>
              <w:bottom w:val="single" w:sz="4" w:space="0" w:color="auto"/>
              <w:right w:val="single" w:sz="4" w:space="0" w:color="auto"/>
            </w:tcBorders>
          </w:tcPr>
          <w:p w14:paraId="323ECF23" w14:textId="77777777" w:rsidR="00EC5B7E" w:rsidRPr="009E6505" w:rsidRDefault="00EC5B7E" w:rsidP="009E6505">
            <w:pPr>
              <w:keepNext/>
              <w:keepLines/>
              <w:widowControl/>
              <w:overflowPunct w:val="0"/>
              <w:autoSpaceDE w:val="0"/>
              <w:autoSpaceDN w:val="0"/>
              <w:adjustRightInd w:val="0"/>
              <w:jc w:val="left"/>
              <w:rPr>
                <w:rFonts w:ascii="Arial" w:eastAsia="宋体" w:hAnsi="Arial" w:cs="Arial"/>
                <w:sz w:val="18"/>
                <w:szCs w:val="18"/>
              </w:rPr>
            </w:pPr>
          </w:p>
        </w:tc>
      </w:tr>
      <w:tr w:rsidR="00EC5B7E" w:rsidRPr="009E6505" w14:paraId="11FDA7E0" w14:textId="2E9D49AF" w:rsidTr="00DE2ABB">
        <w:tc>
          <w:tcPr>
            <w:tcW w:w="193" w:type="pct"/>
            <w:tcBorders>
              <w:top w:val="single" w:sz="4" w:space="0" w:color="auto"/>
              <w:left w:val="single" w:sz="4" w:space="0" w:color="auto"/>
              <w:bottom w:val="single" w:sz="4" w:space="0" w:color="auto"/>
              <w:right w:val="single" w:sz="4" w:space="0" w:color="auto"/>
            </w:tcBorders>
          </w:tcPr>
          <w:p w14:paraId="18D66A1C"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Times New Roman"/>
                <w:sz w:val="18"/>
                <w:szCs w:val="20"/>
                <w:lang w:eastAsia="ja-JP"/>
              </w:rPr>
            </w:pPr>
          </w:p>
        </w:tc>
        <w:tc>
          <w:tcPr>
            <w:tcW w:w="194" w:type="pct"/>
            <w:tcBorders>
              <w:top w:val="single" w:sz="4" w:space="0" w:color="auto"/>
              <w:left w:val="single" w:sz="4" w:space="0" w:color="auto"/>
              <w:bottom w:val="single" w:sz="4" w:space="0" w:color="auto"/>
              <w:right w:val="single" w:sz="4" w:space="0" w:color="auto"/>
            </w:tcBorders>
            <w:hideMark/>
          </w:tcPr>
          <w:p w14:paraId="74B18504"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rPr>
            </w:pPr>
            <w:r w:rsidRPr="009E6505">
              <w:rPr>
                <w:rFonts w:ascii="Arial" w:eastAsia="Times New Roman" w:hAnsi="Arial" w:cs="Arial"/>
                <w:sz w:val="18"/>
              </w:rPr>
              <w:t>2-23 (RAN 2)</w:t>
            </w:r>
          </w:p>
        </w:tc>
        <w:tc>
          <w:tcPr>
            <w:tcW w:w="534" w:type="pct"/>
            <w:tcBorders>
              <w:top w:val="single" w:sz="4" w:space="0" w:color="auto"/>
              <w:left w:val="single" w:sz="4" w:space="0" w:color="auto"/>
              <w:bottom w:val="single" w:sz="4" w:space="0" w:color="auto"/>
              <w:right w:val="single" w:sz="4" w:space="0" w:color="auto"/>
            </w:tcBorders>
          </w:tcPr>
          <w:p w14:paraId="5948EA48"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bCs/>
                <w:iCs/>
                <w:sz w:val="18"/>
                <w:lang w:eastAsia="ja-JP"/>
              </w:rPr>
            </w:pPr>
          </w:p>
        </w:tc>
        <w:tc>
          <w:tcPr>
            <w:tcW w:w="1554" w:type="pct"/>
            <w:tcBorders>
              <w:top w:val="single" w:sz="4" w:space="0" w:color="auto"/>
              <w:left w:val="single" w:sz="4" w:space="0" w:color="auto"/>
              <w:bottom w:val="single" w:sz="4" w:space="0" w:color="auto"/>
              <w:right w:val="single" w:sz="4" w:space="0" w:color="auto"/>
            </w:tcBorders>
          </w:tcPr>
          <w:p w14:paraId="5D50A180"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r w:rsidRPr="009E6505">
              <w:rPr>
                <w:rFonts w:ascii="Arial" w:eastAsia="Times New Roman" w:hAnsi="Arial" w:cs="Arial"/>
                <w:sz w:val="18"/>
                <w:lang w:eastAsia="ja-JP"/>
              </w:rPr>
              <w:t>Indicates NR part power class the UE supports when operating according to this band combination.</w:t>
            </w:r>
          </w:p>
          <w:p w14:paraId="79508111"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p>
          <w:p w14:paraId="207453A7"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r w:rsidRPr="009E6505">
              <w:rPr>
                <w:rFonts w:ascii="Arial" w:eastAsia="Times New Roman" w:hAnsi="Arial" w:cs="Arial"/>
                <w:sz w:val="18"/>
                <w:lang w:eastAsia="ja-JP"/>
              </w:rPr>
              <w:t>This field only applies for MR-DC BCs containing only single CC or intra-band CA in NR side in this release.</w:t>
            </w:r>
          </w:p>
        </w:tc>
        <w:tc>
          <w:tcPr>
            <w:tcW w:w="486" w:type="pct"/>
            <w:tcBorders>
              <w:top w:val="single" w:sz="4" w:space="0" w:color="auto"/>
              <w:left w:val="single" w:sz="4" w:space="0" w:color="auto"/>
              <w:bottom w:val="single" w:sz="4" w:space="0" w:color="auto"/>
              <w:right w:val="single" w:sz="4" w:space="0" w:color="auto"/>
            </w:tcBorders>
            <w:hideMark/>
          </w:tcPr>
          <w:p w14:paraId="2A3BCC4F"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r w:rsidRPr="009E6505">
              <w:rPr>
                <w:rFonts w:ascii="Arial" w:eastAsia="Times New Roman" w:hAnsi="Arial" w:cs="Arial"/>
                <w:sz w:val="18"/>
                <w:lang w:eastAsia="ja-JP"/>
              </w:rPr>
              <w:t>FR1 only</w:t>
            </w:r>
          </w:p>
        </w:tc>
        <w:tc>
          <w:tcPr>
            <w:tcW w:w="1165" w:type="pct"/>
            <w:tcBorders>
              <w:top w:val="single" w:sz="4" w:space="0" w:color="auto"/>
              <w:left w:val="single" w:sz="4" w:space="0" w:color="auto"/>
              <w:bottom w:val="single" w:sz="4" w:space="0" w:color="auto"/>
              <w:right w:val="single" w:sz="4" w:space="0" w:color="auto"/>
            </w:tcBorders>
          </w:tcPr>
          <w:p w14:paraId="5319B8E8" w14:textId="77777777" w:rsidR="00EC5B7E" w:rsidRPr="009E6505" w:rsidRDefault="00EC5B7E" w:rsidP="009E6505">
            <w:pPr>
              <w:keepNext/>
              <w:keepLines/>
              <w:widowControl/>
              <w:overflowPunct w:val="0"/>
              <w:autoSpaceDE w:val="0"/>
              <w:autoSpaceDN w:val="0"/>
              <w:adjustRightInd w:val="0"/>
              <w:jc w:val="left"/>
              <w:rPr>
                <w:rFonts w:ascii="Arial" w:eastAsia="Times New Roman" w:hAnsi="Arial" w:cs="Arial"/>
                <w:sz w:val="18"/>
                <w:lang w:eastAsia="ja-JP"/>
              </w:rPr>
            </w:pPr>
          </w:p>
        </w:tc>
        <w:tc>
          <w:tcPr>
            <w:tcW w:w="437" w:type="pct"/>
            <w:tcBorders>
              <w:top w:val="single" w:sz="4" w:space="0" w:color="auto"/>
              <w:left w:val="single" w:sz="4" w:space="0" w:color="auto"/>
              <w:bottom w:val="single" w:sz="4" w:space="0" w:color="auto"/>
              <w:right w:val="single" w:sz="4" w:space="0" w:color="auto"/>
            </w:tcBorders>
            <w:hideMark/>
          </w:tcPr>
          <w:p w14:paraId="1CD77DB1" w14:textId="77777777" w:rsidR="00EC5B7E" w:rsidRPr="009E6505" w:rsidRDefault="00EC5B7E" w:rsidP="009E6505">
            <w:pPr>
              <w:keepNext/>
              <w:keepLines/>
              <w:widowControl/>
              <w:overflowPunct w:val="0"/>
              <w:autoSpaceDE w:val="0"/>
              <w:autoSpaceDN w:val="0"/>
              <w:adjustRightInd w:val="0"/>
              <w:jc w:val="left"/>
              <w:rPr>
                <w:rFonts w:ascii="Arial" w:eastAsia="宋体" w:hAnsi="Arial" w:cs="Arial"/>
                <w:sz w:val="18"/>
              </w:rPr>
            </w:pPr>
            <w:r w:rsidRPr="009E6505">
              <w:rPr>
                <w:rFonts w:ascii="Arial" w:eastAsia="宋体" w:hAnsi="Arial" w:cs="Arial"/>
                <w:sz w:val="18"/>
              </w:rPr>
              <w:t>Optional with capability signalling</w:t>
            </w:r>
          </w:p>
        </w:tc>
        <w:tc>
          <w:tcPr>
            <w:tcW w:w="437" w:type="pct"/>
            <w:tcBorders>
              <w:top w:val="single" w:sz="4" w:space="0" w:color="auto"/>
              <w:left w:val="single" w:sz="4" w:space="0" w:color="auto"/>
              <w:bottom w:val="single" w:sz="4" w:space="0" w:color="auto"/>
              <w:right w:val="single" w:sz="4" w:space="0" w:color="auto"/>
            </w:tcBorders>
          </w:tcPr>
          <w:p w14:paraId="63207B7D" w14:textId="77777777" w:rsidR="00EC5B7E" w:rsidRPr="009E6505" w:rsidRDefault="00EC5B7E" w:rsidP="009E6505">
            <w:pPr>
              <w:keepNext/>
              <w:keepLines/>
              <w:widowControl/>
              <w:overflowPunct w:val="0"/>
              <w:autoSpaceDE w:val="0"/>
              <w:autoSpaceDN w:val="0"/>
              <w:adjustRightInd w:val="0"/>
              <w:jc w:val="left"/>
              <w:rPr>
                <w:rFonts w:ascii="Arial" w:eastAsia="宋体" w:hAnsi="Arial" w:cs="Arial"/>
                <w:sz w:val="18"/>
              </w:rPr>
            </w:pPr>
          </w:p>
        </w:tc>
      </w:tr>
    </w:tbl>
    <w:p w14:paraId="66BBE9BB" w14:textId="77777777" w:rsidR="009E6505" w:rsidRPr="009C2C82" w:rsidRDefault="009E6505" w:rsidP="009C2C82"/>
    <w:p w14:paraId="00FAA4E9" w14:textId="0AFC5CA7" w:rsidR="007C0DA3" w:rsidRDefault="007C0DA3" w:rsidP="007C0DA3">
      <w:pPr>
        <w:pStyle w:val="Heading2"/>
      </w:pPr>
      <w:r w:rsidRPr="00BB3EAC">
        <w:t>2.</w:t>
      </w:r>
      <w:r w:rsidR="00164612">
        <w:t>3</w:t>
      </w:r>
      <w:r w:rsidRPr="00BB3EAC">
        <w:t xml:space="preserve"> </w:t>
      </w:r>
      <w:r>
        <w:t>R17 feature list</w:t>
      </w:r>
    </w:p>
    <w:p w14:paraId="51588A83" w14:textId="075CC049" w:rsidR="00164612" w:rsidRPr="00B334DF" w:rsidRDefault="00164612" w:rsidP="00B334DF">
      <w:pPr>
        <w:spacing w:before="120" w:after="120"/>
        <w:rPr>
          <w:rFonts w:ascii="Times New Roman" w:hAnsi="Times New Roman" w:cs="Times New Roman"/>
        </w:rPr>
      </w:pPr>
      <w:r w:rsidRPr="00B334DF">
        <w:rPr>
          <w:rFonts w:ascii="Times New Roman" w:hAnsi="Times New Roman" w:cs="Times New Roman"/>
        </w:rPr>
        <w:t>Following table list all the feature in TR 38.822 for R17 RF part. Observations are listed as below:</w:t>
      </w:r>
    </w:p>
    <w:p w14:paraId="6628B249" w14:textId="38989016" w:rsidR="007A65E7" w:rsidRPr="00B334DF" w:rsidRDefault="00C861CE" w:rsidP="00B334DF">
      <w:pPr>
        <w:pStyle w:val="ListParagraph"/>
        <w:numPr>
          <w:ilvl w:val="0"/>
          <w:numId w:val="15"/>
        </w:numPr>
        <w:spacing w:before="120" w:after="120"/>
        <w:ind w:firstLineChars="0"/>
        <w:rPr>
          <w:rFonts w:ascii="Times New Roman" w:hAnsi="Times New Roman" w:cs="Times New Roman"/>
        </w:rPr>
      </w:pPr>
      <w:r w:rsidRPr="00B334DF">
        <w:rPr>
          <w:rFonts w:ascii="Times New Roman" w:hAnsi="Times New Roman" w:cs="Times New Roman"/>
        </w:rPr>
        <w:t>A</w:t>
      </w:r>
      <w:r w:rsidR="007A65E7" w:rsidRPr="00B334DF">
        <w:rPr>
          <w:rFonts w:ascii="Times New Roman" w:hAnsi="Times New Roman" w:cs="Times New Roman"/>
        </w:rPr>
        <w:t xml:space="preserve">ll </w:t>
      </w:r>
      <w:r w:rsidR="00164612" w:rsidRPr="00B334DF">
        <w:rPr>
          <w:rFonts w:ascii="Times New Roman" w:hAnsi="Times New Roman" w:cs="Times New Roman"/>
        </w:rPr>
        <w:t xml:space="preserve">R17 feature are </w:t>
      </w:r>
      <w:r w:rsidR="007A65E7" w:rsidRPr="00B334DF">
        <w:rPr>
          <w:rFonts w:ascii="Times New Roman" w:hAnsi="Times New Roman" w:cs="Times New Roman"/>
        </w:rPr>
        <w:t xml:space="preserve">band combinations </w:t>
      </w:r>
      <w:r w:rsidR="00164612" w:rsidRPr="00B334DF">
        <w:rPr>
          <w:rFonts w:ascii="Times New Roman" w:hAnsi="Times New Roman" w:cs="Times New Roman"/>
        </w:rPr>
        <w:t xml:space="preserve">related </w:t>
      </w:r>
      <w:r w:rsidR="007A65E7" w:rsidRPr="00B334DF">
        <w:rPr>
          <w:rFonts w:ascii="Times New Roman" w:hAnsi="Times New Roman" w:cs="Times New Roman"/>
        </w:rPr>
        <w:t xml:space="preserve">and </w:t>
      </w:r>
      <w:r w:rsidR="00164612" w:rsidRPr="00B334DF">
        <w:rPr>
          <w:rFonts w:ascii="Times New Roman" w:hAnsi="Times New Roman" w:cs="Times New Roman"/>
        </w:rPr>
        <w:t xml:space="preserve">all </w:t>
      </w:r>
      <w:r w:rsidR="007A65E7" w:rsidRPr="00B334DF">
        <w:rPr>
          <w:rFonts w:ascii="Times New Roman" w:hAnsi="Times New Roman" w:cs="Times New Roman"/>
        </w:rPr>
        <w:t>as optional.</w:t>
      </w:r>
    </w:p>
    <w:p w14:paraId="16A92FE0" w14:textId="637C926D" w:rsidR="00CB585E" w:rsidRPr="00B334DF" w:rsidRDefault="00CB585E" w:rsidP="00B334DF">
      <w:pPr>
        <w:pStyle w:val="ListParagraph"/>
        <w:numPr>
          <w:ilvl w:val="0"/>
          <w:numId w:val="15"/>
        </w:numPr>
        <w:spacing w:before="120" w:after="120"/>
        <w:ind w:firstLineChars="0"/>
        <w:rPr>
          <w:rFonts w:ascii="Times New Roman" w:hAnsi="Times New Roman" w:cs="Times New Roman"/>
        </w:rPr>
      </w:pPr>
      <w:r w:rsidRPr="00B334DF">
        <w:rPr>
          <w:rFonts w:ascii="Times New Roman" w:hAnsi="Times New Roman" w:cs="Times New Roman"/>
        </w:rPr>
        <w:t>Features could be categorized as below</w:t>
      </w:r>
    </w:p>
    <w:p w14:paraId="1C730CF4" w14:textId="7BFF69DE" w:rsidR="00186F68" w:rsidRPr="00B334DF" w:rsidRDefault="00186F68" w:rsidP="00B334DF">
      <w:pPr>
        <w:pStyle w:val="ListParagraph"/>
        <w:numPr>
          <w:ilvl w:val="1"/>
          <w:numId w:val="15"/>
        </w:numPr>
        <w:spacing w:before="120" w:after="120"/>
        <w:ind w:firstLineChars="0"/>
        <w:rPr>
          <w:rFonts w:ascii="Times New Roman" w:hAnsi="Times New Roman" w:cs="Times New Roman"/>
        </w:rPr>
      </w:pPr>
      <w:r w:rsidRPr="00B334DF">
        <w:rPr>
          <w:rFonts w:ascii="Times New Roman" w:hAnsi="Times New Roman" w:cs="Times New Roman"/>
        </w:rPr>
        <w:t>Dynamic Tx switching</w:t>
      </w:r>
      <w:r w:rsidR="00CB585E" w:rsidRPr="00B334DF">
        <w:rPr>
          <w:rFonts w:ascii="Times New Roman" w:hAnsi="Times New Roman" w:cs="Times New Roman"/>
        </w:rPr>
        <w:t xml:space="preserve"> related feature, i.e.</w:t>
      </w:r>
      <w:r w:rsidR="007B67EB" w:rsidRPr="00B334DF">
        <w:rPr>
          <w:rFonts w:ascii="Times New Roman" w:hAnsi="Times New Roman" w:cs="Times New Roman"/>
        </w:rPr>
        <w:t xml:space="preserve"> </w:t>
      </w:r>
      <w:r w:rsidR="00CB585E" w:rsidRPr="00B334DF">
        <w:rPr>
          <w:rFonts w:ascii="Times New Roman" w:hAnsi="Times New Roman" w:cs="Times New Roman"/>
        </w:rPr>
        <w:t xml:space="preserve">Tx switching period, </w:t>
      </w:r>
      <w:r w:rsidRPr="00B334DF">
        <w:rPr>
          <w:rFonts w:ascii="Times New Roman" w:hAnsi="Times New Roman" w:cs="Times New Roman"/>
        </w:rPr>
        <w:t>DL interruption</w:t>
      </w:r>
      <w:r w:rsidR="007B67EB" w:rsidRPr="00B334DF">
        <w:rPr>
          <w:rFonts w:ascii="Times New Roman" w:hAnsi="Times New Roman" w:cs="Times New Roman"/>
        </w:rPr>
        <w:t xml:space="preserve"> and MIMO</w:t>
      </w:r>
      <w:r w:rsidRPr="00B334DF">
        <w:rPr>
          <w:rFonts w:ascii="Times New Roman" w:hAnsi="Times New Roman" w:cs="Times New Roman"/>
        </w:rPr>
        <w:t xml:space="preserve"> </w:t>
      </w:r>
      <w:r w:rsidR="00CB585E" w:rsidRPr="00B334DF">
        <w:rPr>
          <w:rFonts w:ascii="Times New Roman" w:hAnsi="Times New Roman" w:cs="Times New Roman"/>
        </w:rPr>
        <w:t xml:space="preserve">coherent </w:t>
      </w:r>
      <w:r w:rsidRPr="00B334DF">
        <w:rPr>
          <w:rFonts w:ascii="Times New Roman" w:hAnsi="Times New Roman" w:cs="Times New Roman"/>
        </w:rPr>
        <w:t>related</w:t>
      </w:r>
      <w:r w:rsidR="00CB585E" w:rsidRPr="00B334DF">
        <w:rPr>
          <w:rFonts w:ascii="Times New Roman" w:hAnsi="Times New Roman" w:cs="Times New Roman"/>
        </w:rPr>
        <w:t xml:space="preserve"> features</w:t>
      </w:r>
      <w:r w:rsidRPr="00B334DF">
        <w:rPr>
          <w:rFonts w:ascii="Times New Roman" w:hAnsi="Times New Roman" w:cs="Times New Roman"/>
        </w:rPr>
        <w:t>;</w:t>
      </w:r>
    </w:p>
    <w:p w14:paraId="4EA0B6A3" w14:textId="08DB666F" w:rsidR="007A65E7" w:rsidRPr="00B334DF" w:rsidRDefault="007A65E7" w:rsidP="00B334DF">
      <w:pPr>
        <w:pStyle w:val="ListParagraph"/>
        <w:numPr>
          <w:ilvl w:val="1"/>
          <w:numId w:val="15"/>
        </w:numPr>
        <w:spacing w:before="120" w:after="120"/>
        <w:ind w:firstLineChars="0"/>
        <w:rPr>
          <w:rFonts w:ascii="Times New Roman" w:hAnsi="Times New Roman" w:cs="Times New Roman"/>
        </w:rPr>
      </w:pPr>
      <w:r w:rsidRPr="00B334DF">
        <w:rPr>
          <w:rFonts w:ascii="Times New Roman" w:hAnsi="Times New Roman" w:cs="Times New Roman"/>
        </w:rPr>
        <w:t>UE power class</w:t>
      </w:r>
      <w:r w:rsidR="00C861CE" w:rsidRPr="00B334DF">
        <w:rPr>
          <w:rFonts w:ascii="Times New Roman" w:hAnsi="Times New Roman" w:cs="Times New Roman"/>
        </w:rPr>
        <w:t xml:space="preserve">/power related </w:t>
      </w:r>
      <w:r w:rsidR="00CB585E" w:rsidRPr="00B334DF">
        <w:rPr>
          <w:rFonts w:ascii="Times New Roman" w:hAnsi="Times New Roman" w:cs="Times New Roman"/>
        </w:rPr>
        <w:t xml:space="preserve">feature, i.e. </w:t>
      </w:r>
    </w:p>
    <w:p w14:paraId="1DECF43E" w14:textId="0E7B31FC" w:rsidR="00B334DF" w:rsidRDefault="00B334DF" w:rsidP="00B334DF">
      <w:pPr>
        <w:spacing w:before="120" w:after="120"/>
        <w:rPr>
          <w:rFonts w:ascii="Times New Roman" w:hAnsi="Times New Roman" w:cs="Times New Roman"/>
          <w:b/>
          <w:bCs/>
        </w:rPr>
      </w:pPr>
      <w:r w:rsidRPr="00B334DF">
        <w:rPr>
          <w:rFonts w:ascii="Times New Roman" w:hAnsi="Times New Roman" w:cs="Times New Roman"/>
          <w:b/>
          <w:bCs/>
        </w:rPr>
        <w:t xml:space="preserve">Observation </w:t>
      </w:r>
      <w:r w:rsidR="00C64A12">
        <w:rPr>
          <w:rFonts w:ascii="Times New Roman" w:hAnsi="Times New Roman" w:cs="Times New Roman"/>
          <w:b/>
          <w:bCs/>
        </w:rPr>
        <w:t>3</w:t>
      </w:r>
      <w:r w:rsidRPr="00B334DF">
        <w:rPr>
          <w:rFonts w:ascii="Times New Roman" w:hAnsi="Times New Roman" w:cs="Times New Roman"/>
          <w:b/>
          <w:bCs/>
        </w:rPr>
        <w:t>: all R17 UE RF features are band combination related feature and all are optional.</w:t>
      </w:r>
    </w:p>
    <w:p w14:paraId="7DE3A666" w14:textId="204AA434" w:rsidR="002E1112" w:rsidRPr="002E1112" w:rsidRDefault="002E1112" w:rsidP="00B334DF">
      <w:pPr>
        <w:spacing w:before="120" w:after="120"/>
        <w:rPr>
          <w:rFonts w:ascii="Times New Roman" w:hAnsi="Times New Roman" w:cs="Times New Roman"/>
        </w:rPr>
      </w:pPr>
      <w:r w:rsidRPr="002E1112">
        <w:rPr>
          <w:rFonts w:ascii="Times New Roman" w:hAnsi="Times New Roman" w:cs="Times New Roman"/>
        </w:rPr>
        <w:t xml:space="preserve">Following list the feature </w:t>
      </w:r>
      <w:r>
        <w:rPr>
          <w:rFonts w:ascii="Times New Roman" w:hAnsi="Times New Roman" w:cs="Times New Roman"/>
        </w:rPr>
        <w:t>list for information and last column is the recommendation for NCR-MT feature.</w:t>
      </w:r>
    </w:p>
    <w:p w14:paraId="7B7F4FA4" w14:textId="2C1890E5" w:rsidR="00CC03F9" w:rsidRPr="00CC03F9" w:rsidRDefault="00CC03F9" w:rsidP="00CC03F9">
      <w:pPr>
        <w:keepNext/>
        <w:keepLines/>
        <w:widowControl/>
        <w:overflowPunct w:val="0"/>
        <w:autoSpaceDE w:val="0"/>
        <w:autoSpaceDN w:val="0"/>
        <w:adjustRightInd w:val="0"/>
        <w:spacing w:before="60" w:after="180"/>
        <w:jc w:val="center"/>
        <w:rPr>
          <w:rFonts w:ascii="Arial" w:eastAsia="Times New Roman" w:hAnsi="Arial" w:cs="Arial"/>
          <w:b/>
          <w:lang w:eastAsia="ja-JP"/>
        </w:rPr>
      </w:pPr>
      <w:r w:rsidRPr="00CC03F9">
        <w:rPr>
          <w:rFonts w:ascii="Arial" w:eastAsia="Times New Roman" w:hAnsi="Arial" w:cs="Arial"/>
          <w:b/>
          <w:lang w:eastAsia="ja-JP"/>
        </w:rPr>
        <w:lastRenderedPageBreak/>
        <w:t xml:space="preserve">Table 6.3.3-1: RF Feature List for </w:t>
      </w:r>
      <w:r w:rsidRPr="00CC03F9">
        <w:rPr>
          <w:rFonts w:ascii="Arial" w:eastAsia="Times New Roman" w:hAnsi="Arial" w:cs="Arial"/>
          <w:b/>
          <w:lang w:eastAsia="ko-KR"/>
        </w:rPr>
        <w:t>NR_RF_FR1_enh</w:t>
      </w:r>
    </w:p>
    <w:tbl>
      <w:tblPr>
        <w:tblW w:w="44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687"/>
        <w:gridCol w:w="1207"/>
        <w:gridCol w:w="1854"/>
        <w:gridCol w:w="1416"/>
        <w:gridCol w:w="1417"/>
        <w:gridCol w:w="1117"/>
        <w:gridCol w:w="1907"/>
        <w:gridCol w:w="1907"/>
      </w:tblGrid>
      <w:tr w:rsidR="00CC03F9" w:rsidRPr="00CC03F9" w14:paraId="78E7E907" w14:textId="488ECE50" w:rsidTr="00CC03F9">
        <w:tc>
          <w:tcPr>
            <w:tcW w:w="629" w:type="pct"/>
            <w:tcBorders>
              <w:top w:val="single" w:sz="4" w:space="0" w:color="auto"/>
              <w:left w:val="single" w:sz="4" w:space="0" w:color="auto"/>
              <w:bottom w:val="single" w:sz="4" w:space="0" w:color="auto"/>
              <w:right w:val="single" w:sz="4" w:space="0" w:color="auto"/>
            </w:tcBorders>
            <w:hideMark/>
          </w:tcPr>
          <w:p w14:paraId="5E1F4A73"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lastRenderedPageBreak/>
              <w:t>Features</w:t>
            </w:r>
          </w:p>
        </w:tc>
        <w:tc>
          <w:tcPr>
            <w:tcW w:w="261" w:type="pct"/>
            <w:tcBorders>
              <w:top w:val="single" w:sz="4" w:space="0" w:color="auto"/>
              <w:left w:val="single" w:sz="4" w:space="0" w:color="auto"/>
              <w:bottom w:val="single" w:sz="4" w:space="0" w:color="auto"/>
              <w:right w:val="single" w:sz="4" w:space="0" w:color="auto"/>
            </w:tcBorders>
            <w:hideMark/>
          </w:tcPr>
          <w:p w14:paraId="717811FD"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Index</w:t>
            </w:r>
          </w:p>
        </w:tc>
        <w:tc>
          <w:tcPr>
            <w:tcW w:w="458" w:type="pct"/>
            <w:tcBorders>
              <w:top w:val="single" w:sz="4" w:space="0" w:color="auto"/>
              <w:left w:val="single" w:sz="4" w:space="0" w:color="auto"/>
              <w:bottom w:val="single" w:sz="4" w:space="0" w:color="auto"/>
              <w:right w:val="single" w:sz="4" w:space="0" w:color="auto"/>
            </w:tcBorders>
            <w:hideMark/>
          </w:tcPr>
          <w:p w14:paraId="26570C8D"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Feature group</w:t>
            </w:r>
          </w:p>
        </w:tc>
        <w:tc>
          <w:tcPr>
            <w:tcW w:w="704" w:type="pct"/>
            <w:tcBorders>
              <w:top w:val="single" w:sz="4" w:space="0" w:color="auto"/>
              <w:left w:val="single" w:sz="4" w:space="0" w:color="auto"/>
              <w:bottom w:val="single" w:sz="4" w:space="0" w:color="auto"/>
              <w:right w:val="single" w:sz="4" w:space="0" w:color="auto"/>
            </w:tcBorders>
            <w:hideMark/>
          </w:tcPr>
          <w:p w14:paraId="74893797"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Components</w:t>
            </w:r>
          </w:p>
        </w:tc>
        <w:tc>
          <w:tcPr>
            <w:tcW w:w="538" w:type="pct"/>
            <w:tcBorders>
              <w:top w:val="single" w:sz="4" w:space="0" w:color="auto"/>
              <w:left w:val="single" w:sz="4" w:space="0" w:color="auto"/>
              <w:bottom w:val="single" w:sz="4" w:space="0" w:color="auto"/>
              <w:right w:val="single" w:sz="4" w:space="0" w:color="auto"/>
            </w:tcBorders>
            <w:hideMark/>
          </w:tcPr>
          <w:p w14:paraId="6D274F90"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Need of FDD/TDD differentiation</w:t>
            </w:r>
          </w:p>
        </w:tc>
        <w:tc>
          <w:tcPr>
            <w:tcW w:w="538" w:type="pct"/>
            <w:tcBorders>
              <w:top w:val="single" w:sz="4" w:space="0" w:color="auto"/>
              <w:left w:val="single" w:sz="4" w:space="0" w:color="auto"/>
              <w:bottom w:val="single" w:sz="4" w:space="0" w:color="auto"/>
              <w:right w:val="single" w:sz="4" w:space="0" w:color="auto"/>
            </w:tcBorders>
            <w:hideMark/>
          </w:tcPr>
          <w:p w14:paraId="18242A86"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Need of FR1/FR2 differentiation</w:t>
            </w:r>
          </w:p>
        </w:tc>
        <w:tc>
          <w:tcPr>
            <w:tcW w:w="424" w:type="pct"/>
            <w:tcBorders>
              <w:top w:val="single" w:sz="4" w:space="0" w:color="auto"/>
              <w:left w:val="single" w:sz="4" w:space="0" w:color="auto"/>
              <w:bottom w:val="single" w:sz="4" w:space="0" w:color="auto"/>
              <w:right w:val="single" w:sz="4" w:space="0" w:color="auto"/>
            </w:tcBorders>
            <w:hideMark/>
          </w:tcPr>
          <w:p w14:paraId="3E800DC1" w14:textId="77777777"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Note</w:t>
            </w:r>
          </w:p>
        </w:tc>
        <w:tc>
          <w:tcPr>
            <w:tcW w:w="724" w:type="pct"/>
            <w:tcBorders>
              <w:top w:val="single" w:sz="4" w:space="0" w:color="auto"/>
              <w:left w:val="single" w:sz="4" w:space="0" w:color="auto"/>
              <w:bottom w:val="single" w:sz="4" w:space="0" w:color="auto"/>
              <w:right w:val="single" w:sz="4" w:space="0" w:color="auto"/>
            </w:tcBorders>
            <w:hideMark/>
          </w:tcPr>
          <w:p w14:paraId="519C6BFF" w14:textId="239ED109"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Mandatory/Optional</w:t>
            </w:r>
            <w:r>
              <w:rPr>
                <w:rFonts w:ascii="Arial" w:eastAsia="Times New Roman" w:hAnsi="Arial" w:cs="Arial"/>
                <w:b/>
                <w:sz w:val="18"/>
                <w:lang w:eastAsia="ja-JP"/>
              </w:rPr>
              <w:t xml:space="preserve"> for UE</w:t>
            </w:r>
          </w:p>
        </w:tc>
        <w:tc>
          <w:tcPr>
            <w:tcW w:w="724" w:type="pct"/>
            <w:tcBorders>
              <w:top w:val="single" w:sz="4" w:space="0" w:color="auto"/>
              <w:left w:val="single" w:sz="4" w:space="0" w:color="auto"/>
              <w:bottom w:val="single" w:sz="4" w:space="0" w:color="auto"/>
              <w:right w:val="single" w:sz="4" w:space="0" w:color="auto"/>
            </w:tcBorders>
          </w:tcPr>
          <w:p w14:paraId="298DA377" w14:textId="4A1FE83A" w:rsidR="00CC03F9" w:rsidRPr="00CC03F9" w:rsidRDefault="00CC03F9" w:rsidP="00CC03F9">
            <w:pPr>
              <w:keepNext/>
              <w:keepLines/>
              <w:widowControl/>
              <w:overflowPunct w:val="0"/>
              <w:autoSpaceDE w:val="0"/>
              <w:autoSpaceDN w:val="0"/>
              <w:adjustRightInd w:val="0"/>
              <w:jc w:val="center"/>
              <w:rPr>
                <w:rFonts w:ascii="Arial" w:eastAsia="Times New Roman" w:hAnsi="Arial" w:cs="Arial"/>
                <w:b/>
                <w:sz w:val="18"/>
                <w:lang w:eastAsia="ja-JP"/>
              </w:rPr>
            </w:pPr>
            <w:r w:rsidRPr="00CC03F9">
              <w:rPr>
                <w:rFonts w:ascii="Arial" w:eastAsia="Times New Roman" w:hAnsi="Arial" w:cs="Arial"/>
                <w:b/>
                <w:sz w:val="18"/>
                <w:lang w:eastAsia="ja-JP"/>
              </w:rPr>
              <w:t>Mandatory/Optional</w:t>
            </w:r>
            <w:r>
              <w:rPr>
                <w:rFonts w:ascii="Arial" w:eastAsia="Times New Roman" w:hAnsi="Arial" w:cs="Arial"/>
                <w:b/>
                <w:sz w:val="18"/>
                <w:lang w:eastAsia="ja-JP"/>
              </w:rPr>
              <w:t xml:space="preserve"> for NCR-MT</w:t>
            </w:r>
          </w:p>
        </w:tc>
      </w:tr>
      <w:tr w:rsidR="00CC03F9" w:rsidRPr="00CC03F9" w14:paraId="69006E38" w14:textId="39C4C759" w:rsidTr="00CC03F9">
        <w:tc>
          <w:tcPr>
            <w:tcW w:w="629" w:type="pct"/>
            <w:tcBorders>
              <w:top w:val="single" w:sz="4" w:space="0" w:color="auto"/>
              <w:left w:val="single" w:sz="4" w:space="0" w:color="auto"/>
              <w:bottom w:val="single" w:sz="4" w:space="0" w:color="auto"/>
              <w:right w:val="single" w:sz="4" w:space="0" w:color="auto"/>
            </w:tcBorders>
            <w:hideMark/>
          </w:tcPr>
          <w:p w14:paraId="73E3B81D"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 NR_RF_FR1_enh</w:t>
            </w:r>
          </w:p>
        </w:tc>
        <w:tc>
          <w:tcPr>
            <w:tcW w:w="261" w:type="pct"/>
            <w:tcBorders>
              <w:top w:val="single" w:sz="4" w:space="0" w:color="auto"/>
              <w:left w:val="single" w:sz="4" w:space="0" w:color="auto"/>
              <w:bottom w:val="single" w:sz="4" w:space="0" w:color="auto"/>
              <w:right w:val="single" w:sz="4" w:space="0" w:color="auto"/>
            </w:tcBorders>
            <w:hideMark/>
          </w:tcPr>
          <w:p w14:paraId="021B1312"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16-1</w:t>
            </w:r>
          </w:p>
        </w:tc>
        <w:tc>
          <w:tcPr>
            <w:tcW w:w="458" w:type="pct"/>
            <w:tcBorders>
              <w:top w:val="single" w:sz="4" w:space="0" w:color="auto"/>
              <w:left w:val="single" w:sz="4" w:space="0" w:color="auto"/>
              <w:bottom w:val="single" w:sz="4" w:space="0" w:color="auto"/>
              <w:right w:val="single" w:sz="4" w:space="0" w:color="auto"/>
            </w:tcBorders>
            <w:hideMark/>
          </w:tcPr>
          <w:p w14:paraId="63B7479E"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Dynamic Tx switching between 2CC 2Tx-2Tx switching</w:t>
            </w:r>
          </w:p>
        </w:tc>
        <w:tc>
          <w:tcPr>
            <w:tcW w:w="704" w:type="pct"/>
            <w:tcBorders>
              <w:top w:val="single" w:sz="4" w:space="0" w:color="auto"/>
              <w:left w:val="single" w:sz="4" w:space="0" w:color="auto"/>
              <w:bottom w:val="single" w:sz="4" w:space="0" w:color="auto"/>
              <w:right w:val="single" w:sz="4" w:space="0" w:color="auto"/>
            </w:tcBorders>
            <w:hideMark/>
          </w:tcPr>
          <w:p w14:paraId="09436D71"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Indicate the supported switching period for dynamic UL Tx switching between two uplink carriers with two transmit antenna connectors in inter-band UL CA or SUL</w:t>
            </w:r>
          </w:p>
        </w:tc>
        <w:tc>
          <w:tcPr>
            <w:tcW w:w="538" w:type="pct"/>
            <w:tcBorders>
              <w:top w:val="single" w:sz="4" w:space="0" w:color="auto"/>
              <w:left w:val="single" w:sz="4" w:space="0" w:color="auto"/>
              <w:bottom w:val="single" w:sz="4" w:space="0" w:color="auto"/>
              <w:right w:val="single" w:sz="4" w:space="0" w:color="auto"/>
            </w:tcBorders>
            <w:hideMark/>
          </w:tcPr>
          <w:p w14:paraId="3F196E90"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 need</w:t>
            </w:r>
          </w:p>
        </w:tc>
        <w:tc>
          <w:tcPr>
            <w:tcW w:w="538" w:type="pct"/>
            <w:tcBorders>
              <w:top w:val="single" w:sz="4" w:space="0" w:color="auto"/>
              <w:left w:val="single" w:sz="4" w:space="0" w:color="auto"/>
              <w:bottom w:val="single" w:sz="4" w:space="0" w:color="auto"/>
              <w:right w:val="single" w:sz="4" w:space="0" w:color="auto"/>
            </w:tcBorders>
            <w:hideMark/>
          </w:tcPr>
          <w:p w14:paraId="4DB372B0"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Applicable only to FR1</w:t>
            </w:r>
          </w:p>
        </w:tc>
        <w:tc>
          <w:tcPr>
            <w:tcW w:w="424" w:type="pct"/>
            <w:tcBorders>
              <w:top w:val="single" w:sz="4" w:space="0" w:color="auto"/>
              <w:left w:val="single" w:sz="4" w:space="0" w:color="auto"/>
              <w:bottom w:val="single" w:sz="4" w:space="0" w:color="auto"/>
              <w:right w:val="single" w:sz="4" w:space="0" w:color="auto"/>
            </w:tcBorders>
          </w:tcPr>
          <w:p w14:paraId="7843A4BF"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Candidate value set: {35us, 140 us, 210us}</w:t>
            </w:r>
          </w:p>
          <w:p w14:paraId="56143948"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p>
          <w:p w14:paraId="60E66FC6"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Detailed information can refer to the LS to RAN2 in R4-2103234 and R4-2107847.</w:t>
            </w:r>
          </w:p>
        </w:tc>
        <w:tc>
          <w:tcPr>
            <w:tcW w:w="724" w:type="pct"/>
            <w:tcBorders>
              <w:top w:val="single" w:sz="4" w:space="0" w:color="auto"/>
              <w:left w:val="single" w:sz="4" w:space="0" w:color="auto"/>
              <w:bottom w:val="single" w:sz="4" w:space="0" w:color="auto"/>
              <w:right w:val="single" w:sz="4" w:space="0" w:color="auto"/>
            </w:tcBorders>
          </w:tcPr>
          <w:p w14:paraId="035AD8FF"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p w14:paraId="4F436EDA" w14:textId="77777777" w:rsidR="00CC03F9" w:rsidRPr="00CC03F9" w:rsidRDefault="00CC03F9" w:rsidP="00CC03F9">
            <w:pPr>
              <w:keepNext/>
              <w:keepLines/>
              <w:widowControl/>
              <w:overflowPunct w:val="0"/>
              <w:autoSpaceDE w:val="0"/>
              <w:autoSpaceDN w:val="0"/>
              <w:adjustRightInd w:val="0"/>
              <w:jc w:val="left"/>
              <w:rPr>
                <w:rFonts w:ascii="Arial" w:eastAsia="Times New Roman" w:hAnsi="Arial" w:cs="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4D20873C" w14:textId="610BFF25" w:rsidR="00CC03F9" w:rsidRPr="004133CD" w:rsidRDefault="004133CD" w:rsidP="00CC03F9">
            <w:pPr>
              <w:keepNext/>
              <w:keepLines/>
              <w:widowControl/>
              <w:overflowPunct w:val="0"/>
              <w:autoSpaceDE w:val="0"/>
              <w:autoSpaceDN w:val="0"/>
              <w:adjustRightInd w:val="0"/>
              <w:jc w:val="left"/>
              <w:rPr>
                <w:rFonts w:ascii="Arial" w:hAnsi="Arial" w:cs="Arial"/>
                <w:sz w:val="18"/>
              </w:rPr>
            </w:pPr>
            <w:r>
              <w:rPr>
                <w:rFonts w:ascii="Arial" w:hAnsi="Arial" w:cs="Arial"/>
                <w:sz w:val="18"/>
              </w:rPr>
              <w:t>Depends on whether NCR-MT support band combinations.</w:t>
            </w:r>
          </w:p>
        </w:tc>
      </w:tr>
      <w:tr w:rsidR="005F63DC" w:rsidRPr="00CC03F9" w14:paraId="69367EBD" w14:textId="73F0E3D5" w:rsidTr="00CC03F9">
        <w:tc>
          <w:tcPr>
            <w:tcW w:w="629" w:type="pct"/>
            <w:tcBorders>
              <w:top w:val="single" w:sz="4" w:space="0" w:color="auto"/>
              <w:left w:val="single" w:sz="4" w:space="0" w:color="auto"/>
              <w:bottom w:val="single" w:sz="4" w:space="0" w:color="auto"/>
              <w:right w:val="single" w:sz="4" w:space="0" w:color="auto"/>
            </w:tcBorders>
            <w:hideMark/>
          </w:tcPr>
          <w:p w14:paraId="5091500E"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 NR_RF_FR1_enh</w:t>
            </w:r>
          </w:p>
        </w:tc>
        <w:tc>
          <w:tcPr>
            <w:tcW w:w="261" w:type="pct"/>
            <w:tcBorders>
              <w:top w:val="single" w:sz="4" w:space="0" w:color="auto"/>
              <w:left w:val="single" w:sz="4" w:space="0" w:color="auto"/>
              <w:bottom w:val="single" w:sz="4" w:space="0" w:color="auto"/>
              <w:right w:val="single" w:sz="4" w:space="0" w:color="auto"/>
            </w:tcBorders>
            <w:hideMark/>
          </w:tcPr>
          <w:p w14:paraId="71B910A2"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16-2</w:t>
            </w:r>
          </w:p>
        </w:tc>
        <w:tc>
          <w:tcPr>
            <w:tcW w:w="458" w:type="pct"/>
            <w:tcBorders>
              <w:top w:val="single" w:sz="4" w:space="0" w:color="auto"/>
              <w:left w:val="single" w:sz="4" w:space="0" w:color="auto"/>
              <w:bottom w:val="single" w:sz="4" w:space="0" w:color="auto"/>
              <w:right w:val="single" w:sz="4" w:space="0" w:color="auto"/>
            </w:tcBorders>
            <w:hideMark/>
          </w:tcPr>
          <w:p w14:paraId="63C0181A"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 xml:space="preserve">Dynamic Tx switching between 3CC 1Tx-2Tx switching </w:t>
            </w:r>
          </w:p>
        </w:tc>
        <w:tc>
          <w:tcPr>
            <w:tcW w:w="704" w:type="pct"/>
            <w:tcBorders>
              <w:top w:val="single" w:sz="4" w:space="0" w:color="auto"/>
              <w:left w:val="single" w:sz="4" w:space="0" w:color="auto"/>
              <w:bottom w:val="single" w:sz="4" w:space="0" w:color="auto"/>
              <w:right w:val="single" w:sz="4" w:space="0" w:color="auto"/>
            </w:tcBorders>
            <w:hideMark/>
          </w:tcPr>
          <w:p w14:paraId="5B698405"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Indicate the supported switching period for dynamic UL Tx switching between one band (with one carrier) capable of one transmit antenna connector and one band (with two carriers) capable of two transmit antenna connectors in inter-band UL CA or SUL</w:t>
            </w:r>
          </w:p>
        </w:tc>
        <w:tc>
          <w:tcPr>
            <w:tcW w:w="538" w:type="pct"/>
            <w:tcBorders>
              <w:top w:val="single" w:sz="4" w:space="0" w:color="auto"/>
              <w:left w:val="single" w:sz="4" w:space="0" w:color="auto"/>
              <w:bottom w:val="single" w:sz="4" w:space="0" w:color="auto"/>
              <w:right w:val="single" w:sz="4" w:space="0" w:color="auto"/>
            </w:tcBorders>
            <w:hideMark/>
          </w:tcPr>
          <w:p w14:paraId="7CDEF4E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 need</w:t>
            </w:r>
          </w:p>
        </w:tc>
        <w:tc>
          <w:tcPr>
            <w:tcW w:w="538" w:type="pct"/>
            <w:tcBorders>
              <w:top w:val="single" w:sz="4" w:space="0" w:color="auto"/>
              <w:left w:val="single" w:sz="4" w:space="0" w:color="auto"/>
              <w:bottom w:val="single" w:sz="4" w:space="0" w:color="auto"/>
              <w:right w:val="single" w:sz="4" w:space="0" w:color="auto"/>
            </w:tcBorders>
            <w:hideMark/>
          </w:tcPr>
          <w:p w14:paraId="1065D7BA"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Applicable only to FR1</w:t>
            </w:r>
          </w:p>
        </w:tc>
        <w:tc>
          <w:tcPr>
            <w:tcW w:w="424" w:type="pct"/>
            <w:tcBorders>
              <w:top w:val="single" w:sz="4" w:space="0" w:color="auto"/>
              <w:left w:val="single" w:sz="4" w:space="0" w:color="auto"/>
              <w:bottom w:val="single" w:sz="4" w:space="0" w:color="auto"/>
              <w:right w:val="single" w:sz="4" w:space="0" w:color="auto"/>
            </w:tcBorders>
          </w:tcPr>
          <w:p w14:paraId="2E11A8A7"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Candidate value set: {35us, 140 us, 210us}</w:t>
            </w:r>
          </w:p>
          <w:p w14:paraId="767FDD57"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225B482C"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Detailed information can refer to the LS to RAN2 in R4-2103234 and R4-2107847.</w:t>
            </w:r>
          </w:p>
        </w:tc>
        <w:tc>
          <w:tcPr>
            <w:tcW w:w="724" w:type="pct"/>
            <w:tcBorders>
              <w:top w:val="single" w:sz="4" w:space="0" w:color="auto"/>
              <w:left w:val="single" w:sz="4" w:space="0" w:color="auto"/>
              <w:bottom w:val="single" w:sz="4" w:space="0" w:color="auto"/>
              <w:right w:val="single" w:sz="4" w:space="0" w:color="auto"/>
            </w:tcBorders>
          </w:tcPr>
          <w:p w14:paraId="22EC7350"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p w14:paraId="641087CC"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7B6156D0" w14:textId="522677A4"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7E5AAF">
              <w:rPr>
                <w:rFonts w:ascii="Arial" w:hAnsi="Arial" w:cs="Arial"/>
                <w:sz w:val="18"/>
              </w:rPr>
              <w:t>Depends on whether NCR-MT support band combinations.</w:t>
            </w:r>
          </w:p>
        </w:tc>
      </w:tr>
      <w:tr w:rsidR="005F63DC" w:rsidRPr="00CC03F9" w14:paraId="30F40862" w14:textId="604C7441" w:rsidTr="00CC03F9">
        <w:tc>
          <w:tcPr>
            <w:tcW w:w="629" w:type="pct"/>
            <w:tcBorders>
              <w:top w:val="single" w:sz="4" w:space="0" w:color="auto"/>
              <w:left w:val="single" w:sz="4" w:space="0" w:color="auto"/>
              <w:bottom w:val="single" w:sz="4" w:space="0" w:color="auto"/>
              <w:right w:val="single" w:sz="4" w:space="0" w:color="auto"/>
            </w:tcBorders>
            <w:hideMark/>
          </w:tcPr>
          <w:p w14:paraId="6AA90C7F"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 NR_RF_FR1_enh</w:t>
            </w:r>
          </w:p>
        </w:tc>
        <w:tc>
          <w:tcPr>
            <w:tcW w:w="261" w:type="pct"/>
            <w:tcBorders>
              <w:top w:val="single" w:sz="4" w:space="0" w:color="auto"/>
              <w:left w:val="single" w:sz="4" w:space="0" w:color="auto"/>
              <w:bottom w:val="single" w:sz="4" w:space="0" w:color="auto"/>
              <w:right w:val="single" w:sz="4" w:space="0" w:color="auto"/>
            </w:tcBorders>
            <w:hideMark/>
          </w:tcPr>
          <w:p w14:paraId="72515D4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16-3</w:t>
            </w:r>
          </w:p>
        </w:tc>
        <w:tc>
          <w:tcPr>
            <w:tcW w:w="458" w:type="pct"/>
            <w:tcBorders>
              <w:top w:val="single" w:sz="4" w:space="0" w:color="auto"/>
              <w:left w:val="single" w:sz="4" w:space="0" w:color="auto"/>
              <w:bottom w:val="single" w:sz="4" w:space="0" w:color="auto"/>
              <w:right w:val="single" w:sz="4" w:space="0" w:color="auto"/>
            </w:tcBorders>
            <w:hideMark/>
          </w:tcPr>
          <w:p w14:paraId="3674FB6F"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Dynamic Tx switching between 3CC 2Tx-2Tx switching</w:t>
            </w:r>
          </w:p>
        </w:tc>
        <w:tc>
          <w:tcPr>
            <w:tcW w:w="704" w:type="pct"/>
            <w:tcBorders>
              <w:top w:val="single" w:sz="4" w:space="0" w:color="auto"/>
              <w:left w:val="single" w:sz="4" w:space="0" w:color="auto"/>
              <w:bottom w:val="single" w:sz="4" w:space="0" w:color="auto"/>
              <w:right w:val="single" w:sz="4" w:space="0" w:color="auto"/>
            </w:tcBorders>
            <w:hideMark/>
          </w:tcPr>
          <w:p w14:paraId="40DEAE76"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Indicate the supported switching period for dynamic UL Tx switching between one band (with one carrier) capable of two transmit antenna connectors and one band (with two carriers) capable of two transmit antenna connectors in inter-band UL CA or SUL</w:t>
            </w:r>
          </w:p>
        </w:tc>
        <w:tc>
          <w:tcPr>
            <w:tcW w:w="538" w:type="pct"/>
            <w:tcBorders>
              <w:top w:val="single" w:sz="4" w:space="0" w:color="auto"/>
              <w:left w:val="single" w:sz="4" w:space="0" w:color="auto"/>
              <w:bottom w:val="single" w:sz="4" w:space="0" w:color="auto"/>
              <w:right w:val="single" w:sz="4" w:space="0" w:color="auto"/>
            </w:tcBorders>
            <w:hideMark/>
          </w:tcPr>
          <w:p w14:paraId="3AE0F639"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 need</w:t>
            </w:r>
          </w:p>
        </w:tc>
        <w:tc>
          <w:tcPr>
            <w:tcW w:w="538" w:type="pct"/>
            <w:tcBorders>
              <w:top w:val="single" w:sz="4" w:space="0" w:color="auto"/>
              <w:left w:val="single" w:sz="4" w:space="0" w:color="auto"/>
              <w:bottom w:val="single" w:sz="4" w:space="0" w:color="auto"/>
              <w:right w:val="single" w:sz="4" w:space="0" w:color="auto"/>
            </w:tcBorders>
            <w:hideMark/>
          </w:tcPr>
          <w:p w14:paraId="6352C2C5"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Applicable only to FR1</w:t>
            </w:r>
          </w:p>
        </w:tc>
        <w:tc>
          <w:tcPr>
            <w:tcW w:w="424" w:type="pct"/>
            <w:tcBorders>
              <w:top w:val="single" w:sz="4" w:space="0" w:color="auto"/>
              <w:left w:val="single" w:sz="4" w:space="0" w:color="auto"/>
              <w:bottom w:val="single" w:sz="4" w:space="0" w:color="auto"/>
              <w:right w:val="single" w:sz="4" w:space="0" w:color="auto"/>
            </w:tcBorders>
          </w:tcPr>
          <w:p w14:paraId="7906E62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Candidate value set: {35us, 140 us, 210us}</w:t>
            </w:r>
          </w:p>
          <w:p w14:paraId="18B7E678"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621158F1"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Detailed information can refer to the LS to RAN2 in R4-2103234 and R4-2107847.</w:t>
            </w:r>
          </w:p>
        </w:tc>
        <w:tc>
          <w:tcPr>
            <w:tcW w:w="724" w:type="pct"/>
            <w:tcBorders>
              <w:top w:val="single" w:sz="4" w:space="0" w:color="auto"/>
              <w:left w:val="single" w:sz="4" w:space="0" w:color="auto"/>
              <w:bottom w:val="single" w:sz="4" w:space="0" w:color="auto"/>
              <w:right w:val="single" w:sz="4" w:space="0" w:color="auto"/>
            </w:tcBorders>
          </w:tcPr>
          <w:p w14:paraId="4E8DFD1A"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p w14:paraId="3833A956"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7014C3D7" w14:textId="28C8BCA6"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7E5AAF">
              <w:rPr>
                <w:rFonts w:ascii="Arial" w:hAnsi="Arial" w:cs="Arial"/>
                <w:sz w:val="18"/>
              </w:rPr>
              <w:t>Depends on whether NCR-MT support band combinations.</w:t>
            </w:r>
          </w:p>
        </w:tc>
      </w:tr>
      <w:tr w:rsidR="005F63DC" w:rsidRPr="00CC03F9" w14:paraId="08A3A6C4" w14:textId="67AA1453" w:rsidTr="00CC03F9">
        <w:tc>
          <w:tcPr>
            <w:tcW w:w="629" w:type="pct"/>
            <w:tcBorders>
              <w:top w:val="single" w:sz="4" w:space="0" w:color="auto"/>
              <w:left w:val="single" w:sz="4" w:space="0" w:color="auto"/>
              <w:bottom w:val="single" w:sz="4" w:space="0" w:color="auto"/>
              <w:right w:val="single" w:sz="4" w:space="0" w:color="auto"/>
            </w:tcBorders>
            <w:hideMark/>
          </w:tcPr>
          <w:p w14:paraId="1CF25DA9"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lastRenderedPageBreak/>
              <w:t>16. NR_RF_FR1_enh</w:t>
            </w:r>
          </w:p>
        </w:tc>
        <w:tc>
          <w:tcPr>
            <w:tcW w:w="261" w:type="pct"/>
            <w:tcBorders>
              <w:top w:val="single" w:sz="4" w:space="0" w:color="auto"/>
              <w:left w:val="single" w:sz="4" w:space="0" w:color="auto"/>
              <w:bottom w:val="single" w:sz="4" w:space="0" w:color="auto"/>
              <w:right w:val="single" w:sz="4" w:space="0" w:color="auto"/>
            </w:tcBorders>
            <w:hideMark/>
          </w:tcPr>
          <w:p w14:paraId="18FFEFDE"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16-4</w:t>
            </w:r>
          </w:p>
        </w:tc>
        <w:tc>
          <w:tcPr>
            <w:tcW w:w="458" w:type="pct"/>
            <w:tcBorders>
              <w:top w:val="single" w:sz="4" w:space="0" w:color="auto"/>
              <w:left w:val="single" w:sz="4" w:space="0" w:color="auto"/>
              <w:bottom w:val="single" w:sz="4" w:space="0" w:color="auto"/>
              <w:right w:val="single" w:sz="4" w:space="0" w:color="auto"/>
            </w:tcBorders>
            <w:hideMark/>
          </w:tcPr>
          <w:p w14:paraId="2DA1D876"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 xml:space="preserve">Application of DL interruptions due to dynamic UL Tx switching </w:t>
            </w:r>
          </w:p>
        </w:tc>
        <w:tc>
          <w:tcPr>
            <w:tcW w:w="704" w:type="pct"/>
            <w:tcBorders>
              <w:top w:val="single" w:sz="4" w:space="0" w:color="auto"/>
              <w:left w:val="single" w:sz="4" w:space="0" w:color="auto"/>
              <w:bottom w:val="single" w:sz="4" w:space="0" w:color="auto"/>
              <w:right w:val="single" w:sz="4" w:space="0" w:color="auto"/>
            </w:tcBorders>
          </w:tcPr>
          <w:p w14:paraId="34FA0547"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Capability to indicate that for the band where DL interruption is needed, the RRM interruption requirements defined in RAN4 shall be applied for duplex mode combinations except the combinations</w:t>
            </w:r>
          </w:p>
          <w:p w14:paraId="76A94989"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5776F751" w14:textId="77777777" w:rsidR="005F63DC" w:rsidRPr="00CC03F9" w:rsidRDefault="005F63DC" w:rsidP="005F63DC">
            <w:pPr>
              <w:widowControl/>
              <w:overflowPunct w:val="0"/>
              <w:autoSpaceDE w:val="0"/>
              <w:autoSpaceDN w:val="0"/>
              <w:adjustRightInd w:val="0"/>
              <w:spacing w:after="180"/>
              <w:ind w:left="568" w:hanging="284"/>
              <w:jc w:val="left"/>
              <w:rPr>
                <w:rFonts w:ascii="Arial" w:eastAsia="Times New Roman" w:hAnsi="Arial" w:cs="Arial"/>
                <w:sz w:val="18"/>
                <w:szCs w:val="18"/>
                <w:lang w:eastAsia="ja-JP"/>
              </w:rPr>
            </w:pPr>
            <w:r w:rsidRPr="00CC03F9">
              <w:rPr>
                <w:rFonts w:ascii="Arial" w:eastAsia="Times New Roman" w:hAnsi="Arial" w:cs="Arial"/>
                <w:sz w:val="18"/>
                <w:szCs w:val="18"/>
                <w:lang w:eastAsia="ja-JP"/>
              </w:rPr>
              <w:t>-</w:t>
            </w:r>
            <w:r w:rsidRPr="00CC03F9">
              <w:rPr>
                <w:rFonts w:ascii="Arial" w:eastAsia="Times New Roman" w:hAnsi="Arial" w:cs="Arial"/>
                <w:sz w:val="18"/>
                <w:szCs w:val="18"/>
                <w:lang w:eastAsia="ja-JP"/>
              </w:rPr>
              <w:tab/>
              <w:t>SUL+TDD</w:t>
            </w:r>
          </w:p>
          <w:p w14:paraId="09FAC3A8" w14:textId="77777777" w:rsidR="005F63DC" w:rsidRPr="00CC03F9" w:rsidRDefault="005F63DC" w:rsidP="005F63DC">
            <w:pPr>
              <w:widowControl/>
              <w:overflowPunct w:val="0"/>
              <w:autoSpaceDE w:val="0"/>
              <w:autoSpaceDN w:val="0"/>
              <w:adjustRightInd w:val="0"/>
              <w:spacing w:after="180"/>
              <w:ind w:left="568" w:hanging="284"/>
              <w:jc w:val="left"/>
              <w:rPr>
                <w:rFonts w:ascii="Arial" w:eastAsia="Times New Roman" w:hAnsi="Arial" w:cs="Times New Roman"/>
                <w:sz w:val="18"/>
                <w:szCs w:val="20"/>
                <w:lang w:eastAsia="ja-JP"/>
              </w:rPr>
            </w:pPr>
            <w:r w:rsidRPr="00CC03F9">
              <w:rPr>
                <w:rFonts w:ascii="Arial" w:eastAsia="Times New Roman" w:hAnsi="Arial" w:cs="Arial"/>
                <w:sz w:val="18"/>
                <w:szCs w:val="18"/>
                <w:lang w:eastAsia="ja-JP"/>
              </w:rPr>
              <w:t>-</w:t>
            </w:r>
            <w:r w:rsidRPr="00CC03F9">
              <w:rPr>
                <w:rFonts w:ascii="Arial" w:eastAsia="Times New Roman" w:hAnsi="Arial" w:cs="Arial"/>
                <w:sz w:val="18"/>
                <w:szCs w:val="18"/>
                <w:lang w:eastAsia="ja-JP"/>
              </w:rPr>
              <w:tab/>
              <w:t>TDD+TDD CA with the same UL-DL pattern SUL+TDD</w:t>
            </w:r>
          </w:p>
        </w:tc>
        <w:tc>
          <w:tcPr>
            <w:tcW w:w="538" w:type="pct"/>
            <w:tcBorders>
              <w:top w:val="single" w:sz="4" w:space="0" w:color="auto"/>
              <w:left w:val="single" w:sz="4" w:space="0" w:color="auto"/>
              <w:bottom w:val="single" w:sz="4" w:space="0" w:color="auto"/>
              <w:right w:val="single" w:sz="4" w:space="0" w:color="auto"/>
            </w:tcBorders>
            <w:hideMark/>
          </w:tcPr>
          <w:p w14:paraId="202ADA2C"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 need</w:t>
            </w:r>
          </w:p>
        </w:tc>
        <w:tc>
          <w:tcPr>
            <w:tcW w:w="538" w:type="pct"/>
            <w:tcBorders>
              <w:top w:val="single" w:sz="4" w:space="0" w:color="auto"/>
              <w:left w:val="single" w:sz="4" w:space="0" w:color="auto"/>
              <w:bottom w:val="single" w:sz="4" w:space="0" w:color="auto"/>
              <w:right w:val="single" w:sz="4" w:space="0" w:color="auto"/>
            </w:tcBorders>
            <w:hideMark/>
          </w:tcPr>
          <w:p w14:paraId="27009FA1"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Applicable only to FR1</w:t>
            </w:r>
          </w:p>
        </w:tc>
        <w:tc>
          <w:tcPr>
            <w:tcW w:w="424" w:type="pct"/>
            <w:tcBorders>
              <w:top w:val="single" w:sz="4" w:space="0" w:color="auto"/>
              <w:left w:val="single" w:sz="4" w:space="0" w:color="auto"/>
              <w:bottom w:val="single" w:sz="4" w:space="0" w:color="auto"/>
              <w:right w:val="single" w:sz="4" w:space="0" w:color="auto"/>
            </w:tcBorders>
          </w:tcPr>
          <w:p w14:paraId="5DF8AE91"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The same capability for Rel-16 DL interruption due to Tx switching is reused.</w:t>
            </w:r>
          </w:p>
          <w:p w14:paraId="284DCAA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4B64BB5E"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Detailed information can refer to the LS to RAN2 in R4-2103234.</w:t>
            </w:r>
          </w:p>
        </w:tc>
        <w:tc>
          <w:tcPr>
            <w:tcW w:w="724" w:type="pct"/>
            <w:tcBorders>
              <w:top w:val="single" w:sz="4" w:space="0" w:color="auto"/>
              <w:left w:val="single" w:sz="4" w:space="0" w:color="auto"/>
              <w:bottom w:val="single" w:sz="4" w:space="0" w:color="auto"/>
              <w:right w:val="single" w:sz="4" w:space="0" w:color="auto"/>
            </w:tcBorders>
          </w:tcPr>
          <w:p w14:paraId="7274D64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p w14:paraId="074DF096"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54136F5A"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tc>
        <w:tc>
          <w:tcPr>
            <w:tcW w:w="724" w:type="pct"/>
            <w:tcBorders>
              <w:top w:val="single" w:sz="4" w:space="0" w:color="auto"/>
              <w:left w:val="single" w:sz="4" w:space="0" w:color="auto"/>
              <w:bottom w:val="single" w:sz="4" w:space="0" w:color="auto"/>
              <w:right w:val="single" w:sz="4" w:space="0" w:color="auto"/>
            </w:tcBorders>
          </w:tcPr>
          <w:p w14:paraId="02DAB2DC" w14:textId="37F9FFA0"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7E5AAF">
              <w:rPr>
                <w:rFonts w:ascii="Arial" w:hAnsi="Arial" w:cs="Arial"/>
                <w:sz w:val="18"/>
              </w:rPr>
              <w:t>Depends on whether NCR-MT support band combinations.</w:t>
            </w:r>
          </w:p>
        </w:tc>
      </w:tr>
      <w:tr w:rsidR="005F63DC" w:rsidRPr="00CC03F9" w14:paraId="0D62802A" w14:textId="1B0C5B52" w:rsidTr="00CC03F9">
        <w:tc>
          <w:tcPr>
            <w:tcW w:w="629" w:type="pct"/>
            <w:tcBorders>
              <w:top w:val="single" w:sz="4" w:space="0" w:color="auto"/>
              <w:left w:val="single" w:sz="4" w:space="0" w:color="auto"/>
              <w:bottom w:val="single" w:sz="4" w:space="0" w:color="auto"/>
              <w:right w:val="single" w:sz="4" w:space="0" w:color="auto"/>
            </w:tcBorders>
            <w:hideMark/>
          </w:tcPr>
          <w:p w14:paraId="0941633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 NR_RF_FR1_enh</w:t>
            </w:r>
          </w:p>
        </w:tc>
        <w:tc>
          <w:tcPr>
            <w:tcW w:w="261" w:type="pct"/>
            <w:tcBorders>
              <w:top w:val="single" w:sz="4" w:space="0" w:color="auto"/>
              <w:left w:val="single" w:sz="4" w:space="0" w:color="auto"/>
              <w:bottom w:val="single" w:sz="4" w:space="0" w:color="auto"/>
              <w:right w:val="single" w:sz="4" w:space="0" w:color="auto"/>
            </w:tcBorders>
            <w:hideMark/>
          </w:tcPr>
          <w:p w14:paraId="2C88807D"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16-5</w:t>
            </w:r>
          </w:p>
        </w:tc>
        <w:tc>
          <w:tcPr>
            <w:tcW w:w="458" w:type="pct"/>
            <w:tcBorders>
              <w:top w:val="single" w:sz="4" w:space="0" w:color="auto"/>
              <w:left w:val="single" w:sz="4" w:space="0" w:color="auto"/>
              <w:bottom w:val="single" w:sz="4" w:space="0" w:color="auto"/>
              <w:right w:val="single" w:sz="4" w:space="0" w:color="auto"/>
            </w:tcBorders>
            <w:hideMark/>
          </w:tcPr>
          <w:p w14:paraId="0BB5FBC7"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UL-MIMO coherence capability for dynamic Tx switching between 3CC 1Tx-2Tx switching</w:t>
            </w:r>
          </w:p>
        </w:tc>
        <w:tc>
          <w:tcPr>
            <w:tcW w:w="704" w:type="pct"/>
            <w:tcBorders>
              <w:top w:val="single" w:sz="4" w:space="0" w:color="auto"/>
              <w:left w:val="single" w:sz="4" w:space="0" w:color="auto"/>
              <w:bottom w:val="single" w:sz="4" w:space="0" w:color="auto"/>
              <w:right w:val="single" w:sz="4" w:space="0" w:color="auto"/>
            </w:tcBorders>
            <w:hideMark/>
          </w:tcPr>
          <w:p w14:paraId="5F88B5E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 xml:space="preserve">Capability to indicate whether UL-MIMO coherence is supported when dynamic Tx switching between 3CC (within 2 bands) 1Tx-2Tx switching is conducted. </w:t>
            </w:r>
          </w:p>
        </w:tc>
        <w:tc>
          <w:tcPr>
            <w:tcW w:w="538" w:type="pct"/>
            <w:tcBorders>
              <w:top w:val="single" w:sz="4" w:space="0" w:color="auto"/>
              <w:left w:val="single" w:sz="4" w:space="0" w:color="auto"/>
              <w:bottom w:val="single" w:sz="4" w:space="0" w:color="auto"/>
              <w:right w:val="single" w:sz="4" w:space="0" w:color="auto"/>
            </w:tcBorders>
            <w:hideMark/>
          </w:tcPr>
          <w:p w14:paraId="7637C523"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 need</w:t>
            </w:r>
          </w:p>
        </w:tc>
        <w:tc>
          <w:tcPr>
            <w:tcW w:w="538" w:type="pct"/>
            <w:tcBorders>
              <w:top w:val="single" w:sz="4" w:space="0" w:color="auto"/>
              <w:left w:val="single" w:sz="4" w:space="0" w:color="auto"/>
              <w:bottom w:val="single" w:sz="4" w:space="0" w:color="auto"/>
              <w:right w:val="single" w:sz="4" w:space="0" w:color="auto"/>
            </w:tcBorders>
            <w:hideMark/>
          </w:tcPr>
          <w:p w14:paraId="5492C6ED"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Applicable only to FR1</w:t>
            </w:r>
          </w:p>
        </w:tc>
        <w:tc>
          <w:tcPr>
            <w:tcW w:w="424" w:type="pct"/>
            <w:tcBorders>
              <w:top w:val="single" w:sz="4" w:space="0" w:color="auto"/>
              <w:left w:val="single" w:sz="4" w:space="0" w:color="auto"/>
              <w:bottom w:val="single" w:sz="4" w:space="0" w:color="auto"/>
              <w:right w:val="single" w:sz="4" w:space="0" w:color="auto"/>
            </w:tcBorders>
          </w:tcPr>
          <w:p w14:paraId="1DE64BA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The Rel-16 UL-MIMO capability for 2CC 1Tx-2Tx switching is reused.</w:t>
            </w:r>
          </w:p>
          <w:p w14:paraId="26F08861"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74ACB4BF"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Detailed information can refer to the LS to RAN2 in R4-2120039.</w:t>
            </w:r>
          </w:p>
        </w:tc>
        <w:tc>
          <w:tcPr>
            <w:tcW w:w="724" w:type="pct"/>
            <w:tcBorders>
              <w:top w:val="single" w:sz="4" w:space="0" w:color="auto"/>
              <w:left w:val="single" w:sz="4" w:space="0" w:color="auto"/>
              <w:bottom w:val="single" w:sz="4" w:space="0" w:color="auto"/>
              <w:right w:val="single" w:sz="4" w:space="0" w:color="auto"/>
            </w:tcBorders>
            <w:hideMark/>
          </w:tcPr>
          <w:p w14:paraId="209EF67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tc>
        <w:tc>
          <w:tcPr>
            <w:tcW w:w="724" w:type="pct"/>
            <w:tcBorders>
              <w:top w:val="single" w:sz="4" w:space="0" w:color="auto"/>
              <w:left w:val="single" w:sz="4" w:space="0" w:color="auto"/>
              <w:bottom w:val="single" w:sz="4" w:space="0" w:color="auto"/>
              <w:right w:val="single" w:sz="4" w:space="0" w:color="auto"/>
            </w:tcBorders>
          </w:tcPr>
          <w:p w14:paraId="44181183" w14:textId="0CD0765E"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7E5AAF">
              <w:rPr>
                <w:rFonts w:ascii="Arial" w:hAnsi="Arial" w:cs="Arial"/>
                <w:sz w:val="18"/>
              </w:rPr>
              <w:t>Depends on whether NCR-MT support band combinations.</w:t>
            </w:r>
          </w:p>
        </w:tc>
      </w:tr>
      <w:tr w:rsidR="005F63DC" w:rsidRPr="00CC03F9" w14:paraId="4DA712E7" w14:textId="6A64AC53" w:rsidTr="00CC03F9">
        <w:tc>
          <w:tcPr>
            <w:tcW w:w="629" w:type="pct"/>
            <w:tcBorders>
              <w:top w:val="single" w:sz="4" w:space="0" w:color="auto"/>
              <w:left w:val="single" w:sz="4" w:space="0" w:color="auto"/>
              <w:bottom w:val="single" w:sz="4" w:space="0" w:color="auto"/>
              <w:right w:val="single" w:sz="4" w:space="0" w:color="auto"/>
            </w:tcBorders>
            <w:hideMark/>
          </w:tcPr>
          <w:p w14:paraId="16DB7692"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 NR_RF_FR1_enh</w:t>
            </w:r>
          </w:p>
        </w:tc>
        <w:tc>
          <w:tcPr>
            <w:tcW w:w="261" w:type="pct"/>
            <w:tcBorders>
              <w:top w:val="single" w:sz="4" w:space="0" w:color="auto"/>
              <w:left w:val="single" w:sz="4" w:space="0" w:color="auto"/>
              <w:bottom w:val="single" w:sz="4" w:space="0" w:color="auto"/>
              <w:right w:val="single" w:sz="4" w:space="0" w:color="auto"/>
            </w:tcBorders>
            <w:hideMark/>
          </w:tcPr>
          <w:p w14:paraId="7C607210"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16-6</w:t>
            </w:r>
          </w:p>
        </w:tc>
        <w:tc>
          <w:tcPr>
            <w:tcW w:w="458" w:type="pct"/>
            <w:tcBorders>
              <w:top w:val="single" w:sz="4" w:space="0" w:color="auto"/>
              <w:left w:val="single" w:sz="4" w:space="0" w:color="auto"/>
              <w:bottom w:val="single" w:sz="4" w:space="0" w:color="auto"/>
              <w:right w:val="single" w:sz="4" w:space="0" w:color="auto"/>
            </w:tcBorders>
            <w:hideMark/>
          </w:tcPr>
          <w:p w14:paraId="1B04C467"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UL-MIMO coherence capability for dynamic Tx switching between 2Tx-2Tx switching</w:t>
            </w:r>
          </w:p>
        </w:tc>
        <w:tc>
          <w:tcPr>
            <w:tcW w:w="704" w:type="pct"/>
            <w:tcBorders>
              <w:top w:val="single" w:sz="4" w:space="0" w:color="auto"/>
              <w:left w:val="single" w:sz="4" w:space="0" w:color="auto"/>
              <w:bottom w:val="single" w:sz="4" w:space="0" w:color="auto"/>
              <w:right w:val="single" w:sz="4" w:space="0" w:color="auto"/>
            </w:tcBorders>
            <w:hideMark/>
          </w:tcPr>
          <w:p w14:paraId="20EF6F2C"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 xml:space="preserve">Capability to indicate whether UL-MIMO coherence is supported when dynamic Tx switching between 2CC or 3CC (within 2 bands) 2Tx-2Tx switching is conducted. </w:t>
            </w:r>
          </w:p>
        </w:tc>
        <w:tc>
          <w:tcPr>
            <w:tcW w:w="538" w:type="pct"/>
            <w:tcBorders>
              <w:top w:val="single" w:sz="4" w:space="0" w:color="auto"/>
              <w:left w:val="single" w:sz="4" w:space="0" w:color="auto"/>
              <w:bottom w:val="single" w:sz="4" w:space="0" w:color="auto"/>
              <w:right w:val="single" w:sz="4" w:space="0" w:color="auto"/>
            </w:tcBorders>
            <w:hideMark/>
          </w:tcPr>
          <w:p w14:paraId="7A60F635"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 need</w:t>
            </w:r>
          </w:p>
        </w:tc>
        <w:tc>
          <w:tcPr>
            <w:tcW w:w="538" w:type="pct"/>
            <w:tcBorders>
              <w:top w:val="single" w:sz="4" w:space="0" w:color="auto"/>
              <w:left w:val="single" w:sz="4" w:space="0" w:color="auto"/>
              <w:bottom w:val="single" w:sz="4" w:space="0" w:color="auto"/>
              <w:right w:val="single" w:sz="4" w:space="0" w:color="auto"/>
            </w:tcBorders>
            <w:hideMark/>
          </w:tcPr>
          <w:p w14:paraId="74D240C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Applicable only to FR1</w:t>
            </w:r>
          </w:p>
        </w:tc>
        <w:tc>
          <w:tcPr>
            <w:tcW w:w="424" w:type="pct"/>
            <w:tcBorders>
              <w:top w:val="single" w:sz="4" w:space="0" w:color="auto"/>
              <w:left w:val="single" w:sz="4" w:space="0" w:color="auto"/>
              <w:bottom w:val="single" w:sz="4" w:space="0" w:color="auto"/>
              <w:right w:val="single" w:sz="4" w:space="0" w:color="auto"/>
            </w:tcBorders>
            <w:hideMark/>
          </w:tcPr>
          <w:p w14:paraId="410BA699"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Detailed information can refer to the LS to RAN2 in R4-2120039.</w:t>
            </w:r>
          </w:p>
        </w:tc>
        <w:tc>
          <w:tcPr>
            <w:tcW w:w="724" w:type="pct"/>
            <w:tcBorders>
              <w:top w:val="single" w:sz="4" w:space="0" w:color="auto"/>
              <w:left w:val="single" w:sz="4" w:space="0" w:color="auto"/>
              <w:bottom w:val="single" w:sz="4" w:space="0" w:color="auto"/>
              <w:right w:val="single" w:sz="4" w:space="0" w:color="auto"/>
            </w:tcBorders>
            <w:hideMark/>
          </w:tcPr>
          <w:p w14:paraId="77031E1C"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tc>
        <w:tc>
          <w:tcPr>
            <w:tcW w:w="724" w:type="pct"/>
            <w:tcBorders>
              <w:top w:val="single" w:sz="4" w:space="0" w:color="auto"/>
              <w:left w:val="single" w:sz="4" w:space="0" w:color="auto"/>
              <w:bottom w:val="single" w:sz="4" w:space="0" w:color="auto"/>
              <w:right w:val="single" w:sz="4" w:space="0" w:color="auto"/>
            </w:tcBorders>
          </w:tcPr>
          <w:p w14:paraId="3333CEE9" w14:textId="3459B470"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7E5AAF">
              <w:rPr>
                <w:rFonts w:ascii="Arial" w:hAnsi="Arial" w:cs="Arial"/>
                <w:sz w:val="18"/>
              </w:rPr>
              <w:t>Depends on whether NCR-MT support band combinations.</w:t>
            </w:r>
          </w:p>
        </w:tc>
      </w:tr>
      <w:tr w:rsidR="005F63DC" w:rsidRPr="00CC03F9" w14:paraId="0A790A74" w14:textId="6595838E" w:rsidTr="00CC03F9">
        <w:tc>
          <w:tcPr>
            <w:tcW w:w="629" w:type="pct"/>
            <w:tcBorders>
              <w:top w:val="single" w:sz="4" w:space="0" w:color="auto"/>
              <w:left w:val="single" w:sz="4" w:space="0" w:color="auto"/>
              <w:bottom w:val="single" w:sz="4" w:space="0" w:color="auto"/>
              <w:right w:val="single" w:sz="4" w:space="0" w:color="auto"/>
            </w:tcBorders>
            <w:hideMark/>
          </w:tcPr>
          <w:p w14:paraId="1D8D162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 NR_RF_FR1_enh</w:t>
            </w:r>
          </w:p>
        </w:tc>
        <w:tc>
          <w:tcPr>
            <w:tcW w:w="261" w:type="pct"/>
            <w:tcBorders>
              <w:top w:val="single" w:sz="4" w:space="0" w:color="auto"/>
              <w:left w:val="single" w:sz="4" w:space="0" w:color="auto"/>
              <w:bottom w:val="single" w:sz="4" w:space="0" w:color="auto"/>
              <w:right w:val="single" w:sz="4" w:space="0" w:color="auto"/>
            </w:tcBorders>
            <w:hideMark/>
          </w:tcPr>
          <w:p w14:paraId="48971DF9"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16-8</w:t>
            </w:r>
          </w:p>
        </w:tc>
        <w:tc>
          <w:tcPr>
            <w:tcW w:w="458" w:type="pct"/>
            <w:tcBorders>
              <w:top w:val="single" w:sz="4" w:space="0" w:color="auto"/>
              <w:left w:val="single" w:sz="4" w:space="0" w:color="auto"/>
              <w:bottom w:val="single" w:sz="4" w:space="0" w:color="auto"/>
              <w:right w:val="single" w:sz="4" w:space="0" w:color="auto"/>
            </w:tcBorders>
            <w:hideMark/>
          </w:tcPr>
          <w:p w14:paraId="6865AA74"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UE power class per band per band combination</w:t>
            </w:r>
          </w:p>
        </w:tc>
        <w:tc>
          <w:tcPr>
            <w:tcW w:w="704" w:type="pct"/>
            <w:tcBorders>
              <w:top w:val="single" w:sz="4" w:space="0" w:color="auto"/>
              <w:left w:val="single" w:sz="4" w:space="0" w:color="auto"/>
              <w:bottom w:val="single" w:sz="4" w:space="0" w:color="auto"/>
              <w:right w:val="single" w:sz="4" w:space="0" w:color="auto"/>
            </w:tcBorders>
            <w:hideMark/>
          </w:tcPr>
          <w:p w14:paraId="1F490B8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Per band per band combination power class</w:t>
            </w:r>
          </w:p>
        </w:tc>
        <w:tc>
          <w:tcPr>
            <w:tcW w:w="538" w:type="pct"/>
            <w:tcBorders>
              <w:top w:val="single" w:sz="4" w:space="0" w:color="auto"/>
              <w:left w:val="single" w:sz="4" w:space="0" w:color="auto"/>
              <w:bottom w:val="single" w:sz="4" w:space="0" w:color="auto"/>
              <w:right w:val="single" w:sz="4" w:space="0" w:color="auto"/>
            </w:tcBorders>
            <w:hideMark/>
          </w:tcPr>
          <w:p w14:paraId="7DB3EB67"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No</w:t>
            </w:r>
          </w:p>
        </w:tc>
        <w:tc>
          <w:tcPr>
            <w:tcW w:w="538" w:type="pct"/>
            <w:tcBorders>
              <w:top w:val="single" w:sz="4" w:space="0" w:color="auto"/>
              <w:left w:val="single" w:sz="4" w:space="0" w:color="auto"/>
              <w:bottom w:val="single" w:sz="4" w:space="0" w:color="auto"/>
              <w:right w:val="single" w:sz="4" w:space="0" w:color="auto"/>
            </w:tcBorders>
            <w:hideMark/>
          </w:tcPr>
          <w:p w14:paraId="7A5AB870"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FR1 only</w:t>
            </w:r>
          </w:p>
        </w:tc>
        <w:tc>
          <w:tcPr>
            <w:tcW w:w="424" w:type="pct"/>
            <w:tcBorders>
              <w:top w:val="single" w:sz="4" w:space="0" w:color="auto"/>
              <w:left w:val="single" w:sz="4" w:space="0" w:color="auto"/>
              <w:bottom w:val="single" w:sz="4" w:space="0" w:color="auto"/>
              <w:right w:val="single" w:sz="4" w:space="0" w:color="auto"/>
            </w:tcBorders>
          </w:tcPr>
          <w:p w14:paraId="0562A1CB"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tc>
        <w:tc>
          <w:tcPr>
            <w:tcW w:w="724" w:type="pct"/>
            <w:tcBorders>
              <w:top w:val="single" w:sz="4" w:space="0" w:color="auto"/>
              <w:left w:val="single" w:sz="4" w:space="0" w:color="auto"/>
              <w:bottom w:val="single" w:sz="4" w:space="0" w:color="auto"/>
              <w:right w:val="single" w:sz="4" w:space="0" w:color="auto"/>
            </w:tcBorders>
            <w:hideMark/>
          </w:tcPr>
          <w:p w14:paraId="33E59B06" w14:textId="77777777"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CC03F9">
              <w:rPr>
                <w:rFonts w:ascii="Arial" w:eastAsia="Times New Roman" w:hAnsi="Arial" w:cs="Arial"/>
                <w:sz w:val="18"/>
                <w:lang w:eastAsia="ja-JP"/>
              </w:rPr>
              <w:t>Optional with capability signalling</w:t>
            </w:r>
          </w:p>
        </w:tc>
        <w:tc>
          <w:tcPr>
            <w:tcW w:w="724" w:type="pct"/>
            <w:tcBorders>
              <w:top w:val="single" w:sz="4" w:space="0" w:color="auto"/>
              <w:left w:val="single" w:sz="4" w:space="0" w:color="auto"/>
              <w:bottom w:val="single" w:sz="4" w:space="0" w:color="auto"/>
              <w:right w:val="single" w:sz="4" w:space="0" w:color="auto"/>
            </w:tcBorders>
          </w:tcPr>
          <w:p w14:paraId="33E4C04B" w14:textId="706C00AE" w:rsidR="005F63DC" w:rsidRPr="00CC03F9"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7E5AAF">
              <w:rPr>
                <w:rFonts w:ascii="Arial" w:hAnsi="Arial" w:cs="Arial"/>
                <w:sz w:val="18"/>
              </w:rPr>
              <w:t>Depends on whether NCR-MT support band combinations.</w:t>
            </w:r>
          </w:p>
        </w:tc>
      </w:tr>
    </w:tbl>
    <w:p w14:paraId="6092AC60" w14:textId="77777777" w:rsidR="00CC03F9" w:rsidRDefault="00CC03F9" w:rsidP="00CC03F9">
      <w:pPr>
        <w:widowControl/>
        <w:overflowPunct w:val="0"/>
        <w:autoSpaceDE w:val="0"/>
        <w:autoSpaceDN w:val="0"/>
        <w:adjustRightInd w:val="0"/>
        <w:spacing w:after="180"/>
        <w:jc w:val="left"/>
        <w:rPr>
          <w:rFonts w:ascii="Times New Roman" w:hAnsi="Times New Roman" w:cs="Times New Roman"/>
          <w:kern w:val="0"/>
          <w:sz w:val="20"/>
          <w:szCs w:val="20"/>
          <w:lang w:val="en-GB"/>
        </w:rPr>
      </w:pPr>
    </w:p>
    <w:p w14:paraId="694DFC44" w14:textId="457B5D82" w:rsidR="00DE6593" w:rsidRPr="00DE6593" w:rsidRDefault="00DE6593" w:rsidP="00DE6593">
      <w:pPr>
        <w:keepNext/>
        <w:keepLines/>
        <w:widowControl/>
        <w:overflowPunct w:val="0"/>
        <w:autoSpaceDE w:val="0"/>
        <w:autoSpaceDN w:val="0"/>
        <w:adjustRightInd w:val="0"/>
        <w:spacing w:before="60" w:after="180"/>
        <w:jc w:val="center"/>
        <w:rPr>
          <w:rFonts w:ascii="Arial" w:eastAsia="Times New Roman" w:hAnsi="Arial" w:cs="Arial"/>
          <w:b/>
          <w:lang w:eastAsia="ja-JP"/>
        </w:rPr>
      </w:pPr>
      <w:r w:rsidRPr="00DE6593">
        <w:rPr>
          <w:rFonts w:ascii="Arial" w:eastAsia="Times New Roman" w:hAnsi="Arial" w:cs="Arial"/>
          <w:b/>
          <w:lang w:eastAsia="ja-JP"/>
        </w:rPr>
        <w:lastRenderedPageBreak/>
        <w:t>Table 6.3.4-1: RF Feature List for NR_RF_FR2_req_enh2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2"/>
        <w:gridCol w:w="689"/>
        <w:gridCol w:w="1449"/>
        <w:gridCol w:w="1558"/>
        <w:gridCol w:w="1558"/>
        <w:gridCol w:w="3969"/>
        <w:gridCol w:w="2127"/>
        <w:gridCol w:w="2056"/>
      </w:tblGrid>
      <w:tr w:rsidR="00C861CE" w:rsidRPr="00DE6593" w14:paraId="19D5F0F8" w14:textId="2920901A" w:rsidTr="00C861CE">
        <w:tc>
          <w:tcPr>
            <w:tcW w:w="430" w:type="pct"/>
            <w:tcBorders>
              <w:top w:val="single" w:sz="4" w:space="0" w:color="auto"/>
              <w:left w:val="single" w:sz="4" w:space="0" w:color="auto"/>
              <w:bottom w:val="single" w:sz="4" w:space="0" w:color="auto"/>
              <w:right w:val="single" w:sz="4" w:space="0" w:color="auto"/>
            </w:tcBorders>
            <w:hideMark/>
          </w:tcPr>
          <w:p w14:paraId="6FD3A214" w14:textId="77777777"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Features</w:t>
            </w:r>
          </w:p>
        </w:tc>
        <w:tc>
          <w:tcPr>
            <w:tcW w:w="235" w:type="pct"/>
            <w:tcBorders>
              <w:top w:val="single" w:sz="4" w:space="0" w:color="auto"/>
              <w:left w:val="single" w:sz="4" w:space="0" w:color="auto"/>
              <w:bottom w:val="single" w:sz="4" w:space="0" w:color="auto"/>
              <w:right w:val="single" w:sz="4" w:space="0" w:color="auto"/>
            </w:tcBorders>
            <w:hideMark/>
          </w:tcPr>
          <w:p w14:paraId="24FDD041" w14:textId="77777777"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Index</w:t>
            </w:r>
          </w:p>
        </w:tc>
        <w:tc>
          <w:tcPr>
            <w:tcW w:w="494" w:type="pct"/>
            <w:tcBorders>
              <w:top w:val="single" w:sz="4" w:space="0" w:color="auto"/>
              <w:left w:val="single" w:sz="4" w:space="0" w:color="auto"/>
              <w:bottom w:val="single" w:sz="4" w:space="0" w:color="auto"/>
              <w:right w:val="single" w:sz="4" w:space="0" w:color="auto"/>
            </w:tcBorders>
            <w:hideMark/>
          </w:tcPr>
          <w:p w14:paraId="382B122C" w14:textId="77777777"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Feature group</w:t>
            </w:r>
          </w:p>
        </w:tc>
        <w:tc>
          <w:tcPr>
            <w:tcW w:w="531" w:type="pct"/>
            <w:tcBorders>
              <w:top w:val="single" w:sz="4" w:space="0" w:color="auto"/>
              <w:left w:val="single" w:sz="4" w:space="0" w:color="auto"/>
              <w:bottom w:val="single" w:sz="4" w:space="0" w:color="auto"/>
              <w:right w:val="single" w:sz="4" w:space="0" w:color="auto"/>
            </w:tcBorders>
            <w:hideMark/>
          </w:tcPr>
          <w:p w14:paraId="6765038A" w14:textId="77777777"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Components</w:t>
            </w:r>
          </w:p>
        </w:tc>
        <w:tc>
          <w:tcPr>
            <w:tcW w:w="531" w:type="pct"/>
            <w:tcBorders>
              <w:top w:val="single" w:sz="4" w:space="0" w:color="auto"/>
              <w:left w:val="single" w:sz="4" w:space="0" w:color="auto"/>
              <w:bottom w:val="single" w:sz="4" w:space="0" w:color="auto"/>
              <w:right w:val="single" w:sz="4" w:space="0" w:color="auto"/>
            </w:tcBorders>
            <w:hideMark/>
          </w:tcPr>
          <w:p w14:paraId="1C59D695" w14:textId="77777777"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Need of FR1/FR2 differentiation</w:t>
            </w:r>
          </w:p>
        </w:tc>
        <w:tc>
          <w:tcPr>
            <w:tcW w:w="1353" w:type="pct"/>
            <w:tcBorders>
              <w:top w:val="single" w:sz="4" w:space="0" w:color="auto"/>
              <w:left w:val="single" w:sz="4" w:space="0" w:color="auto"/>
              <w:bottom w:val="single" w:sz="4" w:space="0" w:color="auto"/>
              <w:right w:val="single" w:sz="4" w:space="0" w:color="auto"/>
            </w:tcBorders>
            <w:hideMark/>
          </w:tcPr>
          <w:p w14:paraId="3D89C9A7" w14:textId="77777777"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Note</w:t>
            </w:r>
          </w:p>
        </w:tc>
        <w:tc>
          <w:tcPr>
            <w:tcW w:w="725" w:type="pct"/>
            <w:tcBorders>
              <w:top w:val="single" w:sz="4" w:space="0" w:color="auto"/>
              <w:left w:val="single" w:sz="4" w:space="0" w:color="auto"/>
              <w:bottom w:val="single" w:sz="4" w:space="0" w:color="auto"/>
              <w:right w:val="single" w:sz="4" w:space="0" w:color="auto"/>
            </w:tcBorders>
            <w:hideMark/>
          </w:tcPr>
          <w:p w14:paraId="6A09ECFF" w14:textId="013D7B9A"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Mandatory/Optional</w:t>
            </w:r>
            <w:r>
              <w:rPr>
                <w:rFonts w:ascii="Arial" w:eastAsia="Times New Roman" w:hAnsi="Arial" w:cs="Arial"/>
                <w:b/>
                <w:sz w:val="18"/>
                <w:lang w:eastAsia="ja-JP"/>
              </w:rPr>
              <w:t xml:space="preserve"> for UE</w:t>
            </w:r>
          </w:p>
        </w:tc>
        <w:tc>
          <w:tcPr>
            <w:tcW w:w="701" w:type="pct"/>
            <w:tcBorders>
              <w:top w:val="single" w:sz="4" w:space="0" w:color="auto"/>
              <w:left w:val="single" w:sz="4" w:space="0" w:color="auto"/>
              <w:bottom w:val="single" w:sz="4" w:space="0" w:color="auto"/>
              <w:right w:val="single" w:sz="4" w:space="0" w:color="auto"/>
            </w:tcBorders>
          </w:tcPr>
          <w:p w14:paraId="61450FA8" w14:textId="45DA94C3" w:rsidR="00C861CE" w:rsidRPr="00DE6593" w:rsidRDefault="00C861CE" w:rsidP="00DE6593">
            <w:pPr>
              <w:keepNext/>
              <w:keepLines/>
              <w:widowControl/>
              <w:overflowPunct w:val="0"/>
              <w:autoSpaceDE w:val="0"/>
              <w:autoSpaceDN w:val="0"/>
              <w:adjustRightInd w:val="0"/>
              <w:jc w:val="center"/>
              <w:rPr>
                <w:rFonts w:ascii="Arial" w:eastAsia="Times New Roman" w:hAnsi="Arial" w:cs="Arial"/>
                <w:b/>
                <w:sz w:val="18"/>
                <w:lang w:eastAsia="ja-JP"/>
              </w:rPr>
            </w:pPr>
            <w:r w:rsidRPr="00DE6593">
              <w:rPr>
                <w:rFonts w:ascii="Arial" w:eastAsia="Times New Roman" w:hAnsi="Arial" w:cs="Arial"/>
                <w:b/>
                <w:sz w:val="18"/>
                <w:lang w:eastAsia="ja-JP"/>
              </w:rPr>
              <w:t xml:space="preserve">Mandatory/Optional for </w:t>
            </w:r>
            <w:r>
              <w:rPr>
                <w:rFonts w:ascii="Arial" w:eastAsia="Times New Roman" w:hAnsi="Arial" w:cs="Arial"/>
                <w:b/>
                <w:sz w:val="18"/>
                <w:lang w:eastAsia="ja-JP"/>
              </w:rPr>
              <w:t>NCR-MT</w:t>
            </w:r>
          </w:p>
        </w:tc>
      </w:tr>
      <w:tr w:rsidR="005F63DC" w:rsidRPr="00DE6593" w14:paraId="688D37D6" w14:textId="7822061E" w:rsidTr="00C861CE">
        <w:tc>
          <w:tcPr>
            <w:tcW w:w="430" w:type="pct"/>
            <w:tcBorders>
              <w:top w:val="single" w:sz="4" w:space="0" w:color="auto"/>
              <w:left w:val="single" w:sz="4" w:space="0" w:color="auto"/>
              <w:bottom w:val="single" w:sz="4" w:space="0" w:color="auto"/>
              <w:right w:val="single" w:sz="4" w:space="0" w:color="auto"/>
            </w:tcBorders>
            <w:hideMark/>
          </w:tcPr>
          <w:p w14:paraId="0A1317DF"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17. FR2 interband CA</w:t>
            </w:r>
          </w:p>
        </w:tc>
        <w:tc>
          <w:tcPr>
            <w:tcW w:w="235" w:type="pct"/>
            <w:tcBorders>
              <w:top w:val="single" w:sz="4" w:space="0" w:color="auto"/>
              <w:left w:val="single" w:sz="4" w:space="0" w:color="auto"/>
              <w:bottom w:val="single" w:sz="4" w:space="0" w:color="auto"/>
              <w:right w:val="single" w:sz="4" w:space="0" w:color="auto"/>
            </w:tcBorders>
            <w:hideMark/>
          </w:tcPr>
          <w:p w14:paraId="198776DE"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17-4</w:t>
            </w:r>
          </w:p>
        </w:tc>
        <w:tc>
          <w:tcPr>
            <w:tcW w:w="494" w:type="pct"/>
            <w:tcBorders>
              <w:top w:val="single" w:sz="4" w:space="0" w:color="auto"/>
              <w:left w:val="single" w:sz="4" w:space="0" w:color="auto"/>
              <w:bottom w:val="single" w:sz="4" w:space="0" w:color="auto"/>
              <w:right w:val="single" w:sz="4" w:space="0" w:color="auto"/>
            </w:tcBorders>
            <w:hideMark/>
          </w:tcPr>
          <w:p w14:paraId="7CE7E69B"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Support of beam management</w:t>
            </w:r>
          </w:p>
        </w:tc>
        <w:tc>
          <w:tcPr>
            <w:tcW w:w="531" w:type="pct"/>
            <w:tcBorders>
              <w:top w:val="single" w:sz="4" w:space="0" w:color="auto"/>
              <w:left w:val="single" w:sz="4" w:space="0" w:color="auto"/>
              <w:bottom w:val="single" w:sz="4" w:space="0" w:color="auto"/>
              <w:right w:val="single" w:sz="4" w:space="0" w:color="auto"/>
            </w:tcBorders>
            <w:hideMark/>
          </w:tcPr>
          <w:p w14:paraId="6786BED8"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Capability of support of specific beam management type.</w:t>
            </w:r>
          </w:p>
        </w:tc>
        <w:tc>
          <w:tcPr>
            <w:tcW w:w="531" w:type="pct"/>
            <w:tcBorders>
              <w:top w:val="single" w:sz="4" w:space="0" w:color="auto"/>
              <w:left w:val="single" w:sz="4" w:space="0" w:color="auto"/>
              <w:bottom w:val="single" w:sz="4" w:space="0" w:color="auto"/>
              <w:right w:val="single" w:sz="4" w:space="0" w:color="auto"/>
            </w:tcBorders>
            <w:hideMark/>
          </w:tcPr>
          <w:p w14:paraId="664DBEED"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FR2 only</w:t>
            </w:r>
          </w:p>
        </w:tc>
        <w:tc>
          <w:tcPr>
            <w:tcW w:w="1353" w:type="pct"/>
            <w:tcBorders>
              <w:top w:val="single" w:sz="4" w:space="0" w:color="auto"/>
              <w:left w:val="single" w:sz="4" w:space="0" w:color="auto"/>
              <w:bottom w:val="single" w:sz="4" w:space="0" w:color="auto"/>
              <w:right w:val="single" w:sz="4" w:space="0" w:color="auto"/>
            </w:tcBorders>
          </w:tcPr>
          <w:p w14:paraId="4FA26A61"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Indicate the supported beam management type for inter-band CA within FR2. Beam management type can be independent beam management (IBM) or common beam management (CBM), or both.</w:t>
            </w:r>
          </w:p>
          <w:p w14:paraId="24D7F4BD"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0BD4C6E9"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The capability is only applicable to band combinations with two bands.</w:t>
            </w:r>
          </w:p>
          <w:p w14:paraId="7CDFA0B9"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p w14:paraId="2A25CF5F"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UE is not allowed to report CBM or both in Rel-17.</w:t>
            </w:r>
          </w:p>
        </w:tc>
        <w:tc>
          <w:tcPr>
            <w:tcW w:w="725" w:type="pct"/>
            <w:tcBorders>
              <w:top w:val="single" w:sz="4" w:space="0" w:color="auto"/>
              <w:left w:val="single" w:sz="4" w:space="0" w:color="auto"/>
              <w:bottom w:val="single" w:sz="4" w:space="0" w:color="auto"/>
              <w:right w:val="single" w:sz="4" w:space="0" w:color="auto"/>
            </w:tcBorders>
            <w:hideMark/>
          </w:tcPr>
          <w:p w14:paraId="0791343A"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Optional with capability signalling</w:t>
            </w:r>
          </w:p>
        </w:tc>
        <w:tc>
          <w:tcPr>
            <w:tcW w:w="701" w:type="pct"/>
            <w:tcBorders>
              <w:top w:val="single" w:sz="4" w:space="0" w:color="auto"/>
              <w:left w:val="single" w:sz="4" w:space="0" w:color="auto"/>
              <w:bottom w:val="single" w:sz="4" w:space="0" w:color="auto"/>
              <w:right w:val="single" w:sz="4" w:space="0" w:color="auto"/>
            </w:tcBorders>
          </w:tcPr>
          <w:p w14:paraId="4C519725" w14:textId="316FD482"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671687">
              <w:rPr>
                <w:rFonts w:ascii="Arial" w:hAnsi="Arial" w:cs="Arial"/>
                <w:sz w:val="18"/>
              </w:rPr>
              <w:t>Depends on whether NCR-MT support band combinations.</w:t>
            </w:r>
          </w:p>
        </w:tc>
      </w:tr>
      <w:tr w:rsidR="005F63DC" w:rsidRPr="00DE6593" w14:paraId="2D1AA393" w14:textId="71205628" w:rsidTr="00C861CE">
        <w:tc>
          <w:tcPr>
            <w:tcW w:w="430" w:type="pct"/>
            <w:tcBorders>
              <w:top w:val="single" w:sz="4" w:space="0" w:color="auto"/>
              <w:left w:val="single" w:sz="4" w:space="0" w:color="auto"/>
              <w:bottom w:val="single" w:sz="4" w:space="0" w:color="auto"/>
              <w:right w:val="single" w:sz="4" w:space="0" w:color="auto"/>
            </w:tcBorders>
            <w:hideMark/>
          </w:tcPr>
          <w:p w14:paraId="0CA3F160"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17. DC-location</w:t>
            </w:r>
          </w:p>
        </w:tc>
        <w:tc>
          <w:tcPr>
            <w:tcW w:w="235" w:type="pct"/>
            <w:tcBorders>
              <w:top w:val="single" w:sz="4" w:space="0" w:color="auto"/>
              <w:left w:val="single" w:sz="4" w:space="0" w:color="auto"/>
              <w:bottom w:val="single" w:sz="4" w:space="0" w:color="auto"/>
              <w:right w:val="single" w:sz="4" w:space="0" w:color="auto"/>
            </w:tcBorders>
            <w:hideMark/>
          </w:tcPr>
          <w:p w14:paraId="086FA12E"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17-5</w:t>
            </w:r>
          </w:p>
        </w:tc>
        <w:tc>
          <w:tcPr>
            <w:tcW w:w="494" w:type="pct"/>
            <w:tcBorders>
              <w:top w:val="single" w:sz="4" w:space="0" w:color="auto"/>
              <w:left w:val="single" w:sz="4" w:space="0" w:color="auto"/>
              <w:bottom w:val="single" w:sz="4" w:space="0" w:color="auto"/>
              <w:right w:val="single" w:sz="4" w:space="0" w:color="auto"/>
            </w:tcBorders>
            <w:hideMark/>
          </w:tcPr>
          <w:p w14:paraId="3D87291E"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Support of UL DC location(s) report</w:t>
            </w:r>
          </w:p>
        </w:tc>
        <w:tc>
          <w:tcPr>
            <w:tcW w:w="531" w:type="pct"/>
            <w:tcBorders>
              <w:top w:val="single" w:sz="4" w:space="0" w:color="auto"/>
              <w:left w:val="single" w:sz="4" w:space="0" w:color="auto"/>
              <w:bottom w:val="single" w:sz="4" w:space="0" w:color="auto"/>
              <w:right w:val="single" w:sz="4" w:space="0" w:color="auto"/>
            </w:tcBorders>
            <w:hideMark/>
          </w:tcPr>
          <w:p w14:paraId="054141B6"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Capability of support for the extended DC location reporting (based on indicated default DC location) for at least 2 UL CCs in one band.</w:t>
            </w:r>
          </w:p>
        </w:tc>
        <w:tc>
          <w:tcPr>
            <w:tcW w:w="531" w:type="pct"/>
            <w:tcBorders>
              <w:top w:val="single" w:sz="4" w:space="0" w:color="auto"/>
              <w:left w:val="single" w:sz="4" w:space="0" w:color="auto"/>
              <w:bottom w:val="single" w:sz="4" w:space="0" w:color="auto"/>
              <w:right w:val="single" w:sz="4" w:space="0" w:color="auto"/>
            </w:tcBorders>
            <w:hideMark/>
          </w:tcPr>
          <w:p w14:paraId="14BAC306"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No</w:t>
            </w:r>
          </w:p>
        </w:tc>
        <w:tc>
          <w:tcPr>
            <w:tcW w:w="1353" w:type="pct"/>
            <w:tcBorders>
              <w:top w:val="single" w:sz="4" w:space="0" w:color="auto"/>
              <w:left w:val="single" w:sz="4" w:space="0" w:color="auto"/>
              <w:bottom w:val="single" w:sz="4" w:space="0" w:color="auto"/>
              <w:right w:val="single" w:sz="4" w:space="0" w:color="auto"/>
            </w:tcBorders>
          </w:tcPr>
          <w:p w14:paraId="5BD867E3"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tc>
        <w:tc>
          <w:tcPr>
            <w:tcW w:w="725" w:type="pct"/>
            <w:tcBorders>
              <w:top w:val="single" w:sz="4" w:space="0" w:color="auto"/>
              <w:left w:val="single" w:sz="4" w:space="0" w:color="auto"/>
              <w:bottom w:val="single" w:sz="4" w:space="0" w:color="auto"/>
              <w:right w:val="single" w:sz="4" w:space="0" w:color="auto"/>
            </w:tcBorders>
            <w:hideMark/>
          </w:tcPr>
          <w:p w14:paraId="18165DD6"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Optional with capability signalling</w:t>
            </w:r>
          </w:p>
        </w:tc>
        <w:tc>
          <w:tcPr>
            <w:tcW w:w="701" w:type="pct"/>
            <w:tcBorders>
              <w:top w:val="single" w:sz="4" w:space="0" w:color="auto"/>
              <w:left w:val="single" w:sz="4" w:space="0" w:color="auto"/>
              <w:bottom w:val="single" w:sz="4" w:space="0" w:color="auto"/>
              <w:right w:val="single" w:sz="4" w:space="0" w:color="auto"/>
            </w:tcBorders>
          </w:tcPr>
          <w:p w14:paraId="00963612" w14:textId="2A385865"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671687">
              <w:rPr>
                <w:rFonts w:ascii="Arial" w:hAnsi="Arial" w:cs="Arial"/>
                <w:sz w:val="18"/>
              </w:rPr>
              <w:t>Depends on whether NCR-MT support band combinations.</w:t>
            </w:r>
          </w:p>
        </w:tc>
      </w:tr>
      <w:tr w:rsidR="005F63DC" w:rsidRPr="00DE6593" w14:paraId="487B3196" w14:textId="1DA4F5A2" w:rsidTr="00C861CE">
        <w:tc>
          <w:tcPr>
            <w:tcW w:w="430" w:type="pct"/>
            <w:tcBorders>
              <w:top w:val="single" w:sz="4" w:space="0" w:color="auto"/>
              <w:left w:val="single" w:sz="4" w:space="0" w:color="auto"/>
              <w:bottom w:val="single" w:sz="4" w:space="0" w:color="auto"/>
              <w:right w:val="single" w:sz="4" w:space="0" w:color="auto"/>
            </w:tcBorders>
            <w:shd w:val="clear" w:color="auto" w:fill="FFFFFF"/>
            <w:hideMark/>
          </w:tcPr>
          <w:p w14:paraId="72020728"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17. New CA BW classes</w:t>
            </w:r>
          </w:p>
        </w:tc>
        <w:tc>
          <w:tcPr>
            <w:tcW w:w="235" w:type="pct"/>
            <w:tcBorders>
              <w:top w:val="single" w:sz="4" w:space="0" w:color="auto"/>
              <w:left w:val="single" w:sz="4" w:space="0" w:color="auto"/>
              <w:bottom w:val="single" w:sz="4" w:space="0" w:color="auto"/>
              <w:right w:val="single" w:sz="4" w:space="0" w:color="auto"/>
            </w:tcBorders>
            <w:shd w:val="clear" w:color="auto" w:fill="FFFFFF"/>
            <w:hideMark/>
          </w:tcPr>
          <w:p w14:paraId="52D971AE"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17-6</w:t>
            </w:r>
          </w:p>
        </w:tc>
        <w:tc>
          <w:tcPr>
            <w:tcW w:w="494" w:type="pct"/>
            <w:tcBorders>
              <w:top w:val="single" w:sz="4" w:space="0" w:color="auto"/>
              <w:left w:val="single" w:sz="4" w:space="0" w:color="auto"/>
              <w:bottom w:val="single" w:sz="4" w:space="0" w:color="auto"/>
              <w:right w:val="single" w:sz="4" w:space="0" w:color="auto"/>
            </w:tcBorders>
            <w:shd w:val="clear" w:color="auto" w:fill="FFFFFF"/>
            <w:hideMark/>
          </w:tcPr>
          <w:p w14:paraId="7AEB0CA1"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Support of new CA BW Classes</w:t>
            </w: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26507653"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RAN4 has introduced new CA BW Classes R2~R12, and ['R, S, T, U'] for REL17</w:t>
            </w:r>
          </w:p>
        </w:tc>
        <w:tc>
          <w:tcPr>
            <w:tcW w:w="531" w:type="pct"/>
            <w:tcBorders>
              <w:top w:val="single" w:sz="4" w:space="0" w:color="auto"/>
              <w:left w:val="single" w:sz="4" w:space="0" w:color="auto"/>
              <w:bottom w:val="single" w:sz="4" w:space="0" w:color="auto"/>
              <w:right w:val="single" w:sz="4" w:space="0" w:color="auto"/>
            </w:tcBorders>
            <w:shd w:val="clear" w:color="auto" w:fill="FFFFFF"/>
            <w:hideMark/>
          </w:tcPr>
          <w:p w14:paraId="0299AC58"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FR2 only</w:t>
            </w:r>
          </w:p>
        </w:tc>
        <w:tc>
          <w:tcPr>
            <w:tcW w:w="1353" w:type="pct"/>
            <w:tcBorders>
              <w:top w:val="single" w:sz="4" w:space="0" w:color="auto"/>
              <w:left w:val="single" w:sz="4" w:space="0" w:color="auto"/>
              <w:bottom w:val="single" w:sz="4" w:space="0" w:color="auto"/>
              <w:right w:val="single" w:sz="4" w:space="0" w:color="auto"/>
            </w:tcBorders>
            <w:shd w:val="clear" w:color="auto" w:fill="FFFFFF"/>
          </w:tcPr>
          <w:p w14:paraId="5C755E9E"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p>
        </w:tc>
        <w:tc>
          <w:tcPr>
            <w:tcW w:w="725" w:type="pct"/>
            <w:tcBorders>
              <w:top w:val="single" w:sz="4" w:space="0" w:color="auto"/>
              <w:left w:val="single" w:sz="4" w:space="0" w:color="auto"/>
              <w:bottom w:val="single" w:sz="4" w:space="0" w:color="auto"/>
              <w:right w:val="single" w:sz="4" w:space="0" w:color="auto"/>
            </w:tcBorders>
            <w:shd w:val="clear" w:color="auto" w:fill="FFFFFF"/>
            <w:hideMark/>
          </w:tcPr>
          <w:p w14:paraId="1DBBCB83" w14:textId="77777777"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DE6593">
              <w:rPr>
                <w:rFonts w:ascii="Arial" w:eastAsia="Times New Roman" w:hAnsi="Arial" w:cs="Arial"/>
                <w:sz w:val="18"/>
                <w:lang w:eastAsia="ja-JP"/>
              </w:rPr>
              <w:t>Optional with capability signalling</w:t>
            </w:r>
          </w:p>
        </w:tc>
        <w:tc>
          <w:tcPr>
            <w:tcW w:w="701" w:type="pct"/>
            <w:tcBorders>
              <w:top w:val="single" w:sz="4" w:space="0" w:color="auto"/>
              <w:left w:val="single" w:sz="4" w:space="0" w:color="auto"/>
              <w:bottom w:val="single" w:sz="4" w:space="0" w:color="auto"/>
              <w:right w:val="single" w:sz="4" w:space="0" w:color="auto"/>
            </w:tcBorders>
            <w:shd w:val="clear" w:color="auto" w:fill="FFFFFF"/>
          </w:tcPr>
          <w:p w14:paraId="5C6FF7F5" w14:textId="4EA3D403" w:rsidR="005F63DC" w:rsidRPr="00DE6593" w:rsidRDefault="005F63DC" w:rsidP="005F63DC">
            <w:pPr>
              <w:keepNext/>
              <w:keepLines/>
              <w:widowControl/>
              <w:overflowPunct w:val="0"/>
              <w:autoSpaceDE w:val="0"/>
              <w:autoSpaceDN w:val="0"/>
              <w:adjustRightInd w:val="0"/>
              <w:jc w:val="left"/>
              <w:rPr>
                <w:rFonts w:ascii="Arial" w:eastAsia="Times New Roman" w:hAnsi="Arial" w:cs="Arial"/>
                <w:sz w:val="18"/>
                <w:lang w:eastAsia="ja-JP"/>
              </w:rPr>
            </w:pPr>
            <w:r w:rsidRPr="00671687">
              <w:rPr>
                <w:rFonts w:ascii="Arial" w:hAnsi="Arial" w:cs="Arial"/>
                <w:sz w:val="18"/>
              </w:rPr>
              <w:t>Depends on whether NCR-MT support band combinations.</w:t>
            </w:r>
          </w:p>
        </w:tc>
      </w:tr>
    </w:tbl>
    <w:p w14:paraId="6C2999A1" w14:textId="77777777" w:rsidR="00DE6593" w:rsidRDefault="00DE6593" w:rsidP="00CC03F9">
      <w:pPr>
        <w:widowControl/>
        <w:overflowPunct w:val="0"/>
        <w:autoSpaceDE w:val="0"/>
        <w:autoSpaceDN w:val="0"/>
        <w:adjustRightInd w:val="0"/>
        <w:spacing w:after="180"/>
        <w:jc w:val="left"/>
        <w:rPr>
          <w:rFonts w:ascii="Times New Roman" w:hAnsi="Times New Roman" w:cs="Times New Roman"/>
          <w:kern w:val="0"/>
          <w:sz w:val="20"/>
          <w:szCs w:val="20"/>
          <w:lang w:val="en-GB"/>
        </w:rPr>
      </w:pPr>
    </w:p>
    <w:p w14:paraId="55D200D2" w14:textId="77777777" w:rsidR="009C01CA" w:rsidRPr="009C01CA" w:rsidRDefault="009C01CA" w:rsidP="009C01CA">
      <w:pPr>
        <w:keepNext/>
        <w:keepLines/>
        <w:widowControl/>
        <w:overflowPunct w:val="0"/>
        <w:autoSpaceDE w:val="0"/>
        <w:autoSpaceDN w:val="0"/>
        <w:adjustRightInd w:val="0"/>
        <w:spacing w:before="60" w:after="180"/>
        <w:jc w:val="center"/>
        <w:rPr>
          <w:rFonts w:ascii="Arial" w:eastAsia="Times New Roman" w:hAnsi="Arial" w:cs="Arial"/>
          <w:b/>
          <w:lang w:eastAsia="ja-JP"/>
        </w:rPr>
      </w:pPr>
      <w:r w:rsidRPr="009C01CA">
        <w:rPr>
          <w:rFonts w:ascii="Arial" w:eastAsia="Times New Roman" w:hAnsi="Arial" w:cs="Arial"/>
          <w:b/>
          <w:lang w:eastAsia="ja-JP"/>
        </w:rPr>
        <w:t xml:space="preserve">Table 6.3.13-1: </w:t>
      </w:r>
      <w:r w:rsidRPr="009C01CA">
        <w:rPr>
          <w:rFonts w:ascii="Arial" w:eastAsia="Times New Roman" w:hAnsi="Arial" w:cs="Arial"/>
          <w:b/>
          <w:lang w:eastAsia="ko-KR"/>
        </w:rPr>
        <w:t xml:space="preserve">RF and RRM Feature List for </w:t>
      </w:r>
      <w:r w:rsidRPr="009C01CA">
        <w:rPr>
          <w:rFonts w:ascii="Arial" w:eastAsia="Times New Roman" w:hAnsi="Arial" w:cs="Arial"/>
          <w:b/>
        </w:rPr>
        <w:t>Higher Power Limit CA_DC</w:t>
      </w:r>
    </w:p>
    <w:tbl>
      <w:tblPr>
        <w:tblW w:w="44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0"/>
        <w:gridCol w:w="827"/>
        <w:gridCol w:w="1276"/>
        <w:gridCol w:w="1584"/>
        <w:gridCol w:w="1703"/>
        <w:gridCol w:w="892"/>
        <w:gridCol w:w="2297"/>
        <w:gridCol w:w="2295"/>
      </w:tblGrid>
      <w:tr w:rsidR="00C861CE" w:rsidRPr="009C01CA" w14:paraId="0B7C87D9" w14:textId="27ED14D8" w:rsidTr="00C861CE">
        <w:tc>
          <w:tcPr>
            <w:tcW w:w="806" w:type="pct"/>
            <w:tcBorders>
              <w:top w:val="single" w:sz="4" w:space="0" w:color="auto"/>
              <w:left w:val="single" w:sz="4" w:space="0" w:color="auto"/>
              <w:bottom w:val="single" w:sz="4" w:space="0" w:color="auto"/>
              <w:right w:val="single" w:sz="4" w:space="0" w:color="auto"/>
            </w:tcBorders>
            <w:hideMark/>
          </w:tcPr>
          <w:p w14:paraId="747651D4" w14:textId="77777777"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Features</w:t>
            </w:r>
          </w:p>
        </w:tc>
        <w:tc>
          <w:tcPr>
            <w:tcW w:w="319" w:type="pct"/>
            <w:tcBorders>
              <w:top w:val="single" w:sz="4" w:space="0" w:color="auto"/>
              <w:left w:val="single" w:sz="4" w:space="0" w:color="auto"/>
              <w:bottom w:val="single" w:sz="4" w:space="0" w:color="auto"/>
              <w:right w:val="single" w:sz="4" w:space="0" w:color="auto"/>
            </w:tcBorders>
            <w:hideMark/>
          </w:tcPr>
          <w:p w14:paraId="7A2E19A3" w14:textId="77777777"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Index</w:t>
            </w:r>
          </w:p>
        </w:tc>
        <w:tc>
          <w:tcPr>
            <w:tcW w:w="492" w:type="pct"/>
            <w:tcBorders>
              <w:top w:val="single" w:sz="4" w:space="0" w:color="auto"/>
              <w:left w:val="single" w:sz="4" w:space="0" w:color="auto"/>
              <w:bottom w:val="single" w:sz="4" w:space="0" w:color="auto"/>
              <w:right w:val="single" w:sz="4" w:space="0" w:color="auto"/>
            </w:tcBorders>
            <w:hideMark/>
          </w:tcPr>
          <w:p w14:paraId="559A8A82" w14:textId="77777777"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Feature group</w:t>
            </w:r>
          </w:p>
        </w:tc>
        <w:tc>
          <w:tcPr>
            <w:tcW w:w="611" w:type="pct"/>
            <w:tcBorders>
              <w:top w:val="single" w:sz="4" w:space="0" w:color="auto"/>
              <w:left w:val="single" w:sz="4" w:space="0" w:color="auto"/>
              <w:bottom w:val="single" w:sz="4" w:space="0" w:color="auto"/>
              <w:right w:val="single" w:sz="4" w:space="0" w:color="auto"/>
            </w:tcBorders>
            <w:hideMark/>
          </w:tcPr>
          <w:p w14:paraId="24C086A7" w14:textId="77777777"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Components</w:t>
            </w:r>
          </w:p>
        </w:tc>
        <w:tc>
          <w:tcPr>
            <w:tcW w:w="657" w:type="pct"/>
            <w:tcBorders>
              <w:top w:val="single" w:sz="4" w:space="0" w:color="auto"/>
              <w:left w:val="single" w:sz="4" w:space="0" w:color="auto"/>
              <w:bottom w:val="single" w:sz="4" w:space="0" w:color="auto"/>
              <w:right w:val="single" w:sz="4" w:space="0" w:color="auto"/>
            </w:tcBorders>
            <w:hideMark/>
          </w:tcPr>
          <w:p w14:paraId="4C9F0848" w14:textId="77777777"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Need of FR1/FR2 differentiation</w:t>
            </w:r>
          </w:p>
        </w:tc>
        <w:tc>
          <w:tcPr>
            <w:tcW w:w="344" w:type="pct"/>
            <w:tcBorders>
              <w:top w:val="single" w:sz="4" w:space="0" w:color="auto"/>
              <w:left w:val="single" w:sz="4" w:space="0" w:color="auto"/>
              <w:bottom w:val="single" w:sz="4" w:space="0" w:color="auto"/>
              <w:right w:val="single" w:sz="4" w:space="0" w:color="auto"/>
            </w:tcBorders>
            <w:hideMark/>
          </w:tcPr>
          <w:p w14:paraId="0C0D9930" w14:textId="77777777"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Note</w:t>
            </w:r>
          </w:p>
        </w:tc>
        <w:tc>
          <w:tcPr>
            <w:tcW w:w="886" w:type="pct"/>
            <w:tcBorders>
              <w:top w:val="single" w:sz="4" w:space="0" w:color="auto"/>
              <w:left w:val="single" w:sz="4" w:space="0" w:color="auto"/>
              <w:bottom w:val="single" w:sz="4" w:space="0" w:color="auto"/>
              <w:right w:val="single" w:sz="4" w:space="0" w:color="auto"/>
            </w:tcBorders>
            <w:hideMark/>
          </w:tcPr>
          <w:p w14:paraId="00BA708D" w14:textId="13877409"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Mandatory/Optional</w:t>
            </w:r>
            <w:r>
              <w:rPr>
                <w:rFonts w:ascii="Arial" w:eastAsia="Times New Roman" w:hAnsi="Arial" w:cs="Arial"/>
                <w:b/>
                <w:sz w:val="18"/>
                <w:lang w:eastAsia="ja-JP"/>
              </w:rPr>
              <w:t xml:space="preserve"> for UE</w:t>
            </w:r>
          </w:p>
        </w:tc>
        <w:tc>
          <w:tcPr>
            <w:tcW w:w="885" w:type="pct"/>
            <w:tcBorders>
              <w:top w:val="single" w:sz="4" w:space="0" w:color="auto"/>
              <w:left w:val="single" w:sz="4" w:space="0" w:color="auto"/>
              <w:bottom w:val="single" w:sz="4" w:space="0" w:color="auto"/>
              <w:right w:val="single" w:sz="4" w:space="0" w:color="auto"/>
            </w:tcBorders>
          </w:tcPr>
          <w:p w14:paraId="4D4557D1" w14:textId="191F88FF" w:rsidR="00C861CE" w:rsidRPr="009C01CA" w:rsidRDefault="00C861CE" w:rsidP="009C01CA">
            <w:pPr>
              <w:keepNext/>
              <w:keepLines/>
              <w:widowControl/>
              <w:overflowPunct w:val="0"/>
              <w:autoSpaceDE w:val="0"/>
              <w:autoSpaceDN w:val="0"/>
              <w:adjustRightInd w:val="0"/>
              <w:jc w:val="center"/>
              <w:rPr>
                <w:rFonts w:ascii="Arial" w:eastAsia="Times New Roman" w:hAnsi="Arial" w:cs="Arial"/>
                <w:b/>
                <w:sz w:val="18"/>
                <w:lang w:eastAsia="ja-JP"/>
              </w:rPr>
            </w:pPr>
            <w:r w:rsidRPr="009C01CA">
              <w:rPr>
                <w:rFonts w:ascii="Arial" w:eastAsia="Times New Roman" w:hAnsi="Arial" w:cs="Arial"/>
                <w:b/>
                <w:sz w:val="18"/>
                <w:lang w:eastAsia="ja-JP"/>
              </w:rPr>
              <w:t xml:space="preserve">Mandatory/Optional for </w:t>
            </w:r>
            <w:r>
              <w:rPr>
                <w:rFonts w:ascii="Arial" w:eastAsia="Times New Roman" w:hAnsi="Arial" w:cs="Arial"/>
                <w:b/>
                <w:sz w:val="18"/>
                <w:lang w:eastAsia="ja-JP"/>
              </w:rPr>
              <w:t>NCR-MT</w:t>
            </w:r>
          </w:p>
        </w:tc>
      </w:tr>
      <w:tr w:rsidR="00C861CE" w:rsidRPr="009C01CA" w14:paraId="796690DB" w14:textId="7846D35A" w:rsidTr="00C861CE">
        <w:tc>
          <w:tcPr>
            <w:tcW w:w="806" w:type="pct"/>
            <w:tcBorders>
              <w:top w:val="single" w:sz="4" w:space="0" w:color="auto"/>
              <w:left w:val="single" w:sz="4" w:space="0" w:color="auto"/>
              <w:bottom w:val="single" w:sz="4" w:space="0" w:color="auto"/>
              <w:right w:val="single" w:sz="4" w:space="0" w:color="auto"/>
            </w:tcBorders>
            <w:hideMark/>
          </w:tcPr>
          <w:p w14:paraId="43745345" w14:textId="77777777" w:rsidR="00C861CE" w:rsidRPr="009C01CA" w:rsidRDefault="00C861CE" w:rsidP="009C01CA">
            <w:pPr>
              <w:keepNext/>
              <w:keepLines/>
              <w:widowControl/>
              <w:overflowPunct w:val="0"/>
              <w:autoSpaceDE w:val="0"/>
              <w:autoSpaceDN w:val="0"/>
              <w:adjustRightInd w:val="0"/>
              <w:jc w:val="left"/>
              <w:rPr>
                <w:rFonts w:ascii="Arial" w:eastAsia="宋体" w:hAnsi="Arial" w:cs="Arial"/>
                <w:sz w:val="18"/>
              </w:rPr>
            </w:pPr>
            <w:r w:rsidRPr="009C01CA">
              <w:rPr>
                <w:rFonts w:ascii="Arial" w:eastAsia="Yu Mincho" w:hAnsi="Arial" w:cs="Arial"/>
                <w:sz w:val="18"/>
              </w:rPr>
              <w:t>26</w:t>
            </w:r>
            <w:r w:rsidRPr="009C01CA">
              <w:rPr>
                <w:rFonts w:ascii="Arial" w:eastAsia="宋体" w:hAnsi="Arial" w:cs="Arial"/>
                <w:sz w:val="18"/>
              </w:rPr>
              <w:t>. Increased MOP for CA and DC</w:t>
            </w:r>
          </w:p>
        </w:tc>
        <w:tc>
          <w:tcPr>
            <w:tcW w:w="319" w:type="pct"/>
            <w:tcBorders>
              <w:top w:val="single" w:sz="4" w:space="0" w:color="auto"/>
              <w:left w:val="single" w:sz="4" w:space="0" w:color="auto"/>
              <w:bottom w:val="single" w:sz="4" w:space="0" w:color="auto"/>
              <w:right w:val="single" w:sz="4" w:space="0" w:color="auto"/>
            </w:tcBorders>
            <w:hideMark/>
          </w:tcPr>
          <w:p w14:paraId="60AB4F53" w14:textId="77777777" w:rsidR="00C861CE" w:rsidRPr="009C01CA" w:rsidRDefault="00C861CE" w:rsidP="009C01CA">
            <w:pPr>
              <w:keepNext/>
              <w:keepLines/>
              <w:widowControl/>
              <w:overflowPunct w:val="0"/>
              <w:autoSpaceDE w:val="0"/>
              <w:autoSpaceDN w:val="0"/>
              <w:adjustRightInd w:val="0"/>
              <w:jc w:val="left"/>
              <w:rPr>
                <w:rFonts w:ascii="Arial" w:eastAsia="Times New Roman" w:hAnsi="Arial" w:cs="Arial"/>
                <w:sz w:val="18"/>
                <w:lang w:eastAsia="ja-JP"/>
              </w:rPr>
            </w:pPr>
            <w:r w:rsidRPr="009C01CA">
              <w:rPr>
                <w:rFonts w:ascii="Arial" w:eastAsia="Yu Mincho" w:hAnsi="Arial" w:cs="Arial"/>
                <w:sz w:val="18"/>
              </w:rPr>
              <w:t>26-</w:t>
            </w:r>
            <w:r w:rsidRPr="009C01CA">
              <w:rPr>
                <w:rFonts w:ascii="Arial" w:eastAsia="宋体" w:hAnsi="Arial" w:cs="Arial"/>
                <w:sz w:val="18"/>
              </w:rPr>
              <w:t>1</w:t>
            </w:r>
          </w:p>
        </w:tc>
        <w:tc>
          <w:tcPr>
            <w:tcW w:w="492" w:type="pct"/>
            <w:tcBorders>
              <w:top w:val="single" w:sz="4" w:space="0" w:color="auto"/>
              <w:left w:val="single" w:sz="4" w:space="0" w:color="auto"/>
              <w:bottom w:val="single" w:sz="4" w:space="0" w:color="auto"/>
              <w:right w:val="single" w:sz="4" w:space="0" w:color="auto"/>
            </w:tcBorders>
            <w:hideMark/>
          </w:tcPr>
          <w:p w14:paraId="270F0FCD" w14:textId="77777777" w:rsidR="00C861CE" w:rsidRPr="009C01CA" w:rsidRDefault="00C861CE" w:rsidP="009C01CA">
            <w:pPr>
              <w:keepNext/>
              <w:keepLines/>
              <w:widowControl/>
              <w:overflowPunct w:val="0"/>
              <w:autoSpaceDE w:val="0"/>
              <w:autoSpaceDN w:val="0"/>
              <w:adjustRightInd w:val="0"/>
              <w:jc w:val="left"/>
              <w:rPr>
                <w:rFonts w:ascii="Arial" w:eastAsia="Times New Roman" w:hAnsi="Arial" w:cs="Arial"/>
                <w:sz w:val="18"/>
                <w:lang w:eastAsia="ja-JP"/>
              </w:rPr>
            </w:pPr>
            <w:r w:rsidRPr="009C01CA">
              <w:rPr>
                <w:rFonts w:ascii="Arial" w:eastAsia="宋体" w:hAnsi="Arial" w:cs="Arial"/>
                <w:sz w:val="18"/>
              </w:rPr>
              <w:t>Higher Power Limit CA_DC</w:t>
            </w:r>
          </w:p>
        </w:tc>
        <w:tc>
          <w:tcPr>
            <w:tcW w:w="611" w:type="pct"/>
            <w:tcBorders>
              <w:top w:val="single" w:sz="4" w:space="0" w:color="auto"/>
              <w:left w:val="single" w:sz="4" w:space="0" w:color="auto"/>
              <w:bottom w:val="single" w:sz="4" w:space="0" w:color="auto"/>
              <w:right w:val="single" w:sz="4" w:space="0" w:color="auto"/>
            </w:tcBorders>
            <w:hideMark/>
          </w:tcPr>
          <w:p w14:paraId="07DDED7D" w14:textId="77777777" w:rsidR="00C861CE" w:rsidRPr="009C01CA" w:rsidRDefault="00C861CE" w:rsidP="009C01CA">
            <w:pPr>
              <w:keepNext/>
              <w:keepLines/>
              <w:widowControl/>
              <w:overflowPunct w:val="0"/>
              <w:autoSpaceDE w:val="0"/>
              <w:autoSpaceDN w:val="0"/>
              <w:adjustRightInd w:val="0"/>
              <w:jc w:val="left"/>
              <w:rPr>
                <w:rFonts w:ascii="Arial" w:eastAsia="Times New Roman" w:hAnsi="Arial" w:cs="Arial"/>
                <w:sz w:val="18"/>
                <w:lang w:eastAsia="ja-JP"/>
              </w:rPr>
            </w:pPr>
            <w:r w:rsidRPr="009C01CA">
              <w:rPr>
                <w:rFonts w:ascii="Arial" w:eastAsia="宋体" w:hAnsi="Arial" w:cs="Arial"/>
                <w:sz w:val="18"/>
              </w:rPr>
              <w:t>Support of increase in maximum output power above the power class indication</w:t>
            </w:r>
          </w:p>
        </w:tc>
        <w:tc>
          <w:tcPr>
            <w:tcW w:w="657" w:type="pct"/>
            <w:tcBorders>
              <w:top w:val="single" w:sz="4" w:space="0" w:color="auto"/>
              <w:left w:val="single" w:sz="4" w:space="0" w:color="auto"/>
              <w:bottom w:val="single" w:sz="4" w:space="0" w:color="auto"/>
              <w:right w:val="single" w:sz="4" w:space="0" w:color="auto"/>
            </w:tcBorders>
            <w:hideMark/>
          </w:tcPr>
          <w:p w14:paraId="2F2C43A3" w14:textId="77777777" w:rsidR="00C861CE" w:rsidRPr="009C01CA" w:rsidRDefault="00C861CE" w:rsidP="009C01CA">
            <w:pPr>
              <w:keepNext/>
              <w:keepLines/>
              <w:widowControl/>
              <w:overflowPunct w:val="0"/>
              <w:autoSpaceDE w:val="0"/>
              <w:autoSpaceDN w:val="0"/>
              <w:adjustRightInd w:val="0"/>
              <w:jc w:val="left"/>
              <w:rPr>
                <w:rFonts w:ascii="Arial" w:eastAsia="Times New Roman" w:hAnsi="Arial" w:cs="Arial"/>
                <w:sz w:val="18"/>
                <w:lang w:eastAsia="ja-JP"/>
              </w:rPr>
            </w:pPr>
            <w:r w:rsidRPr="009C01CA">
              <w:rPr>
                <w:rFonts w:ascii="Arial" w:eastAsia="宋体" w:hAnsi="Arial" w:cs="Arial"/>
                <w:sz w:val="18"/>
              </w:rPr>
              <w:t>FR1 only</w:t>
            </w:r>
          </w:p>
        </w:tc>
        <w:tc>
          <w:tcPr>
            <w:tcW w:w="344" w:type="pct"/>
            <w:tcBorders>
              <w:top w:val="single" w:sz="4" w:space="0" w:color="auto"/>
              <w:left w:val="single" w:sz="4" w:space="0" w:color="auto"/>
              <w:bottom w:val="single" w:sz="4" w:space="0" w:color="auto"/>
              <w:right w:val="single" w:sz="4" w:space="0" w:color="auto"/>
            </w:tcBorders>
          </w:tcPr>
          <w:p w14:paraId="502B8FAB" w14:textId="77777777" w:rsidR="00C861CE" w:rsidRPr="009C01CA" w:rsidRDefault="00C861CE" w:rsidP="009C01CA">
            <w:pPr>
              <w:keepNext/>
              <w:keepLines/>
              <w:widowControl/>
              <w:overflowPunct w:val="0"/>
              <w:autoSpaceDE w:val="0"/>
              <w:autoSpaceDN w:val="0"/>
              <w:adjustRightInd w:val="0"/>
              <w:jc w:val="left"/>
              <w:rPr>
                <w:rFonts w:ascii="Arial" w:eastAsia="Times New Roman" w:hAnsi="Arial" w:cs="Arial"/>
                <w:sz w:val="18"/>
                <w:lang w:eastAsia="ja-JP"/>
              </w:rPr>
            </w:pPr>
          </w:p>
        </w:tc>
        <w:tc>
          <w:tcPr>
            <w:tcW w:w="886" w:type="pct"/>
            <w:tcBorders>
              <w:top w:val="single" w:sz="4" w:space="0" w:color="auto"/>
              <w:left w:val="single" w:sz="4" w:space="0" w:color="auto"/>
              <w:bottom w:val="single" w:sz="4" w:space="0" w:color="auto"/>
              <w:right w:val="single" w:sz="4" w:space="0" w:color="auto"/>
            </w:tcBorders>
            <w:hideMark/>
          </w:tcPr>
          <w:p w14:paraId="32336997" w14:textId="77777777" w:rsidR="00C861CE" w:rsidRPr="009C01CA" w:rsidRDefault="00C861CE" w:rsidP="009C01CA">
            <w:pPr>
              <w:keepNext/>
              <w:keepLines/>
              <w:widowControl/>
              <w:overflowPunct w:val="0"/>
              <w:autoSpaceDE w:val="0"/>
              <w:autoSpaceDN w:val="0"/>
              <w:adjustRightInd w:val="0"/>
              <w:jc w:val="left"/>
              <w:rPr>
                <w:rFonts w:ascii="Arial" w:eastAsia="Times New Roman" w:hAnsi="Arial" w:cs="Arial"/>
                <w:sz w:val="18"/>
                <w:lang w:eastAsia="ja-JP"/>
              </w:rPr>
            </w:pPr>
            <w:r w:rsidRPr="009C01CA">
              <w:rPr>
                <w:rFonts w:ascii="Arial" w:eastAsia="宋体" w:hAnsi="Arial" w:cs="Arial"/>
                <w:sz w:val="18"/>
              </w:rPr>
              <w:t>Optional with capability signaling</w:t>
            </w:r>
          </w:p>
        </w:tc>
        <w:tc>
          <w:tcPr>
            <w:tcW w:w="885" w:type="pct"/>
            <w:tcBorders>
              <w:top w:val="single" w:sz="4" w:space="0" w:color="auto"/>
              <w:left w:val="single" w:sz="4" w:space="0" w:color="auto"/>
              <w:bottom w:val="single" w:sz="4" w:space="0" w:color="auto"/>
              <w:right w:val="single" w:sz="4" w:space="0" w:color="auto"/>
            </w:tcBorders>
          </w:tcPr>
          <w:p w14:paraId="50270926" w14:textId="6E8F2B15" w:rsidR="00C861CE" w:rsidRPr="009C01CA" w:rsidRDefault="005F63DC" w:rsidP="009C01CA">
            <w:pPr>
              <w:keepNext/>
              <w:keepLines/>
              <w:widowControl/>
              <w:overflowPunct w:val="0"/>
              <w:autoSpaceDE w:val="0"/>
              <w:autoSpaceDN w:val="0"/>
              <w:adjustRightInd w:val="0"/>
              <w:jc w:val="left"/>
              <w:rPr>
                <w:rFonts w:ascii="Arial" w:eastAsia="宋体" w:hAnsi="Arial" w:cs="Arial"/>
                <w:sz w:val="18"/>
              </w:rPr>
            </w:pPr>
            <w:r w:rsidRPr="005F63DC">
              <w:rPr>
                <w:rFonts w:ascii="Arial" w:eastAsia="宋体" w:hAnsi="Arial" w:cs="Arial"/>
                <w:sz w:val="18"/>
              </w:rPr>
              <w:t>Depends on whether NCR-MT support band combinations.</w:t>
            </w:r>
          </w:p>
        </w:tc>
      </w:tr>
    </w:tbl>
    <w:p w14:paraId="4836153C" w14:textId="77777777" w:rsidR="009C01CA" w:rsidRPr="00CC03F9" w:rsidRDefault="009C01CA" w:rsidP="00CC03F9">
      <w:pPr>
        <w:widowControl/>
        <w:overflowPunct w:val="0"/>
        <w:autoSpaceDE w:val="0"/>
        <w:autoSpaceDN w:val="0"/>
        <w:adjustRightInd w:val="0"/>
        <w:spacing w:after="180"/>
        <w:jc w:val="left"/>
        <w:rPr>
          <w:rFonts w:ascii="Times New Roman" w:hAnsi="Times New Roman" w:cs="Times New Roman"/>
          <w:kern w:val="0"/>
          <w:sz w:val="20"/>
          <w:szCs w:val="20"/>
          <w:lang w:val="en-GB"/>
        </w:rPr>
      </w:pPr>
    </w:p>
    <w:p w14:paraId="337BFDF9" w14:textId="5CAD2B01" w:rsidR="00A01F71" w:rsidRDefault="00A01F71" w:rsidP="00C31F67">
      <w:pPr>
        <w:spacing w:after="120"/>
        <w:rPr>
          <w:rFonts w:ascii="Times New Roman" w:eastAsia="宋体" w:hAnsi="Times New Roman" w:cs="Times New Roman"/>
          <w:b/>
          <w:bCs/>
          <w:sz w:val="20"/>
        </w:rPr>
      </w:pPr>
    </w:p>
    <w:p w14:paraId="487D2CF3"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3. Conclusions</w:t>
      </w:r>
    </w:p>
    <w:p w14:paraId="05323435" w14:textId="744AFD95" w:rsidR="00F852CC" w:rsidRPr="00F852CC" w:rsidRDefault="00F852CC" w:rsidP="00F852CC">
      <w:pPr>
        <w:spacing w:afterLines="50" w:after="156"/>
        <w:rPr>
          <w:rFonts w:ascii="Times New Roman" w:eastAsia="宋体" w:hAnsi="Times New Roman" w:cs="Times New Roman"/>
          <w:sz w:val="20"/>
          <w:szCs w:val="20"/>
        </w:rPr>
      </w:pPr>
      <w:r w:rsidRPr="00F852CC">
        <w:rPr>
          <w:rFonts w:ascii="Times New Roman" w:eastAsia="宋体" w:hAnsi="Times New Roman" w:cs="Times New Roman"/>
          <w:sz w:val="20"/>
          <w:szCs w:val="20"/>
        </w:rPr>
        <w:t xml:space="preserve">In this contribution, </w:t>
      </w:r>
      <w:r w:rsidR="00026DF5">
        <w:rPr>
          <w:rFonts w:ascii="Times New Roman" w:eastAsia="宋体" w:hAnsi="Times New Roman" w:cs="Times New Roman"/>
          <w:sz w:val="20"/>
          <w:szCs w:val="20"/>
        </w:rPr>
        <w:t xml:space="preserve">NCR </w:t>
      </w:r>
      <w:r w:rsidR="00E4122D">
        <w:rPr>
          <w:rFonts w:ascii="Times New Roman" w:eastAsia="宋体" w:hAnsi="Times New Roman" w:cs="Times New Roman"/>
          <w:sz w:val="20"/>
          <w:szCs w:val="20"/>
        </w:rPr>
        <w:t xml:space="preserve">feature list </w:t>
      </w:r>
      <w:r w:rsidRPr="00F852CC">
        <w:rPr>
          <w:rFonts w:ascii="Times New Roman" w:eastAsia="宋体" w:hAnsi="Times New Roman" w:cs="Times New Roman"/>
          <w:sz w:val="20"/>
          <w:szCs w:val="20"/>
        </w:rPr>
        <w:t>are</w:t>
      </w:r>
      <w:r w:rsidRPr="00F852CC">
        <w:rPr>
          <w:rFonts w:ascii="Times New Roman" w:eastAsia="宋体" w:hAnsi="Times New Roman" w:cs="Times New Roman" w:hint="eastAsia"/>
          <w:sz w:val="20"/>
          <w:szCs w:val="20"/>
        </w:rPr>
        <w:t xml:space="preserve"> discussed </w:t>
      </w:r>
      <w:r w:rsidRPr="00F852CC">
        <w:rPr>
          <w:rFonts w:ascii="Times New Roman" w:eastAsia="宋体" w:hAnsi="Times New Roman" w:cs="Times New Roman"/>
          <w:sz w:val="20"/>
          <w:szCs w:val="20"/>
        </w:rPr>
        <w:t>with following observations and proposals:</w:t>
      </w:r>
    </w:p>
    <w:p w14:paraId="632F6ED4"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 xml:space="preserve">Observation </w:t>
      </w:r>
      <w:r>
        <w:rPr>
          <w:rFonts w:ascii="Times New Roman" w:hAnsi="Times New Roman" w:cs="Times New Roman"/>
          <w:b/>
          <w:bCs/>
          <w:sz w:val="20"/>
          <w:szCs w:val="20"/>
        </w:rPr>
        <w:t>1</w:t>
      </w:r>
      <w:r w:rsidRPr="00202607">
        <w:rPr>
          <w:rFonts w:ascii="Times New Roman" w:hAnsi="Times New Roman" w:cs="Times New Roman"/>
          <w:b/>
          <w:bCs/>
          <w:sz w:val="20"/>
          <w:szCs w:val="20"/>
        </w:rPr>
        <w:t>: summary of all R1</w:t>
      </w:r>
      <w:r>
        <w:rPr>
          <w:rFonts w:ascii="Times New Roman" w:hAnsi="Times New Roman" w:cs="Times New Roman"/>
          <w:b/>
          <w:bCs/>
          <w:sz w:val="20"/>
          <w:szCs w:val="20"/>
        </w:rPr>
        <w:t>5</w:t>
      </w:r>
      <w:r w:rsidRPr="00202607">
        <w:rPr>
          <w:rFonts w:ascii="Times New Roman" w:hAnsi="Times New Roman" w:cs="Times New Roman"/>
          <w:b/>
          <w:bCs/>
          <w:sz w:val="20"/>
          <w:szCs w:val="20"/>
        </w:rPr>
        <w:t xml:space="preserve"> UE features:</w:t>
      </w:r>
    </w:p>
    <w:p w14:paraId="2DBB9BD3" w14:textId="77777777" w:rsidR="00E4122D" w:rsidRPr="00202607" w:rsidRDefault="00E4122D" w:rsidP="00E4122D">
      <w:pPr>
        <w:pStyle w:val="ListParagraph"/>
        <w:numPr>
          <w:ilvl w:val="0"/>
          <w:numId w:val="19"/>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Following are mandatory feature without capability signaling</w:t>
      </w:r>
    </w:p>
    <w:p w14:paraId="1155BB35"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64 QAM, 256 QAM and pi/2-BPSK related, i.e. index 1-2, 1-3, 1-4, 1-6, 1-7</w:t>
      </w:r>
    </w:p>
    <w:p w14:paraId="20FB93A8"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7.5kHz UL raster shift, i.e. index 1-11</w:t>
      </w:r>
    </w:p>
    <w:p w14:paraId="6E5C5EBB"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Max CBW, i.e. index 2-1</w:t>
      </w:r>
    </w:p>
    <w:p w14:paraId="68AB2FCE"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Band combination related, i.e. </w:t>
      </w:r>
    </w:p>
    <w:p w14:paraId="0A55E60E" w14:textId="77777777" w:rsidR="00E4122D" w:rsidRPr="00202607" w:rsidRDefault="00E4122D" w:rsidP="00E4122D">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index 2-2 Simultaneous reception or transmission with same or different numerologies in CA, </w:t>
      </w:r>
    </w:p>
    <w:p w14:paraId="1C675000" w14:textId="77777777" w:rsidR="00E4122D" w:rsidRPr="00202607" w:rsidRDefault="00E4122D" w:rsidP="00E4122D">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index 2-3 Non-contiguous intra-band CA frequency separation class for FR2, </w:t>
      </w:r>
    </w:p>
    <w:p w14:paraId="4274CA38" w14:textId="77777777" w:rsidR="00E4122D" w:rsidRPr="00202607" w:rsidRDefault="00E4122D" w:rsidP="00E4122D">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 xml:space="preserve">2-4, 2-5, 2-9 Simultaneous reception and transmission, </w:t>
      </w:r>
    </w:p>
    <w:p w14:paraId="157EA55B" w14:textId="77777777" w:rsidR="00E4122D" w:rsidRPr="00202607" w:rsidRDefault="00E4122D" w:rsidP="00E4122D">
      <w:pPr>
        <w:pStyle w:val="ListParagraph"/>
        <w:numPr>
          <w:ilvl w:val="1"/>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2-16, 2-17 PA architectures</w:t>
      </w:r>
    </w:p>
    <w:p w14:paraId="369A53D3"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t>UE power class, i.e. index 2-8</w:t>
      </w:r>
    </w:p>
    <w:p w14:paraId="598E8F3B"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eastAsia="Times New Roman" w:hAnsi="Times New Roman" w:cs="Times New Roman"/>
          <w:b/>
          <w:bCs/>
          <w:sz w:val="20"/>
          <w:szCs w:val="20"/>
          <w:lang w:eastAsia="ja-JP"/>
        </w:rPr>
        <w:t>Multiple frequency band indication, i.e. index 2-10</w:t>
      </w:r>
    </w:p>
    <w:p w14:paraId="4D19B282" w14:textId="77777777" w:rsidR="00E4122D" w:rsidRPr="00202607" w:rsidRDefault="00E4122D" w:rsidP="00E4122D">
      <w:pPr>
        <w:pStyle w:val="ListParagraph"/>
        <w:numPr>
          <w:ilvl w:val="0"/>
          <w:numId w:val="18"/>
        </w:numPr>
        <w:spacing w:before="120" w:after="120"/>
        <w:ind w:firstLineChars="0"/>
        <w:rPr>
          <w:rFonts w:ascii="Times New Roman" w:hAnsi="Times New Roman" w:cs="Times New Roman"/>
          <w:b/>
          <w:bCs/>
          <w:sz w:val="20"/>
          <w:szCs w:val="20"/>
        </w:rPr>
      </w:pPr>
      <w:r w:rsidRPr="00202607">
        <w:rPr>
          <w:rFonts w:ascii="Times New Roman" w:hAnsi="Times New Roman" w:cs="Times New Roman"/>
          <w:b/>
          <w:bCs/>
          <w:sz w:val="20"/>
          <w:szCs w:val="20"/>
        </w:rPr>
        <w:lastRenderedPageBreak/>
        <w:t>Multiple NS/P-Max, i.e. index 2-12</w:t>
      </w:r>
    </w:p>
    <w:p w14:paraId="3208CF97"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 xml:space="preserve">Proposal 1: it’s suggested to discuss whether 256 QAM, 64 QAM and pi/2 BPSK modulation scheme are mandatory or not for NCR-MT before concluding related feature. Our suggestion is </w:t>
      </w:r>
      <w:r>
        <w:rPr>
          <w:rFonts w:ascii="Times New Roman" w:hAnsi="Times New Roman" w:cs="Times New Roman"/>
          <w:b/>
          <w:bCs/>
          <w:sz w:val="20"/>
          <w:szCs w:val="20"/>
        </w:rPr>
        <w:t>as below</w:t>
      </w:r>
      <w:r w:rsidRPr="00202607">
        <w:rPr>
          <w:rFonts w:ascii="Times New Roman" w:hAnsi="Times New Roman" w:cs="Times New Roman"/>
          <w:b/>
          <w:bCs/>
          <w:sz w:val="20"/>
          <w:szCs w:val="20"/>
        </w:rPr>
        <w:t xml:space="preserve"> </w:t>
      </w:r>
    </w:p>
    <w:p w14:paraId="1710A42E" w14:textId="77777777" w:rsidR="00E4122D" w:rsidRPr="00202607" w:rsidRDefault="00E4122D" w:rsidP="00E4122D">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64 QAM mandatory for both FR1 and FR2 UL and DL</w:t>
      </w:r>
    </w:p>
    <w:p w14:paraId="747747C2" w14:textId="77777777" w:rsidR="00E4122D" w:rsidRPr="00202607" w:rsidRDefault="00E4122D" w:rsidP="00E4122D">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256QAM mandatory for FR1 DL, optional for FR1 UL and FR2 UL and DL</w:t>
      </w:r>
    </w:p>
    <w:p w14:paraId="1F08CF85" w14:textId="77777777" w:rsidR="00E4122D" w:rsidRPr="00202607" w:rsidRDefault="00E4122D" w:rsidP="00E4122D">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 xml:space="preserve">pi/2 BPSK optional for FR1 and mandatory for FR2 </w:t>
      </w:r>
    </w:p>
    <w:p w14:paraId="300DE67A" w14:textId="77777777" w:rsidR="00E4122D" w:rsidRPr="00202607" w:rsidRDefault="00E4122D" w:rsidP="00E4122D">
      <w:pPr>
        <w:pStyle w:val="ListParagraph"/>
        <w:numPr>
          <w:ilvl w:val="1"/>
          <w:numId w:val="21"/>
        </w:numPr>
        <w:spacing w:before="120" w:after="120"/>
        <w:ind w:firstLineChars="0"/>
        <w:rPr>
          <w:rFonts w:ascii="Times New Roman" w:hAnsi="Times New Roman" w:cs="Times New Roman"/>
          <w:sz w:val="20"/>
          <w:szCs w:val="20"/>
        </w:rPr>
      </w:pPr>
      <w:r w:rsidRPr="00202607">
        <w:rPr>
          <w:rFonts w:ascii="Times New Roman" w:hAnsi="Times New Roman" w:cs="Times New Roman"/>
          <w:sz w:val="20"/>
          <w:szCs w:val="20"/>
        </w:rPr>
        <w:t>Power boosting for Pi/2 BPSK NCR-MT is optional</w:t>
      </w:r>
      <w:r>
        <w:rPr>
          <w:rFonts w:ascii="Times New Roman" w:hAnsi="Times New Roman" w:cs="Times New Roman"/>
          <w:sz w:val="20"/>
          <w:szCs w:val="20"/>
        </w:rPr>
        <w:t>, the same as UE</w:t>
      </w:r>
    </w:p>
    <w:p w14:paraId="204FA2E6"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2: 7.5kHz raster shift, multiple frequency band indication and Multiple NS/P-max are mandatory for NCR-MT</w:t>
      </w:r>
    </w:p>
    <w:p w14:paraId="2A291D75"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3: max CBW is optional for NCR-MT</w:t>
      </w:r>
    </w:p>
    <w:p w14:paraId="065BEB6C"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 xml:space="preserve">proposal 4: it’s suggested to figure out whether NCR-MT could support band combinations or only </w:t>
      </w:r>
      <w:r>
        <w:rPr>
          <w:rFonts w:ascii="Times New Roman" w:hAnsi="Times New Roman" w:cs="Times New Roman"/>
          <w:b/>
          <w:bCs/>
          <w:sz w:val="20"/>
          <w:szCs w:val="20"/>
        </w:rPr>
        <w:t xml:space="preserve">support </w:t>
      </w:r>
      <w:r w:rsidRPr="00202607">
        <w:rPr>
          <w:rFonts w:ascii="Times New Roman" w:hAnsi="Times New Roman" w:cs="Times New Roman"/>
          <w:b/>
          <w:bCs/>
          <w:sz w:val="20"/>
          <w:szCs w:val="20"/>
        </w:rPr>
        <w:t>single carrier in this release. If NCR-MT support band-combinations, the same feature as UE except for max duty cycle related feature which need further check</w:t>
      </w:r>
    </w:p>
    <w:p w14:paraId="0F634084"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5: UE power class feature wait for conclusion of NCR-MT power class/class definition.</w:t>
      </w:r>
    </w:p>
    <w:p w14:paraId="62A9E485"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6: if MPR requirements are defined for NCR-MT, then Modified MPR behaviour is still optional for NCR-MT, otherwise, such feature is not applicable</w:t>
      </w:r>
    </w:p>
    <w:p w14:paraId="57829840" w14:textId="77777777" w:rsidR="00E4122D" w:rsidRPr="00202607" w:rsidRDefault="00E4122D" w:rsidP="00E4122D">
      <w:pPr>
        <w:spacing w:before="120" w:after="120"/>
        <w:rPr>
          <w:rFonts w:ascii="Times New Roman" w:hAnsi="Times New Roman" w:cs="Times New Roman"/>
          <w:b/>
          <w:bCs/>
          <w:sz w:val="20"/>
          <w:szCs w:val="20"/>
        </w:rPr>
      </w:pPr>
      <w:r w:rsidRPr="00202607">
        <w:rPr>
          <w:rFonts w:ascii="Times New Roman" w:hAnsi="Times New Roman" w:cs="Times New Roman"/>
          <w:b/>
          <w:bCs/>
          <w:sz w:val="20"/>
          <w:szCs w:val="20"/>
        </w:rPr>
        <w:t>Proposal 7: max duty cycle related feature are not applicable for NCR-MT.</w:t>
      </w:r>
    </w:p>
    <w:p w14:paraId="32D8CFF5" w14:textId="77777777" w:rsidR="003B0CB5" w:rsidRPr="004F0673" w:rsidRDefault="003B0CB5" w:rsidP="003B0CB5">
      <w:pPr>
        <w:spacing w:before="120" w:after="120"/>
        <w:rPr>
          <w:rFonts w:ascii="Times New Roman" w:hAnsi="Times New Roman" w:cs="Times New Roman"/>
          <w:b/>
          <w:bCs/>
          <w:sz w:val="20"/>
          <w:szCs w:val="21"/>
        </w:rPr>
      </w:pPr>
      <w:r w:rsidRPr="004F0673">
        <w:rPr>
          <w:rFonts w:ascii="Times New Roman" w:hAnsi="Times New Roman" w:cs="Times New Roman"/>
          <w:b/>
          <w:bCs/>
          <w:sz w:val="20"/>
          <w:szCs w:val="21"/>
        </w:rPr>
        <w:t>Observation 2: summary of all R16 UE features:</w:t>
      </w:r>
    </w:p>
    <w:p w14:paraId="42AEB289" w14:textId="77777777" w:rsidR="003B0CB5" w:rsidRPr="004F0673" w:rsidRDefault="003B0CB5" w:rsidP="003B0CB5">
      <w:pPr>
        <w:pStyle w:val="ListParagraph"/>
        <w:numPr>
          <w:ilvl w:val="0"/>
          <w:numId w:val="16"/>
        </w:numPr>
        <w:ind w:firstLineChars="0"/>
        <w:rPr>
          <w:rFonts w:ascii="Times New Roman" w:hAnsi="Times New Roman" w:cs="Times New Roman"/>
          <w:b/>
          <w:bCs/>
          <w:sz w:val="20"/>
          <w:szCs w:val="21"/>
        </w:rPr>
      </w:pPr>
      <w:r w:rsidRPr="004F0673">
        <w:rPr>
          <w:rFonts w:ascii="Times New Roman" w:hAnsi="Times New Roman" w:cs="Times New Roman"/>
          <w:b/>
          <w:bCs/>
          <w:sz w:val="20"/>
          <w:szCs w:val="21"/>
        </w:rPr>
        <w:t>There is only one mandatory feature, i.e. feature index 8-5 Inter-band DL CA(FR2) to report supported beam management type in TR 38.822, all other feature are optional.</w:t>
      </w:r>
    </w:p>
    <w:p w14:paraId="43040504" w14:textId="77777777" w:rsidR="003B0CB5" w:rsidRPr="004F0673" w:rsidRDefault="003B0CB5" w:rsidP="003B0CB5">
      <w:pPr>
        <w:pStyle w:val="ListParagraph"/>
        <w:numPr>
          <w:ilvl w:val="0"/>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Features could be categorized as below</w:t>
      </w:r>
    </w:p>
    <w:p w14:paraId="0C413CBA" w14:textId="77777777" w:rsidR="003B0CB5" w:rsidRPr="004F0673" w:rsidRDefault="003B0CB5" w:rsidP="003B0CB5">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Band combination related, including dynamic Tx switching related feature, NR CA related feature, e.g. DC location, CA class, Non-contiguous intra-band DL CA (index 8-4) , Inter-band DL CA (index 8-5) and EN-DC related, e.g. max duty cycle index 2-18 and 2-20</w:t>
      </w:r>
    </w:p>
    <w:p w14:paraId="3DC36FFB" w14:textId="77777777" w:rsidR="003B0CB5" w:rsidRPr="004F0673" w:rsidRDefault="003B0CB5" w:rsidP="003B0CB5">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Transient period, i.e. index 7-4</w:t>
      </w:r>
    </w:p>
    <w:p w14:paraId="0DABC3CF" w14:textId="77777777" w:rsidR="003B0CB5" w:rsidRPr="004F0673" w:rsidRDefault="003B0CB5" w:rsidP="003B0CB5">
      <w:pPr>
        <w:pStyle w:val="ListParagraph"/>
        <w:numPr>
          <w:ilvl w:val="1"/>
          <w:numId w:val="16"/>
        </w:numPr>
        <w:ind w:firstLineChars="0"/>
        <w:rPr>
          <w:rFonts w:ascii="Times New Roman" w:hAnsi="Times New Roman" w:cs="Times New Roman"/>
          <w:b/>
          <w:bCs/>
          <w:sz w:val="20"/>
          <w:szCs w:val="21"/>
        </w:rPr>
      </w:pPr>
      <w:r w:rsidRPr="004F0673">
        <w:rPr>
          <w:rFonts w:ascii="Times New Roman" w:hAnsi="Times New Roman" w:cs="Times New Roman"/>
          <w:b/>
          <w:bCs/>
          <w:sz w:val="20"/>
          <w:szCs w:val="21"/>
        </w:rPr>
        <w:t>MPE, i.e. index 8-1 P-MPR reporting</w:t>
      </w:r>
    </w:p>
    <w:p w14:paraId="11838497" w14:textId="77777777" w:rsidR="003B0CB5" w:rsidRPr="004F0673" w:rsidRDefault="003B0CB5" w:rsidP="003B0CB5">
      <w:pPr>
        <w:pStyle w:val="ListParagraph"/>
        <w:numPr>
          <w:ilvl w:val="1"/>
          <w:numId w:val="16"/>
        </w:numPr>
        <w:ind w:firstLineChars="0"/>
        <w:rPr>
          <w:rFonts w:ascii="Times New Roman" w:hAnsi="Times New Roman" w:cs="Times New Roman"/>
          <w:b/>
          <w:bCs/>
          <w:sz w:val="20"/>
          <w:szCs w:val="21"/>
        </w:rPr>
      </w:pPr>
      <w:r w:rsidRPr="004F0673">
        <w:rPr>
          <w:rFonts w:ascii="Times New Roman" w:hAnsi="Times New Roman" w:cs="Times New Roman"/>
          <w:b/>
          <w:bCs/>
          <w:sz w:val="20"/>
          <w:szCs w:val="21"/>
        </w:rPr>
        <w:t>MPR Enhancement, i.e. index 8-6</w:t>
      </w:r>
    </w:p>
    <w:p w14:paraId="7D8244A8" w14:textId="77777777" w:rsidR="003B0CB5" w:rsidRPr="004F0673" w:rsidRDefault="003B0CB5" w:rsidP="003B0CB5">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Beam correspondence related, i.e. SSB based Beam correspondence (index 8-2), CSI-RS based Beam correspondence (index 8-3)</w:t>
      </w:r>
    </w:p>
    <w:p w14:paraId="0990DCE4" w14:textId="77777777" w:rsidR="003B0CB5" w:rsidRPr="004F0673" w:rsidRDefault="003B0CB5" w:rsidP="003B0CB5">
      <w:pPr>
        <w:pStyle w:val="ListParagraph"/>
        <w:numPr>
          <w:ilvl w:val="1"/>
          <w:numId w:val="16"/>
        </w:numPr>
        <w:spacing w:before="120" w:after="120"/>
        <w:ind w:firstLineChars="0"/>
        <w:rPr>
          <w:rFonts w:ascii="Times New Roman" w:hAnsi="Times New Roman" w:cs="Times New Roman"/>
          <w:b/>
          <w:bCs/>
          <w:sz w:val="20"/>
          <w:szCs w:val="21"/>
        </w:rPr>
      </w:pPr>
      <w:r w:rsidRPr="004F0673">
        <w:rPr>
          <w:rFonts w:ascii="Times New Roman" w:hAnsi="Times New Roman" w:cs="Times New Roman"/>
          <w:b/>
          <w:bCs/>
          <w:sz w:val="20"/>
          <w:szCs w:val="21"/>
        </w:rPr>
        <w:t>Transparent Tx Diversity, i.e. index 2-21</w:t>
      </w:r>
    </w:p>
    <w:p w14:paraId="5968BFE7" w14:textId="77777777" w:rsidR="003B0CB5" w:rsidRPr="004F0673" w:rsidRDefault="003B0CB5" w:rsidP="003B0CB5">
      <w:pPr>
        <w:spacing w:before="120" w:after="120"/>
        <w:rPr>
          <w:rFonts w:ascii="Times New Roman" w:hAnsi="Times New Roman" w:cs="Times New Roman"/>
          <w:b/>
          <w:bCs/>
          <w:sz w:val="20"/>
          <w:szCs w:val="21"/>
        </w:rPr>
      </w:pPr>
      <w:r w:rsidRPr="004F0673">
        <w:rPr>
          <w:rFonts w:ascii="Times New Roman" w:hAnsi="Times New Roman" w:cs="Times New Roman"/>
          <w:b/>
          <w:bCs/>
          <w:sz w:val="20"/>
          <w:szCs w:val="21"/>
        </w:rPr>
        <w:t xml:space="preserve">Proposal 8: beam correspondence related feature </w:t>
      </w:r>
      <w:r>
        <w:rPr>
          <w:rFonts w:ascii="Times New Roman" w:hAnsi="Times New Roman" w:cs="Times New Roman"/>
          <w:b/>
          <w:bCs/>
          <w:sz w:val="20"/>
          <w:szCs w:val="21"/>
        </w:rPr>
        <w:t>is</w:t>
      </w:r>
      <w:r w:rsidRPr="004F0673">
        <w:rPr>
          <w:rFonts w:ascii="Times New Roman" w:hAnsi="Times New Roman" w:cs="Times New Roman"/>
          <w:b/>
          <w:bCs/>
          <w:sz w:val="20"/>
          <w:szCs w:val="21"/>
        </w:rPr>
        <w:t xml:space="preserve"> not applicable for NCR-MT.</w:t>
      </w:r>
      <w:r>
        <w:rPr>
          <w:rFonts w:ascii="Times New Roman" w:hAnsi="Times New Roman" w:cs="Times New Roman"/>
          <w:b/>
          <w:bCs/>
          <w:sz w:val="20"/>
          <w:szCs w:val="21"/>
        </w:rPr>
        <w:t xml:space="preserve"> except for beam correspondence feature, all</w:t>
      </w:r>
      <w:r w:rsidRPr="004F0673">
        <w:rPr>
          <w:rFonts w:ascii="Times New Roman" w:hAnsi="Times New Roman" w:cs="Times New Roman"/>
          <w:b/>
          <w:bCs/>
          <w:sz w:val="20"/>
          <w:szCs w:val="21"/>
        </w:rPr>
        <w:t xml:space="preserve"> other optional R16 feature are also optional for NCR-MT</w:t>
      </w:r>
      <w:r>
        <w:rPr>
          <w:rFonts w:ascii="Times New Roman" w:hAnsi="Times New Roman" w:cs="Times New Roman"/>
          <w:b/>
          <w:bCs/>
          <w:sz w:val="20"/>
          <w:szCs w:val="21"/>
        </w:rPr>
        <w:t>.</w:t>
      </w:r>
    </w:p>
    <w:p w14:paraId="7608AFA6" w14:textId="5A3EF229" w:rsidR="003F0803" w:rsidRDefault="00C64A12" w:rsidP="00137315">
      <w:pPr>
        <w:spacing w:after="120"/>
        <w:rPr>
          <w:rFonts w:ascii="Times New Roman" w:eastAsia="宋体" w:hAnsi="Times New Roman" w:cs="Times New Roman"/>
          <w:b/>
          <w:bCs/>
          <w:sz w:val="20"/>
        </w:rPr>
      </w:pPr>
      <w:r w:rsidRPr="00C64A12">
        <w:rPr>
          <w:rFonts w:ascii="Times New Roman" w:eastAsia="宋体" w:hAnsi="Times New Roman" w:cs="Times New Roman"/>
          <w:b/>
          <w:bCs/>
          <w:sz w:val="20"/>
        </w:rPr>
        <w:t>Observation 3: all R17 UE RF features are band combination related feature and all are optional.</w:t>
      </w:r>
    </w:p>
    <w:p w14:paraId="2976B0D1" w14:textId="77777777" w:rsidR="00C64A12" w:rsidRPr="003B0CB5" w:rsidRDefault="00C64A12" w:rsidP="00137315">
      <w:pPr>
        <w:spacing w:after="120"/>
        <w:rPr>
          <w:rFonts w:ascii="Times New Roman" w:eastAsia="宋体" w:hAnsi="Times New Roman" w:cs="Times New Roman"/>
          <w:b/>
          <w:bCs/>
          <w:sz w:val="20"/>
        </w:rPr>
      </w:pPr>
    </w:p>
    <w:p w14:paraId="724545CF"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Calibri" w:hAnsi="Calibri"/>
          <w:sz w:val="32"/>
          <w:szCs w:val="36"/>
        </w:rPr>
      </w:pPr>
      <w:r w:rsidRPr="00F852CC">
        <w:rPr>
          <w:rFonts w:ascii="Arial" w:hAnsi="Arial"/>
          <w:sz w:val="32"/>
          <w:szCs w:val="36"/>
        </w:rPr>
        <w:t>4. Reference</w:t>
      </w:r>
    </w:p>
    <w:p w14:paraId="66941C18" w14:textId="28491C89" w:rsidR="00F852CC" w:rsidRDefault="00F852CC"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sidRPr="00F852CC">
        <w:rPr>
          <w:rFonts w:ascii="Times New Roman" w:eastAsia="宋体" w:hAnsi="Times New Roman" w:cs="Times New Roman" w:hint="eastAsia"/>
          <w:sz w:val="20"/>
          <w:szCs w:val="20"/>
        </w:rPr>
        <w:t xml:space="preserve">[1] </w:t>
      </w:r>
      <w:r w:rsidR="009D016D" w:rsidRPr="009D016D">
        <w:rPr>
          <w:rFonts w:ascii="Times New Roman" w:eastAsia="宋体" w:hAnsi="Times New Roman" w:cs="Times New Roman"/>
          <w:sz w:val="20"/>
          <w:szCs w:val="20"/>
        </w:rPr>
        <w:t>R4-2305931</w:t>
      </w:r>
      <w:r w:rsidR="007517F4" w:rsidRPr="007517F4">
        <w:rPr>
          <w:rFonts w:ascii="Times New Roman" w:eastAsia="宋体" w:hAnsi="Times New Roman" w:cs="Times New Roman"/>
          <w:sz w:val="20"/>
          <w:szCs w:val="20"/>
        </w:rPr>
        <w:t xml:space="preserve">, </w:t>
      </w:r>
      <w:r w:rsidR="009D016D" w:rsidRPr="009D016D">
        <w:rPr>
          <w:rFonts w:ascii="Times New Roman" w:eastAsia="宋体" w:hAnsi="Times New Roman" w:cs="Times New Roman"/>
          <w:sz w:val="20"/>
          <w:szCs w:val="20"/>
        </w:rPr>
        <w:t>WF on system parameters and RF requirements</w:t>
      </w:r>
      <w:r w:rsidR="007517F4" w:rsidRPr="007517F4">
        <w:rPr>
          <w:rFonts w:ascii="Times New Roman" w:eastAsia="宋体" w:hAnsi="Times New Roman" w:cs="Times New Roman"/>
          <w:sz w:val="20"/>
          <w:szCs w:val="20"/>
        </w:rPr>
        <w:t>, ZTE</w:t>
      </w:r>
    </w:p>
    <w:p w14:paraId="1D67163A" w14:textId="7115FF1A" w:rsidR="00CE4C22" w:rsidRDefault="00CE4C22"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2] </w:t>
      </w:r>
      <w:r w:rsidR="004956C4" w:rsidRPr="004956C4">
        <w:rPr>
          <w:rFonts w:ascii="Times New Roman" w:eastAsia="宋体" w:hAnsi="Times New Roman" w:cs="Times New Roman"/>
          <w:sz w:val="20"/>
          <w:szCs w:val="20"/>
        </w:rPr>
        <w:t>RP-223505</w:t>
      </w:r>
      <w:r>
        <w:rPr>
          <w:rFonts w:ascii="Times New Roman" w:eastAsia="宋体" w:hAnsi="Times New Roman" w:cs="Times New Roman"/>
          <w:sz w:val="20"/>
          <w:szCs w:val="20"/>
        </w:rPr>
        <w:t xml:space="preserve">, </w:t>
      </w:r>
      <w:r w:rsidR="004956C4" w:rsidRPr="004956C4">
        <w:rPr>
          <w:rFonts w:ascii="Times New Roman" w:eastAsia="宋体" w:hAnsi="Times New Roman" w:cs="Times New Roman"/>
          <w:sz w:val="20"/>
          <w:szCs w:val="20"/>
        </w:rPr>
        <w:t>Revised WID on NR network-controlled repeaters</w:t>
      </w:r>
      <w:r>
        <w:rPr>
          <w:rFonts w:ascii="Times New Roman" w:eastAsia="宋体" w:hAnsi="Times New Roman" w:cs="Times New Roman"/>
          <w:sz w:val="20"/>
          <w:szCs w:val="20"/>
        </w:rPr>
        <w:t xml:space="preserve">, </w:t>
      </w:r>
      <w:r w:rsidR="004956C4" w:rsidRPr="004956C4">
        <w:rPr>
          <w:rFonts w:ascii="Times New Roman" w:eastAsia="宋体" w:hAnsi="Times New Roman" w:cs="Times New Roman"/>
          <w:sz w:val="20"/>
          <w:szCs w:val="20"/>
        </w:rPr>
        <w:t>ZTE, Sanechips</w:t>
      </w:r>
      <w:r>
        <w:rPr>
          <w:rFonts w:ascii="Times New Roman" w:eastAsia="宋体" w:hAnsi="Times New Roman" w:cs="Times New Roman"/>
          <w:sz w:val="20"/>
          <w:szCs w:val="20"/>
        </w:rPr>
        <w:t>.</w:t>
      </w:r>
    </w:p>
    <w:p w14:paraId="39115C58" w14:textId="0B0E5EA4" w:rsidR="00144566" w:rsidRPr="00F852CC" w:rsidRDefault="00144566"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3] </w:t>
      </w:r>
      <w:r w:rsidRPr="00144566">
        <w:rPr>
          <w:rFonts w:ascii="Times New Roman" w:eastAsia="宋体" w:hAnsi="Times New Roman" w:cs="Times New Roman"/>
          <w:sz w:val="20"/>
          <w:szCs w:val="20"/>
        </w:rPr>
        <w:t>R1-2304216</w:t>
      </w:r>
      <w:r>
        <w:rPr>
          <w:rFonts w:ascii="Times New Roman" w:eastAsia="宋体" w:hAnsi="Times New Roman" w:cs="Times New Roman"/>
          <w:sz w:val="20"/>
          <w:szCs w:val="20"/>
        </w:rPr>
        <w:t xml:space="preserve">, </w:t>
      </w:r>
      <w:r w:rsidRPr="00144566">
        <w:rPr>
          <w:rFonts w:ascii="Times New Roman" w:eastAsia="宋体" w:hAnsi="Times New Roman" w:cs="Times New Roman"/>
          <w:sz w:val="20"/>
          <w:szCs w:val="20"/>
        </w:rPr>
        <w:t>Session Notes of AI 9.17.4</w:t>
      </w:r>
      <w:r>
        <w:rPr>
          <w:rFonts w:ascii="Times New Roman" w:eastAsia="宋体" w:hAnsi="Times New Roman" w:cs="Times New Roman"/>
          <w:sz w:val="20"/>
          <w:szCs w:val="20"/>
        </w:rPr>
        <w:t>, AT&amp;T</w:t>
      </w:r>
    </w:p>
    <w:p w14:paraId="4F3AC9BE" w14:textId="08319A70" w:rsidR="00F852CC" w:rsidRDefault="00F852CC">
      <w:pPr>
        <w:widowControl/>
        <w:jc w:val="left"/>
      </w:pPr>
    </w:p>
    <w:p w14:paraId="42B18315" w14:textId="41A23E02" w:rsidR="007122A9" w:rsidRDefault="007122A9" w:rsidP="007122A9"/>
    <w:sectPr w:rsidR="007122A9" w:rsidSect="00ED64D7">
      <w:pgSz w:w="16838" w:h="23811" w:code="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4F86A2" w14:textId="77777777" w:rsidR="00501C2B" w:rsidRDefault="00501C2B" w:rsidP="00235399">
      <w:r>
        <w:separator/>
      </w:r>
    </w:p>
  </w:endnote>
  <w:endnote w:type="continuationSeparator" w:id="0">
    <w:p w14:paraId="1676EECF" w14:textId="77777777" w:rsidR="00501C2B" w:rsidRDefault="00501C2B" w:rsidP="0023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EF56A" w14:textId="77777777" w:rsidR="00501C2B" w:rsidRDefault="00501C2B" w:rsidP="00235399">
      <w:r>
        <w:separator/>
      </w:r>
    </w:p>
  </w:footnote>
  <w:footnote w:type="continuationSeparator" w:id="0">
    <w:p w14:paraId="6FE7C6A8" w14:textId="77777777" w:rsidR="00501C2B" w:rsidRDefault="00501C2B" w:rsidP="0023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B1623D"/>
    <w:multiLevelType w:val="hybridMultilevel"/>
    <w:tmpl w:val="2E7822F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E526737"/>
    <w:multiLevelType w:val="hybridMultilevel"/>
    <w:tmpl w:val="A4E8FB5E"/>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EF21E2"/>
    <w:multiLevelType w:val="hybridMultilevel"/>
    <w:tmpl w:val="301872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34BF477C"/>
    <w:multiLevelType w:val="hybridMultilevel"/>
    <w:tmpl w:val="3DDA5FF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796885"/>
    <w:multiLevelType w:val="hybridMultilevel"/>
    <w:tmpl w:val="E2A216A6"/>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9C71840"/>
    <w:multiLevelType w:val="hybridMultilevel"/>
    <w:tmpl w:val="236C2852"/>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BA65F04"/>
    <w:multiLevelType w:val="hybridMultilevel"/>
    <w:tmpl w:val="BAB083A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3122149"/>
    <w:multiLevelType w:val="hybridMultilevel"/>
    <w:tmpl w:val="265E57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48697E"/>
    <w:multiLevelType w:val="hybridMultilevel"/>
    <w:tmpl w:val="C54A31DE"/>
    <w:lvl w:ilvl="0" w:tplc="2A1CE0B6">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2" w15:restartNumberingAfterBreak="0">
    <w:nsid w:val="557B16E4"/>
    <w:multiLevelType w:val="hybridMultilevel"/>
    <w:tmpl w:val="A0820394"/>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55B24C4B"/>
    <w:multiLevelType w:val="hybridMultilevel"/>
    <w:tmpl w:val="60FE8690"/>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667448DD"/>
    <w:multiLevelType w:val="hybridMultilevel"/>
    <w:tmpl w:val="1700D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D84B21"/>
    <w:multiLevelType w:val="hybridMultilevel"/>
    <w:tmpl w:val="3018722C"/>
    <w:lvl w:ilvl="0" w:tplc="AD145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7177AE7"/>
    <w:multiLevelType w:val="hybridMultilevel"/>
    <w:tmpl w:val="75C6C422"/>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7747874"/>
    <w:multiLevelType w:val="hybridMultilevel"/>
    <w:tmpl w:val="B308D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A3B6A0A"/>
    <w:multiLevelType w:val="hybridMultilevel"/>
    <w:tmpl w:val="B3EAB3BC"/>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E1B1BD5"/>
    <w:multiLevelType w:val="hybridMultilevel"/>
    <w:tmpl w:val="EED053A4"/>
    <w:lvl w:ilvl="0" w:tplc="2A1CE0B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61896847">
    <w:abstractNumId w:val="3"/>
  </w:num>
  <w:num w:numId="2" w16cid:durableId="1832594828">
    <w:abstractNumId w:val="19"/>
  </w:num>
  <w:num w:numId="3" w16cid:durableId="2123381892">
    <w:abstractNumId w:val="0"/>
  </w:num>
  <w:num w:numId="4" w16cid:durableId="1334530880">
    <w:abstractNumId w:val="5"/>
  </w:num>
  <w:num w:numId="5" w16cid:durableId="1919944179">
    <w:abstractNumId w:val="17"/>
  </w:num>
  <w:num w:numId="6" w16cid:durableId="304971139">
    <w:abstractNumId w:val="10"/>
  </w:num>
  <w:num w:numId="7" w16cid:durableId="1048534059">
    <w:abstractNumId w:val="6"/>
  </w:num>
  <w:num w:numId="8" w16cid:durableId="1184174786">
    <w:abstractNumId w:val="9"/>
  </w:num>
  <w:num w:numId="9" w16cid:durableId="2022002021">
    <w:abstractNumId w:val="15"/>
  </w:num>
  <w:num w:numId="10" w16cid:durableId="780495007">
    <w:abstractNumId w:val="14"/>
  </w:num>
  <w:num w:numId="11" w16cid:durableId="1878006340">
    <w:abstractNumId w:val="2"/>
  </w:num>
  <w:num w:numId="12" w16cid:durableId="559094923">
    <w:abstractNumId w:val="4"/>
  </w:num>
  <w:num w:numId="13" w16cid:durableId="2111972065">
    <w:abstractNumId w:val="7"/>
  </w:num>
  <w:num w:numId="14" w16cid:durableId="879324970">
    <w:abstractNumId w:val="16"/>
  </w:num>
  <w:num w:numId="15" w16cid:durableId="1664040393">
    <w:abstractNumId w:val="20"/>
  </w:num>
  <w:num w:numId="16" w16cid:durableId="592401400">
    <w:abstractNumId w:val="1"/>
  </w:num>
  <w:num w:numId="17" w16cid:durableId="18090240">
    <w:abstractNumId w:val="18"/>
  </w:num>
  <w:num w:numId="18" w16cid:durableId="272442565">
    <w:abstractNumId w:val="11"/>
  </w:num>
  <w:num w:numId="19" w16cid:durableId="253443658">
    <w:abstractNumId w:val="12"/>
  </w:num>
  <w:num w:numId="20" w16cid:durableId="1406337686">
    <w:abstractNumId w:val="13"/>
  </w:num>
  <w:num w:numId="21" w16cid:durableId="17789147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96C"/>
    <w:rsid w:val="00002DDE"/>
    <w:rsid w:val="0000534F"/>
    <w:rsid w:val="00005E7E"/>
    <w:rsid w:val="00006181"/>
    <w:rsid w:val="000065E3"/>
    <w:rsid w:val="00015CE8"/>
    <w:rsid w:val="00017FEF"/>
    <w:rsid w:val="00020ED2"/>
    <w:rsid w:val="000214E2"/>
    <w:rsid w:val="00021831"/>
    <w:rsid w:val="00026DF5"/>
    <w:rsid w:val="000341A5"/>
    <w:rsid w:val="000346E6"/>
    <w:rsid w:val="00047D0A"/>
    <w:rsid w:val="00050875"/>
    <w:rsid w:val="00056BF2"/>
    <w:rsid w:val="000650E2"/>
    <w:rsid w:val="000706FF"/>
    <w:rsid w:val="0007083E"/>
    <w:rsid w:val="00075033"/>
    <w:rsid w:val="000764DA"/>
    <w:rsid w:val="00077FB5"/>
    <w:rsid w:val="000A6505"/>
    <w:rsid w:val="000B3862"/>
    <w:rsid w:val="000B60B5"/>
    <w:rsid w:val="000C251A"/>
    <w:rsid w:val="000C3463"/>
    <w:rsid w:val="000C5522"/>
    <w:rsid w:val="000D0448"/>
    <w:rsid w:val="000E1D60"/>
    <w:rsid w:val="000E4B2A"/>
    <w:rsid w:val="000F7702"/>
    <w:rsid w:val="00101C05"/>
    <w:rsid w:val="00105D52"/>
    <w:rsid w:val="00113F40"/>
    <w:rsid w:val="001161B2"/>
    <w:rsid w:val="00117D97"/>
    <w:rsid w:val="0012236F"/>
    <w:rsid w:val="00122A20"/>
    <w:rsid w:val="001239EE"/>
    <w:rsid w:val="0012516E"/>
    <w:rsid w:val="00127719"/>
    <w:rsid w:val="00137315"/>
    <w:rsid w:val="00140490"/>
    <w:rsid w:val="0014193A"/>
    <w:rsid w:val="0014440F"/>
    <w:rsid w:val="00144566"/>
    <w:rsid w:val="001452D9"/>
    <w:rsid w:val="001522C6"/>
    <w:rsid w:val="00152D8C"/>
    <w:rsid w:val="00154DF5"/>
    <w:rsid w:val="001570E3"/>
    <w:rsid w:val="00160A97"/>
    <w:rsid w:val="00162895"/>
    <w:rsid w:val="00164612"/>
    <w:rsid w:val="00173B53"/>
    <w:rsid w:val="00174867"/>
    <w:rsid w:val="0017530A"/>
    <w:rsid w:val="0017646D"/>
    <w:rsid w:val="0018503D"/>
    <w:rsid w:val="001868FE"/>
    <w:rsid w:val="00186F68"/>
    <w:rsid w:val="00196570"/>
    <w:rsid w:val="001A13D1"/>
    <w:rsid w:val="001A1957"/>
    <w:rsid w:val="001A46A5"/>
    <w:rsid w:val="001B377A"/>
    <w:rsid w:val="001F26DF"/>
    <w:rsid w:val="001F6DFC"/>
    <w:rsid w:val="00202607"/>
    <w:rsid w:val="002040F4"/>
    <w:rsid w:val="0020527F"/>
    <w:rsid w:val="0021004E"/>
    <w:rsid w:val="00213FDC"/>
    <w:rsid w:val="00215001"/>
    <w:rsid w:val="002201EB"/>
    <w:rsid w:val="002261A7"/>
    <w:rsid w:val="002312BD"/>
    <w:rsid w:val="00235399"/>
    <w:rsid w:val="00241EA1"/>
    <w:rsid w:val="002510B5"/>
    <w:rsid w:val="00251EB9"/>
    <w:rsid w:val="00257243"/>
    <w:rsid w:val="002612DE"/>
    <w:rsid w:val="00265F07"/>
    <w:rsid w:val="00267BE1"/>
    <w:rsid w:val="00273F1C"/>
    <w:rsid w:val="00277BC6"/>
    <w:rsid w:val="0028380D"/>
    <w:rsid w:val="00294759"/>
    <w:rsid w:val="002A084A"/>
    <w:rsid w:val="002A51C8"/>
    <w:rsid w:val="002A6C92"/>
    <w:rsid w:val="002B7EF1"/>
    <w:rsid w:val="002C2AF1"/>
    <w:rsid w:val="002C2F7B"/>
    <w:rsid w:val="002C50EA"/>
    <w:rsid w:val="002C5C7D"/>
    <w:rsid w:val="002E1112"/>
    <w:rsid w:val="002E195F"/>
    <w:rsid w:val="002E32AB"/>
    <w:rsid w:val="002E53A4"/>
    <w:rsid w:val="002F1553"/>
    <w:rsid w:val="003031E8"/>
    <w:rsid w:val="00307EC3"/>
    <w:rsid w:val="003103F4"/>
    <w:rsid w:val="003203EC"/>
    <w:rsid w:val="00321715"/>
    <w:rsid w:val="0032188A"/>
    <w:rsid w:val="00322DEB"/>
    <w:rsid w:val="00327B6E"/>
    <w:rsid w:val="003307B4"/>
    <w:rsid w:val="00331563"/>
    <w:rsid w:val="00332EA8"/>
    <w:rsid w:val="00341F16"/>
    <w:rsid w:val="00344135"/>
    <w:rsid w:val="00344C29"/>
    <w:rsid w:val="00346606"/>
    <w:rsid w:val="0035442D"/>
    <w:rsid w:val="00354F24"/>
    <w:rsid w:val="00363563"/>
    <w:rsid w:val="003669ED"/>
    <w:rsid w:val="003731C1"/>
    <w:rsid w:val="00387E48"/>
    <w:rsid w:val="00394811"/>
    <w:rsid w:val="003B0CB5"/>
    <w:rsid w:val="003B1ABA"/>
    <w:rsid w:val="003B345B"/>
    <w:rsid w:val="003C033B"/>
    <w:rsid w:val="003C13E7"/>
    <w:rsid w:val="003C1C98"/>
    <w:rsid w:val="003C4922"/>
    <w:rsid w:val="003C6A8B"/>
    <w:rsid w:val="003D358F"/>
    <w:rsid w:val="003E033A"/>
    <w:rsid w:val="003E2B5D"/>
    <w:rsid w:val="003E5273"/>
    <w:rsid w:val="003F0803"/>
    <w:rsid w:val="003F12CF"/>
    <w:rsid w:val="003F47E5"/>
    <w:rsid w:val="0040254E"/>
    <w:rsid w:val="00404725"/>
    <w:rsid w:val="00412037"/>
    <w:rsid w:val="004133CD"/>
    <w:rsid w:val="0041634D"/>
    <w:rsid w:val="00420EB3"/>
    <w:rsid w:val="00421709"/>
    <w:rsid w:val="00427D93"/>
    <w:rsid w:val="00431BE7"/>
    <w:rsid w:val="00450AB0"/>
    <w:rsid w:val="00456B8A"/>
    <w:rsid w:val="0046055F"/>
    <w:rsid w:val="004648D9"/>
    <w:rsid w:val="004652F7"/>
    <w:rsid w:val="00473D43"/>
    <w:rsid w:val="00475642"/>
    <w:rsid w:val="004775C4"/>
    <w:rsid w:val="00493CA0"/>
    <w:rsid w:val="004943F6"/>
    <w:rsid w:val="004956C4"/>
    <w:rsid w:val="004A2BAE"/>
    <w:rsid w:val="004A3A7B"/>
    <w:rsid w:val="004A4E1C"/>
    <w:rsid w:val="004B07F0"/>
    <w:rsid w:val="004B108C"/>
    <w:rsid w:val="004C2CF6"/>
    <w:rsid w:val="004C4496"/>
    <w:rsid w:val="004D0A42"/>
    <w:rsid w:val="004D2E7A"/>
    <w:rsid w:val="004D344C"/>
    <w:rsid w:val="004D4898"/>
    <w:rsid w:val="004E2BA0"/>
    <w:rsid w:val="004E3E65"/>
    <w:rsid w:val="004E6EB4"/>
    <w:rsid w:val="004E788D"/>
    <w:rsid w:val="004F0673"/>
    <w:rsid w:val="00501C2B"/>
    <w:rsid w:val="00502D59"/>
    <w:rsid w:val="005052F8"/>
    <w:rsid w:val="00506FE0"/>
    <w:rsid w:val="00513558"/>
    <w:rsid w:val="005167D0"/>
    <w:rsid w:val="00522CB1"/>
    <w:rsid w:val="00526905"/>
    <w:rsid w:val="00526B85"/>
    <w:rsid w:val="00531282"/>
    <w:rsid w:val="00533ED7"/>
    <w:rsid w:val="00534E89"/>
    <w:rsid w:val="00546E1B"/>
    <w:rsid w:val="00546E7D"/>
    <w:rsid w:val="00554E22"/>
    <w:rsid w:val="0055510E"/>
    <w:rsid w:val="00560AB2"/>
    <w:rsid w:val="00561056"/>
    <w:rsid w:val="00577BC0"/>
    <w:rsid w:val="005814F0"/>
    <w:rsid w:val="00586C08"/>
    <w:rsid w:val="005A1682"/>
    <w:rsid w:val="005A2FEA"/>
    <w:rsid w:val="005B51CC"/>
    <w:rsid w:val="005B62B1"/>
    <w:rsid w:val="005C411A"/>
    <w:rsid w:val="005C4A69"/>
    <w:rsid w:val="005C5C9B"/>
    <w:rsid w:val="005C73DC"/>
    <w:rsid w:val="005E293B"/>
    <w:rsid w:val="005F3402"/>
    <w:rsid w:val="005F395B"/>
    <w:rsid w:val="005F63DC"/>
    <w:rsid w:val="005F6EC8"/>
    <w:rsid w:val="00601F17"/>
    <w:rsid w:val="006079B6"/>
    <w:rsid w:val="00607DAA"/>
    <w:rsid w:val="006107BA"/>
    <w:rsid w:val="00613FA7"/>
    <w:rsid w:val="006173A1"/>
    <w:rsid w:val="00620F6D"/>
    <w:rsid w:val="00632A67"/>
    <w:rsid w:val="00632D91"/>
    <w:rsid w:val="006336FF"/>
    <w:rsid w:val="00636E1A"/>
    <w:rsid w:val="00637D60"/>
    <w:rsid w:val="00641D47"/>
    <w:rsid w:val="00644F69"/>
    <w:rsid w:val="00645B08"/>
    <w:rsid w:val="00654B94"/>
    <w:rsid w:val="0065587E"/>
    <w:rsid w:val="00657B7A"/>
    <w:rsid w:val="00674393"/>
    <w:rsid w:val="00674B5B"/>
    <w:rsid w:val="006778D6"/>
    <w:rsid w:val="00682E16"/>
    <w:rsid w:val="0069199E"/>
    <w:rsid w:val="006A1FE4"/>
    <w:rsid w:val="006A6931"/>
    <w:rsid w:val="006B4940"/>
    <w:rsid w:val="006C749E"/>
    <w:rsid w:val="006C7655"/>
    <w:rsid w:val="006D55C8"/>
    <w:rsid w:val="006F77FB"/>
    <w:rsid w:val="007020CE"/>
    <w:rsid w:val="007064DE"/>
    <w:rsid w:val="007122A9"/>
    <w:rsid w:val="007150D7"/>
    <w:rsid w:val="007154BB"/>
    <w:rsid w:val="00715836"/>
    <w:rsid w:val="0072075B"/>
    <w:rsid w:val="007263E9"/>
    <w:rsid w:val="007269CF"/>
    <w:rsid w:val="00727663"/>
    <w:rsid w:val="00731E5F"/>
    <w:rsid w:val="007421FA"/>
    <w:rsid w:val="0074261E"/>
    <w:rsid w:val="00747674"/>
    <w:rsid w:val="007512C1"/>
    <w:rsid w:val="007517F4"/>
    <w:rsid w:val="00766B25"/>
    <w:rsid w:val="00766D63"/>
    <w:rsid w:val="0077101D"/>
    <w:rsid w:val="00771CB3"/>
    <w:rsid w:val="007720B8"/>
    <w:rsid w:val="0077391D"/>
    <w:rsid w:val="007803F6"/>
    <w:rsid w:val="007A50DA"/>
    <w:rsid w:val="007A65E7"/>
    <w:rsid w:val="007B0E94"/>
    <w:rsid w:val="007B25AD"/>
    <w:rsid w:val="007B67EB"/>
    <w:rsid w:val="007C0680"/>
    <w:rsid w:val="007C0DA3"/>
    <w:rsid w:val="007C461A"/>
    <w:rsid w:val="007C4B49"/>
    <w:rsid w:val="007C5318"/>
    <w:rsid w:val="007E3445"/>
    <w:rsid w:val="007E49F2"/>
    <w:rsid w:val="007F036C"/>
    <w:rsid w:val="007F72C3"/>
    <w:rsid w:val="007F7C28"/>
    <w:rsid w:val="0080145D"/>
    <w:rsid w:val="00810A3B"/>
    <w:rsid w:val="00815FAC"/>
    <w:rsid w:val="008235B9"/>
    <w:rsid w:val="008235F5"/>
    <w:rsid w:val="00824774"/>
    <w:rsid w:val="00827566"/>
    <w:rsid w:val="008277BD"/>
    <w:rsid w:val="008331D8"/>
    <w:rsid w:val="0083796C"/>
    <w:rsid w:val="00843BDE"/>
    <w:rsid w:val="00845C96"/>
    <w:rsid w:val="008468A1"/>
    <w:rsid w:val="008507AE"/>
    <w:rsid w:val="0085128A"/>
    <w:rsid w:val="0085141D"/>
    <w:rsid w:val="0085221F"/>
    <w:rsid w:val="00855CF1"/>
    <w:rsid w:val="008622E4"/>
    <w:rsid w:val="0086499C"/>
    <w:rsid w:val="00866622"/>
    <w:rsid w:val="00875189"/>
    <w:rsid w:val="00876998"/>
    <w:rsid w:val="00880510"/>
    <w:rsid w:val="00883227"/>
    <w:rsid w:val="008855FE"/>
    <w:rsid w:val="00891104"/>
    <w:rsid w:val="00894291"/>
    <w:rsid w:val="008948CA"/>
    <w:rsid w:val="008A1561"/>
    <w:rsid w:val="008A4DBC"/>
    <w:rsid w:val="008A531E"/>
    <w:rsid w:val="008B1234"/>
    <w:rsid w:val="008B2E49"/>
    <w:rsid w:val="008B4F50"/>
    <w:rsid w:val="008C0229"/>
    <w:rsid w:val="008C69EE"/>
    <w:rsid w:val="008D204B"/>
    <w:rsid w:val="008D31C9"/>
    <w:rsid w:val="008D794C"/>
    <w:rsid w:val="008E2F85"/>
    <w:rsid w:val="008E3A21"/>
    <w:rsid w:val="008E61A0"/>
    <w:rsid w:val="008F15C0"/>
    <w:rsid w:val="008F3DAC"/>
    <w:rsid w:val="008F47BB"/>
    <w:rsid w:val="00900E57"/>
    <w:rsid w:val="00901EA0"/>
    <w:rsid w:val="0090385F"/>
    <w:rsid w:val="009101CF"/>
    <w:rsid w:val="00910D7B"/>
    <w:rsid w:val="00911052"/>
    <w:rsid w:val="009164E6"/>
    <w:rsid w:val="00917267"/>
    <w:rsid w:val="00923505"/>
    <w:rsid w:val="009235FD"/>
    <w:rsid w:val="00923609"/>
    <w:rsid w:val="00923CC6"/>
    <w:rsid w:val="00924129"/>
    <w:rsid w:val="00941A9B"/>
    <w:rsid w:val="00944216"/>
    <w:rsid w:val="0094534F"/>
    <w:rsid w:val="00946209"/>
    <w:rsid w:val="009462E2"/>
    <w:rsid w:val="00947D8F"/>
    <w:rsid w:val="00947DEE"/>
    <w:rsid w:val="00953451"/>
    <w:rsid w:val="009568BE"/>
    <w:rsid w:val="009736FA"/>
    <w:rsid w:val="0097494D"/>
    <w:rsid w:val="00974D0C"/>
    <w:rsid w:val="00974FC9"/>
    <w:rsid w:val="00983AE2"/>
    <w:rsid w:val="00991F0C"/>
    <w:rsid w:val="009A2EF0"/>
    <w:rsid w:val="009B10D3"/>
    <w:rsid w:val="009B7C78"/>
    <w:rsid w:val="009C01CA"/>
    <w:rsid w:val="009C2C82"/>
    <w:rsid w:val="009C6553"/>
    <w:rsid w:val="009C7252"/>
    <w:rsid w:val="009D016D"/>
    <w:rsid w:val="009D0354"/>
    <w:rsid w:val="009D4561"/>
    <w:rsid w:val="009D4761"/>
    <w:rsid w:val="009D69D3"/>
    <w:rsid w:val="009E0183"/>
    <w:rsid w:val="009E6505"/>
    <w:rsid w:val="009F3051"/>
    <w:rsid w:val="00A016E8"/>
    <w:rsid w:val="00A01F71"/>
    <w:rsid w:val="00A079D0"/>
    <w:rsid w:val="00A1156B"/>
    <w:rsid w:val="00A24C93"/>
    <w:rsid w:val="00A24DBB"/>
    <w:rsid w:val="00A25CA1"/>
    <w:rsid w:val="00A26C4D"/>
    <w:rsid w:val="00A30423"/>
    <w:rsid w:val="00A306E5"/>
    <w:rsid w:val="00A311B9"/>
    <w:rsid w:val="00A40CF8"/>
    <w:rsid w:val="00A4319C"/>
    <w:rsid w:val="00A45F9E"/>
    <w:rsid w:val="00A61390"/>
    <w:rsid w:val="00A636FF"/>
    <w:rsid w:val="00A67AA2"/>
    <w:rsid w:val="00A706FC"/>
    <w:rsid w:val="00A71C92"/>
    <w:rsid w:val="00A7381F"/>
    <w:rsid w:val="00A75CEF"/>
    <w:rsid w:val="00A86155"/>
    <w:rsid w:val="00A94304"/>
    <w:rsid w:val="00A97EF8"/>
    <w:rsid w:val="00AA02B6"/>
    <w:rsid w:val="00AA2924"/>
    <w:rsid w:val="00AA5A07"/>
    <w:rsid w:val="00AB1798"/>
    <w:rsid w:val="00AB58A2"/>
    <w:rsid w:val="00AB61A7"/>
    <w:rsid w:val="00AB68EE"/>
    <w:rsid w:val="00AB6D73"/>
    <w:rsid w:val="00AC181D"/>
    <w:rsid w:val="00AC20A2"/>
    <w:rsid w:val="00AC6442"/>
    <w:rsid w:val="00AC6CC0"/>
    <w:rsid w:val="00AD0DC8"/>
    <w:rsid w:val="00AD228F"/>
    <w:rsid w:val="00AD307C"/>
    <w:rsid w:val="00AD66BB"/>
    <w:rsid w:val="00AE1230"/>
    <w:rsid w:val="00AE1E72"/>
    <w:rsid w:val="00B262AC"/>
    <w:rsid w:val="00B3166D"/>
    <w:rsid w:val="00B334DF"/>
    <w:rsid w:val="00B41D6C"/>
    <w:rsid w:val="00B51CBB"/>
    <w:rsid w:val="00B52AB3"/>
    <w:rsid w:val="00B60301"/>
    <w:rsid w:val="00B66F01"/>
    <w:rsid w:val="00B675DD"/>
    <w:rsid w:val="00B71D19"/>
    <w:rsid w:val="00B731E1"/>
    <w:rsid w:val="00B82466"/>
    <w:rsid w:val="00B83BF2"/>
    <w:rsid w:val="00B94BDE"/>
    <w:rsid w:val="00B958F6"/>
    <w:rsid w:val="00BA3D2A"/>
    <w:rsid w:val="00BB2E25"/>
    <w:rsid w:val="00BB3EAC"/>
    <w:rsid w:val="00BD3419"/>
    <w:rsid w:val="00BE1415"/>
    <w:rsid w:val="00BE1DF3"/>
    <w:rsid w:val="00BE5EDB"/>
    <w:rsid w:val="00BF70B7"/>
    <w:rsid w:val="00C0200C"/>
    <w:rsid w:val="00C05789"/>
    <w:rsid w:val="00C05E7F"/>
    <w:rsid w:val="00C1301F"/>
    <w:rsid w:val="00C176E1"/>
    <w:rsid w:val="00C212C6"/>
    <w:rsid w:val="00C2249B"/>
    <w:rsid w:val="00C25EAC"/>
    <w:rsid w:val="00C31F67"/>
    <w:rsid w:val="00C32306"/>
    <w:rsid w:val="00C326C4"/>
    <w:rsid w:val="00C33182"/>
    <w:rsid w:val="00C33B8D"/>
    <w:rsid w:val="00C35B11"/>
    <w:rsid w:val="00C41129"/>
    <w:rsid w:val="00C4576D"/>
    <w:rsid w:val="00C56C88"/>
    <w:rsid w:val="00C60280"/>
    <w:rsid w:val="00C616A9"/>
    <w:rsid w:val="00C635B1"/>
    <w:rsid w:val="00C64A12"/>
    <w:rsid w:val="00C65A21"/>
    <w:rsid w:val="00C803A2"/>
    <w:rsid w:val="00C861CE"/>
    <w:rsid w:val="00C90ED9"/>
    <w:rsid w:val="00C927EE"/>
    <w:rsid w:val="00C92DD3"/>
    <w:rsid w:val="00C92F0A"/>
    <w:rsid w:val="00CA145D"/>
    <w:rsid w:val="00CA21DF"/>
    <w:rsid w:val="00CA3248"/>
    <w:rsid w:val="00CA4854"/>
    <w:rsid w:val="00CB13E1"/>
    <w:rsid w:val="00CB46B0"/>
    <w:rsid w:val="00CB580D"/>
    <w:rsid w:val="00CB585E"/>
    <w:rsid w:val="00CC03F9"/>
    <w:rsid w:val="00CC3373"/>
    <w:rsid w:val="00CC4CD2"/>
    <w:rsid w:val="00CE0947"/>
    <w:rsid w:val="00CE1A84"/>
    <w:rsid w:val="00CE4445"/>
    <w:rsid w:val="00CE4C22"/>
    <w:rsid w:val="00CE7749"/>
    <w:rsid w:val="00CF18E7"/>
    <w:rsid w:val="00CF1FE6"/>
    <w:rsid w:val="00CF47B7"/>
    <w:rsid w:val="00CF5BCF"/>
    <w:rsid w:val="00D03D69"/>
    <w:rsid w:val="00D04EB9"/>
    <w:rsid w:val="00D16195"/>
    <w:rsid w:val="00D2407C"/>
    <w:rsid w:val="00D2733A"/>
    <w:rsid w:val="00D30075"/>
    <w:rsid w:val="00D34A0A"/>
    <w:rsid w:val="00D362D3"/>
    <w:rsid w:val="00D365FD"/>
    <w:rsid w:val="00D36CE6"/>
    <w:rsid w:val="00D4292B"/>
    <w:rsid w:val="00D441AE"/>
    <w:rsid w:val="00D4564A"/>
    <w:rsid w:val="00D47BB6"/>
    <w:rsid w:val="00D546DE"/>
    <w:rsid w:val="00D62EFD"/>
    <w:rsid w:val="00D87E7B"/>
    <w:rsid w:val="00D902E5"/>
    <w:rsid w:val="00D926AE"/>
    <w:rsid w:val="00D97094"/>
    <w:rsid w:val="00D97771"/>
    <w:rsid w:val="00DA0465"/>
    <w:rsid w:val="00DA7F3A"/>
    <w:rsid w:val="00DC2821"/>
    <w:rsid w:val="00DC78DF"/>
    <w:rsid w:val="00DD2417"/>
    <w:rsid w:val="00DD76A5"/>
    <w:rsid w:val="00DD7DDF"/>
    <w:rsid w:val="00DE0EF7"/>
    <w:rsid w:val="00DE2ABB"/>
    <w:rsid w:val="00DE599E"/>
    <w:rsid w:val="00DE650E"/>
    <w:rsid w:val="00DE6593"/>
    <w:rsid w:val="00E0185C"/>
    <w:rsid w:val="00E03347"/>
    <w:rsid w:val="00E06FB1"/>
    <w:rsid w:val="00E07EEC"/>
    <w:rsid w:val="00E104C8"/>
    <w:rsid w:val="00E161E7"/>
    <w:rsid w:val="00E20F30"/>
    <w:rsid w:val="00E25D75"/>
    <w:rsid w:val="00E26548"/>
    <w:rsid w:val="00E265F7"/>
    <w:rsid w:val="00E30203"/>
    <w:rsid w:val="00E31AF2"/>
    <w:rsid w:val="00E37BBC"/>
    <w:rsid w:val="00E40095"/>
    <w:rsid w:val="00E410A9"/>
    <w:rsid w:val="00E4122D"/>
    <w:rsid w:val="00E47903"/>
    <w:rsid w:val="00E47C8E"/>
    <w:rsid w:val="00E5332F"/>
    <w:rsid w:val="00E533DC"/>
    <w:rsid w:val="00E67197"/>
    <w:rsid w:val="00E6762C"/>
    <w:rsid w:val="00E817EB"/>
    <w:rsid w:val="00E827A9"/>
    <w:rsid w:val="00E85E67"/>
    <w:rsid w:val="00E8678D"/>
    <w:rsid w:val="00E96D76"/>
    <w:rsid w:val="00EA69E7"/>
    <w:rsid w:val="00EC0568"/>
    <w:rsid w:val="00EC340C"/>
    <w:rsid w:val="00EC5B7E"/>
    <w:rsid w:val="00ED03CE"/>
    <w:rsid w:val="00ED043E"/>
    <w:rsid w:val="00ED55B6"/>
    <w:rsid w:val="00ED64D7"/>
    <w:rsid w:val="00ED668E"/>
    <w:rsid w:val="00EF2B6C"/>
    <w:rsid w:val="00F02FFC"/>
    <w:rsid w:val="00F0587A"/>
    <w:rsid w:val="00F063BD"/>
    <w:rsid w:val="00F103DA"/>
    <w:rsid w:val="00F128E6"/>
    <w:rsid w:val="00F12B05"/>
    <w:rsid w:val="00F14251"/>
    <w:rsid w:val="00F14989"/>
    <w:rsid w:val="00F254C6"/>
    <w:rsid w:val="00F33A65"/>
    <w:rsid w:val="00F34D4D"/>
    <w:rsid w:val="00F35DFC"/>
    <w:rsid w:val="00F40DF8"/>
    <w:rsid w:val="00F44D67"/>
    <w:rsid w:val="00F64FC7"/>
    <w:rsid w:val="00F73702"/>
    <w:rsid w:val="00F749D3"/>
    <w:rsid w:val="00F852CC"/>
    <w:rsid w:val="00F85540"/>
    <w:rsid w:val="00F86463"/>
    <w:rsid w:val="00F86C97"/>
    <w:rsid w:val="00F905DB"/>
    <w:rsid w:val="00FB28DB"/>
    <w:rsid w:val="00FB5CFF"/>
    <w:rsid w:val="00FC3758"/>
    <w:rsid w:val="00FC7EF6"/>
    <w:rsid w:val="00FD7084"/>
    <w:rsid w:val="00FE289E"/>
    <w:rsid w:val="00FF00CA"/>
    <w:rsid w:val="00FF0A21"/>
    <w:rsid w:val="00FF1593"/>
    <w:rsid w:val="00FF4C4B"/>
    <w:rsid w:val="00FF4E87"/>
    <w:rsid w:val="00FF6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9020"/>
  <w15:chartTrackingRefBased/>
  <w15:docId w15:val="{6208ED67-FF49-4161-A4D2-A192F85E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0CB5"/>
    <w:pPr>
      <w:widowControl w:val="0"/>
      <w:jc w:val="both"/>
    </w:pPr>
  </w:style>
  <w:style w:type="paragraph" w:styleId="Heading2">
    <w:name w:val="heading 2"/>
    <w:basedOn w:val="Normal"/>
    <w:next w:val="Normal"/>
    <w:link w:val="Heading2Char"/>
    <w:uiPriority w:val="9"/>
    <w:unhideWhenUsed/>
    <w:qFormat/>
    <w:rsid w:val="00A26C4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C2C8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41203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3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5399"/>
    <w:rPr>
      <w:sz w:val="18"/>
      <w:szCs w:val="18"/>
    </w:rPr>
  </w:style>
  <w:style w:type="paragraph" w:styleId="Footer">
    <w:name w:val="footer"/>
    <w:basedOn w:val="Normal"/>
    <w:link w:val="FooterChar"/>
    <w:uiPriority w:val="99"/>
    <w:unhideWhenUsed/>
    <w:rsid w:val="002353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35399"/>
    <w:rPr>
      <w:sz w:val="18"/>
      <w:szCs w:val="18"/>
    </w:rPr>
  </w:style>
  <w:style w:type="paragraph" w:styleId="CommentText">
    <w:name w:val="annotation text"/>
    <w:basedOn w:val="Normal"/>
    <w:link w:val="CommentTextChar"/>
    <w:unhideWhenUsed/>
    <w:qFormat/>
    <w:rsid w:val="00F852CC"/>
    <w:pPr>
      <w:jc w:val="left"/>
    </w:pPr>
    <w:rPr>
      <w:rFonts w:ascii="CG Times (WN)" w:eastAsia="宋体" w:hAnsi="CG Times (WN)" w:cs="Times New Roman"/>
    </w:rPr>
  </w:style>
  <w:style w:type="character" w:customStyle="1" w:styleId="CommentTextChar">
    <w:name w:val="Comment Text Char"/>
    <w:basedOn w:val="DefaultParagraphFont"/>
    <w:link w:val="CommentText"/>
    <w:qFormat/>
    <w:rsid w:val="00F852CC"/>
    <w:rPr>
      <w:rFonts w:ascii="CG Times (WN)" w:eastAsia="宋体" w:hAnsi="CG Times (WN)" w:cs="Times New Roman"/>
    </w:rPr>
  </w:style>
  <w:style w:type="character" w:styleId="CommentReference">
    <w:name w:val="annotation reference"/>
    <w:basedOn w:val="DefaultParagraphFont"/>
    <w:uiPriority w:val="99"/>
    <w:unhideWhenUsed/>
    <w:qFormat/>
    <w:rsid w:val="00F852CC"/>
    <w:rPr>
      <w:sz w:val="21"/>
      <w:szCs w:val="21"/>
    </w:rPr>
  </w:style>
  <w:style w:type="paragraph" w:styleId="ListParagraph">
    <w:name w:val="List Paragraph"/>
    <w:basedOn w:val="Normal"/>
    <w:uiPriority w:val="34"/>
    <w:qFormat/>
    <w:rsid w:val="00891104"/>
    <w:pPr>
      <w:ind w:firstLineChars="200" w:firstLine="420"/>
    </w:pPr>
  </w:style>
  <w:style w:type="table" w:styleId="TableGrid">
    <w:name w:val="Table Grid"/>
    <w:basedOn w:val="TableNormal"/>
    <w:uiPriority w:val="59"/>
    <w:rsid w:val="00394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rsid w:val="003D358F"/>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3D358F"/>
    <w:pPr>
      <w:keepNext w:val="0"/>
      <w:spacing w:before="0" w:after="240"/>
    </w:pPr>
  </w:style>
  <w:style w:type="paragraph" w:styleId="CommentSubject">
    <w:name w:val="annotation subject"/>
    <w:basedOn w:val="CommentText"/>
    <w:next w:val="CommentText"/>
    <w:link w:val="CommentSubjectChar"/>
    <w:uiPriority w:val="99"/>
    <w:semiHidden/>
    <w:unhideWhenUsed/>
    <w:rsid w:val="00FF00C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F00CA"/>
    <w:rPr>
      <w:rFonts w:ascii="CG Times (WN)" w:eastAsia="宋体" w:hAnsi="CG Times (WN)" w:cs="Times New Roman"/>
      <w:b/>
      <w:bCs/>
    </w:rPr>
  </w:style>
  <w:style w:type="character" w:customStyle="1" w:styleId="Heading2Char">
    <w:name w:val="Heading 2 Char"/>
    <w:basedOn w:val="DefaultParagraphFont"/>
    <w:link w:val="Heading2"/>
    <w:uiPriority w:val="9"/>
    <w:rsid w:val="00A26C4D"/>
    <w:rPr>
      <w:rFonts w:asciiTheme="majorHAnsi" w:eastAsiaTheme="majorEastAsia" w:hAnsiTheme="majorHAnsi" w:cstheme="majorBidi"/>
      <w:b/>
      <w:bCs/>
      <w:sz w:val="32"/>
      <w:szCs w:val="32"/>
    </w:rPr>
  </w:style>
  <w:style w:type="paragraph" w:customStyle="1" w:styleId="EW">
    <w:name w:val="EW"/>
    <w:basedOn w:val="Normal"/>
    <w:qFormat/>
    <w:rsid w:val="001868FE"/>
    <w:pPr>
      <w:keepLines/>
      <w:widowControl/>
      <w:overflowPunct w:val="0"/>
      <w:autoSpaceDE w:val="0"/>
      <w:autoSpaceDN w:val="0"/>
      <w:adjustRightInd w:val="0"/>
      <w:ind w:left="1702" w:hanging="1418"/>
      <w:jc w:val="left"/>
      <w:textAlignment w:val="baseline"/>
    </w:pPr>
    <w:rPr>
      <w:rFonts w:ascii="Times New Roman" w:eastAsia="Times New Roman" w:hAnsi="Times New Roman" w:cs="Times New Roman"/>
      <w:kern w:val="0"/>
      <w:sz w:val="20"/>
      <w:szCs w:val="20"/>
      <w:lang w:val="en-GB" w:eastAsia="en-GB"/>
    </w:rPr>
  </w:style>
  <w:style w:type="character" w:customStyle="1" w:styleId="Heading4Char">
    <w:name w:val="Heading 4 Char"/>
    <w:basedOn w:val="DefaultParagraphFont"/>
    <w:link w:val="Heading4"/>
    <w:uiPriority w:val="9"/>
    <w:semiHidden/>
    <w:rsid w:val="00412037"/>
    <w:rPr>
      <w:rFonts w:asciiTheme="majorHAnsi" w:eastAsiaTheme="majorEastAsia" w:hAnsiTheme="majorHAnsi" w:cstheme="majorBidi"/>
      <w:b/>
      <w:bCs/>
      <w:sz w:val="28"/>
      <w:szCs w:val="28"/>
    </w:rPr>
  </w:style>
  <w:style w:type="table" w:customStyle="1" w:styleId="TableGrid1">
    <w:name w:val="TableGrid1"/>
    <w:basedOn w:val="TableNormal"/>
    <w:next w:val="TableGrid"/>
    <w:uiPriority w:val="39"/>
    <w:qFormat/>
    <w:rsid w:val="009B10D3"/>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C2C82"/>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8541">
      <w:bodyDiv w:val="1"/>
      <w:marLeft w:val="0"/>
      <w:marRight w:val="0"/>
      <w:marTop w:val="0"/>
      <w:marBottom w:val="0"/>
      <w:divBdr>
        <w:top w:val="none" w:sz="0" w:space="0" w:color="auto"/>
        <w:left w:val="none" w:sz="0" w:space="0" w:color="auto"/>
        <w:bottom w:val="none" w:sz="0" w:space="0" w:color="auto"/>
        <w:right w:val="none" w:sz="0" w:space="0" w:color="auto"/>
      </w:divBdr>
    </w:div>
    <w:div w:id="50201529">
      <w:bodyDiv w:val="1"/>
      <w:marLeft w:val="0"/>
      <w:marRight w:val="0"/>
      <w:marTop w:val="0"/>
      <w:marBottom w:val="0"/>
      <w:divBdr>
        <w:top w:val="none" w:sz="0" w:space="0" w:color="auto"/>
        <w:left w:val="none" w:sz="0" w:space="0" w:color="auto"/>
        <w:bottom w:val="none" w:sz="0" w:space="0" w:color="auto"/>
        <w:right w:val="none" w:sz="0" w:space="0" w:color="auto"/>
      </w:divBdr>
    </w:div>
    <w:div w:id="72632801">
      <w:bodyDiv w:val="1"/>
      <w:marLeft w:val="0"/>
      <w:marRight w:val="0"/>
      <w:marTop w:val="0"/>
      <w:marBottom w:val="0"/>
      <w:divBdr>
        <w:top w:val="none" w:sz="0" w:space="0" w:color="auto"/>
        <w:left w:val="none" w:sz="0" w:space="0" w:color="auto"/>
        <w:bottom w:val="none" w:sz="0" w:space="0" w:color="auto"/>
        <w:right w:val="none" w:sz="0" w:space="0" w:color="auto"/>
      </w:divBdr>
    </w:div>
    <w:div w:id="110639106">
      <w:bodyDiv w:val="1"/>
      <w:marLeft w:val="0"/>
      <w:marRight w:val="0"/>
      <w:marTop w:val="0"/>
      <w:marBottom w:val="0"/>
      <w:divBdr>
        <w:top w:val="none" w:sz="0" w:space="0" w:color="auto"/>
        <w:left w:val="none" w:sz="0" w:space="0" w:color="auto"/>
        <w:bottom w:val="none" w:sz="0" w:space="0" w:color="auto"/>
        <w:right w:val="none" w:sz="0" w:space="0" w:color="auto"/>
      </w:divBdr>
    </w:div>
    <w:div w:id="179979524">
      <w:bodyDiv w:val="1"/>
      <w:marLeft w:val="0"/>
      <w:marRight w:val="0"/>
      <w:marTop w:val="0"/>
      <w:marBottom w:val="0"/>
      <w:divBdr>
        <w:top w:val="none" w:sz="0" w:space="0" w:color="auto"/>
        <w:left w:val="none" w:sz="0" w:space="0" w:color="auto"/>
        <w:bottom w:val="none" w:sz="0" w:space="0" w:color="auto"/>
        <w:right w:val="none" w:sz="0" w:space="0" w:color="auto"/>
      </w:divBdr>
    </w:div>
    <w:div w:id="199633685">
      <w:bodyDiv w:val="1"/>
      <w:marLeft w:val="0"/>
      <w:marRight w:val="0"/>
      <w:marTop w:val="0"/>
      <w:marBottom w:val="0"/>
      <w:divBdr>
        <w:top w:val="none" w:sz="0" w:space="0" w:color="auto"/>
        <w:left w:val="none" w:sz="0" w:space="0" w:color="auto"/>
        <w:bottom w:val="none" w:sz="0" w:space="0" w:color="auto"/>
        <w:right w:val="none" w:sz="0" w:space="0" w:color="auto"/>
      </w:divBdr>
    </w:div>
    <w:div w:id="207299160">
      <w:bodyDiv w:val="1"/>
      <w:marLeft w:val="0"/>
      <w:marRight w:val="0"/>
      <w:marTop w:val="0"/>
      <w:marBottom w:val="0"/>
      <w:divBdr>
        <w:top w:val="none" w:sz="0" w:space="0" w:color="auto"/>
        <w:left w:val="none" w:sz="0" w:space="0" w:color="auto"/>
        <w:bottom w:val="none" w:sz="0" w:space="0" w:color="auto"/>
        <w:right w:val="none" w:sz="0" w:space="0" w:color="auto"/>
      </w:divBdr>
    </w:div>
    <w:div w:id="222448156">
      <w:bodyDiv w:val="1"/>
      <w:marLeft w:val="0"/>
      <w:marRight w:val="0"/>
      <w:marTop w:val="0"/>
      <w:marBottom w:val="0"/>
      <w:divBdr>
        <w:top w:val="none" w:sz="0" w:space="0" w:color="auto"/>
        <w:left w:val="none" w:sz="0" w:space="0" w:color="auto"/>
        <w:bottom w:val="none" w:sz="0" w:space="0" w:color="auto"/>
        <w:right w:val="none" w:sz="0" w:space="0" w:color="auto"/>
      </w:divBdr>
    </w:div>
    <w:div w:id="256906118">
      <w:bodyDiv w:val="1"/>
      <w:marLeft w:val="0"/>
      <w:marRight w:val="0"/>
      <w:marTop w:val="0"/>
      <w:marBottom w:val="0"/>
      <w:divBdr>
        <w:top w:val="none" w:sz="0" w:space="0" w:color="auto"/>
        <w:left w:val="none" w:sz="0" w:space="0" w:color="auto"/>
        <w:bottom w:val="none" w:sz="0" w:space="0" w:color="auto"/>
        <w:right w:val="none" w:sz="0" w:space="0" w:color="auto"/>
      </w:divBdr>
    </w:div>
    <w:div w:id="368578234">
      <w:bodyDiv w:val="1"/>
      <w:marLeft w:val="0"/>
      <w:marRight w:val="0"/>
      <w:marTop w:val="0"/>
      <w:marBottom w:val="0"/>
      <w:divBdr>
        <w:top w:val="none" w:sz="0" w:space="0" w:color="auto"/>
        <w:left w:val="none" w:sz="0" w:space="0" w:color="auto"/>
        <w:bottom w:val="none" w:sz="0" w:space="0" w:color="auto"/>
        <w:right w:val="none" w:sz="0" w:space="0" w:color="auto"/>
      </w:divBdr>
    </w:div>
    <w:div w:id="414017010">
      <w:bodyDiv w:val="1"/>
      <w:marLeft w:val="0"/>
      <w:marRight w:val="0"/>
      <w:marTop w:val="0"/>
      <w:marBottom w:val="0"/>
      <w:divBdr>
        <w:top w:val="none" w:sz="0" w:space="0" w:color="auto"/>
        <w:left w:val="none" w:sz="0" w:space="0" w:color="auto"/>
        <w:bottom w:val="none" w:sz="0" w:space="0" w:color="auto"/>
        <w:right w:val="none" w:sz="0" w:space="0" w:color="auto"/>
      </w:divBdr>
    </w:div>
    <w:div w:id="497691852">
      <w:bodyDiv w:val="1"/>
      <w:marLeft w:val="0"/>
      <w:marRight w:val="0"/>
      <w:marTop w:val="0"/>
      <w:marBottom w:val="0"/>
      <w:divBdr>
        <w:top w:val="none" w:sz="0" w:space="0" w:color="auto"/>
        <w:left w:val="none" w:sz="0" w:space="0" w:color="auto"/>
        <w:bottom w:val="none" w:sz="0" w:space="0" w:color="auto"/>
        <w:right w:val="none" w:sz="0" w:space="0" w:color="auto"/>
      </w:divBdr>
    </w:div>
    <w:div w:id="516967773">
      <w:bodyDiv w:val="1"/>
      <w:marLeft w:val="0"/>
      <w:marRight w:val="0"/>
      <w:marTop w:val="0"/>
      <w:marBottom w:val="0"/>
      <w:divBdr>
        <w:top w:val="none" w:sz="0" w:space="0" w:color="auto"/>
        <w:left w:val="none" w:sz="0" w:space="0" w:color="auto"/>
        <w:bottom w:val="none" w:sz="0" w:space="0" w:color="auto"/>
        <w:right w:val="none" w:sz="0" w:space="0" w:color="auto"/>
      </w:divBdr>
    </w:div>
    <w:div w:id="524488209">
      <w:bodyDiv w:val="1"/>
      <w:marLeft w:val="0"/>
      <w:marRight w:val="0"/>
      <w:marTop w:val="0"/>
      <w:marBottom w:val="0"/>
      <w:divBdr>
        <w:top w:val="none" w:sz="0" w:space="0" w:color="auto"/>
        <w:left w:val="none" w:sz="0" w:space="0" w:color="auto"/>
        <w:bottom w:val="none" w:sz="0" w:space="0" w:color="auto"/>
        <w:right w:val="none" w:sz="0" w:space="0" w:color="auto"/>
      </w:divBdr>
    </w:div>
    <w:div w:id="554435277">
      <w:bodyDiv w:val="1"/>
      <w:marLeft w:val="0"/>
      <w:marRight w:val="0"/>
      <w:marTop w:val="0"/>
      <w:marBottom w:val="0"/>
      <w:divBdr>
        <w:top w:val="none" w:sz="0" w:space="0" w:color="auto"/>
        <w:left w:val="none" w:sz="0" w:space="0" w:color="auto"/>
        <w:bottom w:val="none" w:sz="0" w:space="0" w:color="auto"/>
        <w:right w:val="none" w:sz="0" w:space="0" w:color="auto"/>
      </w:divBdr>
    </w:div>
    <w:div w:id="598099995">
      <w:bodyDiv w:val="1"/>
      <w:marLeft w:val="0"/>
      <w:marRight w:val="0"/>
      <w:marTop w:val="0"/>
      <w:marBottom w:val="0"/>
      <w:divBdr>
        <w:top w:val="none" w:sz="0" w:space="0" w:color="auto"/>
        <w:left w:val="none" w:sz="0" w:space="0" w:color="auto"/>
        <w:bottom w:val="none" w:sz="0" w:space="0" w:color="auto"/>
        <w:right w:val="none" w:sz="0" w:space="0" w:color="auto"/>
      </w:divBdr>
    </w:div>
    <w:div w:id="623195893">
      <w:bodyDiv w:val="1"/>
      <w:marLeft w:val="0"/>
      <w:marRight w:val="0"/>
      <w:marTop w:val="0"/>
      <w:marBottom w:val="0"/>
      <w:divBdr>
        <w:top w:val="none" w:sz="0" w:space="0" w:color="auto"/>
        <w:left w:val="none" w:sz="0" w:space="0" w:color="auto"/>
        <w:bottom w:val="none" w:sz="0" w:space="0" w:color="auto"/>
        <w:right w:val="none" w:sz="0" w:space="0" w:color="auto"/>
      </w:divBdr>
    </w:div>
    <w:div w:id="972491289">
      <w:bodyDiv w:val="1"/>
      <w:marLeft w:val="0"/>
      <w:marRight w:val="0"/>
      <w:marTop w:val="0"/>
      <w:marBottom w:val="0"/>
      <w:divBdr>
        <w:top w:val="none" w:sz="0" w:space="0" w:color="auto"/>
        <w:left w:val="none" w:sz="0" w:space="0" w:color="auto"/>
        <w:bottom w:val="none" w:sz="0" w:space="0" w:color="auto"/>
        <w:right w:val="none" w:sz="0" w:space="0" w:color="auto"/>
      </w:divBdr>
    </w:div>
    <w:div w:id="1025598565">
      <w:bodyDiv w:val="1"/>
      <w:marLeft w:val="0"/>
      <w:marRight w:val="0"/>
      <w:marTop w:val="0"/>
      <w:marBottom w:val="0"/>
      <w:divBdr>
        <w:top w:val="none" w:sz="0" w:space="0" w:color="auto"/>
        <w:left w:val="none" w:sz="0" w:space="0" w:color="auto"/>
        <w:bottom w:val="none" w:sz="0" w:space="0" w:color="auto"/>
        <w:right w:val="none" w:sz="0" w:space="0" w:color="auto"/>
      </w:divBdr>
    </w:div>
    <w:div w:id="1082528755">
      <w:bodyDiv w:val="1"/>
      <w:marLeft w:val="0"/>
      <w:marRight w:val="0"/>
      <w:marTop w:val="0"/>
      <w:marBottom w:val="0"/>
      <w:divBdr>
        <w:top w:val="none" w:sz="0" w:space="0" w:color="auto"/>
        <w:left w:val="none" w:sz="0" w:space="0" w:color="auto"/>
        <w:bottom w:val="none" w:sz="0" w:space="0" w:color="auto"/>
        <w:right w:val="none" w:sz="0" w:space="0" w:color="auto"/>
      </w:divBdr>
    </w:div>
    <w:div w:id="1087265459">
      <w:bodyDiv w:val="1"/>
      <w:marLeft w:val="0"/>
      <w:marRight w:val="0"/>
      <w:marTop w:val="0"/>
      <w:marBottom w:val="0"/>
      <w:divBdr>
        <w:top w:val="none" w:sz="0" w:space="0" w:color="auto"/>
        <w:left w:val="none" w:sz="0" w:space="0" w:color="auto"/>
        <w:bottom w:val="none" w:sz="0" w:space="0" w:color="auto"/>
        <w:right w:val="none" w:sz="0" w:space="0" w:color="auto"/>
      </w:divBdr>
    </w:div>
    <w:div w:id="1099831749">
      <w:bodyDiv w:val="1"/>
      <w:marLeft w:val="0"/>
      <w:marRight w:val="0"/>
      <w:marTop w:val="0"/>
      <w:marBottom w:val="0"/>
      <w:divBdr>
        <w:top w:val="none" w:sz="0" w:space="0" w:color="auto"/>
        <w:left w:val="none" w:sz="0" w:space="0" w:color="auto"/>
        <w:bottom w:val="none" w:sz="0" w:space="0" w:color="auto"/>
        <w:right w:val="none" w:sz="0" w:space="0" w:color="auto"/>
      </w:divBdr>
    </w:div>
    <w:div w:id="1132676048">
      <w:bodyDiv w:val="1"/>
      <w:marLeft w:val="0"/>
      <w:marRight w:val="0"/>
      <w:marTop w:val="0"/>
      <w:marBottom w:val="0"/>
      <w:divBdr>
        <w:top w:val="none" w:sz="0" w:space="0" w:color="auto"/>
        <w:left w:val="none" w:sz="0" w:space="0" w:color="auto"/>
        <w:bottom w:val="none" w:sz="0" w:space="0" w:color="auto"/>
        <w:right w:val="none" w:sz="0" w:space="0" w:color="auto"/>
      </w:divBdr>
    </w:div>
    <w:div w:id="1237473719">
      <w:bodyDiv w:val="1"/>
      <w:marLeft w:val="0"/>
      <w:marRight w:val="0"/>
      <w:marTop w:val="0"/>
      <w:marBottom w:val="0"/>
      <w:divBdr>
        <w:top w:val="none" w:sz="0" w:space="0" w:color="auto"/>
        <w:left w:val="none" w:sz="0" w:space="0" w:color="auto"/>
        <w:bottom w:val="none" w:sz="0" w:space="0" w:color="auto"/>
        <w:right w:val="none" w:sz="0" w:space="0" w:color="auto"/>
      </w:divBdr>
    </w:div>
    <w:div w:id="1241140886">
      <w:bodyDiv w:val="1"/>
      <w:marLeft w:val="0"/>
      <w:marRight w:val="0"/>
      <w:marTop w:val="0"/>
      <w:marBottom w:val="0"/>
      <w:divBdr>
        <w:top w:val="none" w:sz="0" w:space="0" w:color="auto"/>
        <w:left w:val="none" w:sz="0" w:space="0" w:color="auto"/>
        <w:bottom w:val="none" w:sz="0" w:space="0" w:color="auto"/>
        <w:right w:val="none" w:sz="0" w:space="0" w:color="auto"/>
      </w:divBdr>
    </w:div>
    <w:div w:id="1497576318">
      <w:bodyDiv w:val="1"/>
      <w:marLeft w:val="0"/>
      <w:marRight w:val="0"/>
      <w:marTop w:val="0"/>
      <w:marBottom w:val="0"/>
      <w:divBdr>
        <w:top w:val="none" w:sz="0" w:space="0" w:color="auto"/>
        <w:left w:val="none" w:sz="0" w:space="0" w:color="auto"/>
        <w:bottom w:val="none" w:sz="0" w:space="0" w:color="auto"/>
        <w:right w:val="none" w:sz="0" w:space="0" w:color="auto"/>
      </w:divBdr>
    </w:div>
    <w:div w:id="1505782858">
      <w:bodyDiv w:val="1"/>
      <w:marLeft w:val="0"/>
      <w:marRight w:val="0"/>
      <w:marTop w:val="0"/>
      <w:marBottom w:val="0"/>
      <w:divBdr>
        <w:top w:val="none" w:sz="0" w:space="0" w:color="auto"/>
        <w:left w:val="none" w:sz="0" w:space="0" w:color="auto"/>
        <w:bottom w:val="none" w:sz="0" w:space="0" w:color="auto"/>
        <w:right w:val="none" w:sz="0" w:space="0" w:color="auto"/>
      </w:divBdr>
    </w:div>
    <w:div w:id="1559706390">
      <w:bodyDiv w:val="1"/>
      <w:marLeft w:val="0"/>
      <w:marRight w:val="0"/>
      <w:marTop w:val="0"/>
      <w:marBottom w:val="0"/>
      <w:divBdr>
        <w:top w:val="none" w:sz="0" w:space="0" w:color="auto"/>
        <w:left w:val="none" w:sz="0" w:space="0" w:color="auto"/>
        <w:bottom w:val="none" w:sz="0" w:space="0" w:color="auto"/>
        <w:right w:val="none" w:sz="0" w:space="0" w:color="auto"/>
      </w:divBdr>
    </w:div>
    <w:div w:id="1913850165">
      <w:bodyDiv w:val="1"/>
      <w:marLeft w:val="0"/>
      <w:marRight w:val="0"/>
      <w:marTop w:val="0"/>
      <w:marBottom w:val="0"/>
      <w:divBdr>
        <w:top w:val="none" w:sz="0" w:space="0" w:color="auto"/>
        <w:left w:val="none" w:sz="0" w:space="0" w:color="auto"/>
        <w:bottom w:val="none" w:sz="0" w:space="0" w:color="auto"/>
        <w:right w:val="none" w:sz="0" w:space="0" w:color="auto"/>
      </w:divBdr>
    </w:div>
    <w:div w:id="1934898420">
      <w:bodyDiv w:val="1"/>
      <w:marLeft w:val="0"/>
      <w:marRight w:val="0"/>
      <w:marTop w:val="0"/>
      <w:marBottom w:val="0"/>
      <w:divBdr>
        <w:top w:val="none" w:sz="0" w:space="0" w:color="auto"/>
        <w:left w:val="none" w:sz="0" w:space="0" w:color="auto"/>
        <w:bottom w:val="none" w:sz="0" w:space="0" w:color="auto"/>
        <w:right w:val="none" w:sz="0" w:space="0" w:color="auto"/>
      </w:divBdr>
    </w:div>
    <w:div w:id="2041200477">
      <w:bodyDiv w:val="1"/>
      <w:marLeft w:val="0"/>
      <w:marRight w:val="0"/>
      <w:marTop w:val="0"/>
      <w:marBottom w:val="0"/>
      <w:divBdr>
        <w:top w:val="none" w:sz="0" w:space="0" w:color="auto"/>
        <w:left w:val="none" w:sz="0" w:space="0" w:color="auto"/>
        <w:bottom w:val="none" w:sz="0" w:space="0" w:color="auto"/>
        <w:right w:val="none" w:sz="0" w:space="0" w:color="auto"/>
      </w:divBdr>
    </w:div>
    <w:div w:id="213274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C464-2DB7-4D6B-8290-46BA1C513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3585</TotalTime>
  <Pages>17</Pages>
  <Words>5799</Words>
  <Characters>33059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154</cp:revision>
  <dcterms:created xsi:type="dcterms:W3CDTF">2023-03-31T09:21:00Z</dcterms:created>
  <dcterms:modified xsi:type="dcterms:W3CDTF">2023-05-15T12:49:00Z</dcterms:modified>
</cp:coreProperties>
</file>