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19343" w14:textId="58257D16" w:rsidR="006D149F" w:rsidRPr="00DB3907" w:rsidRDefault="006D149F" w:rsidP="006D149F">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#105</w:t>
      </w:r>
      <w:r w:rsidRPr="00DB3907">
        <w:rPr>
          <w:rFonts w:cs="Arial"/>
          <w:sz w:val="24"/>
          <w:szCs w:val="24"/>
          <w:lang w:val="de-DE"/>
        </w:rPr>
        <w:tab/>
        <w:t>R4-</w:t>
      </w:r>
      <w:r>
        <w:rPr>
          <w:rFonts w:cs="Arial"/>
          <w:sz w:val="24"/>
          <w:szCs w:val="24"/>
          <w:lang w:val="de-DE"/>
        </w:rPr>
        <w:t>221</w:t>
      </w:r>
      <w:r w:rsidR="00F904F8">
        <w:rPr>
          <w:rFonts w:cs="Arial"/>
          <w:sz w:val="24"/>
          <w:szCs w:val="24"/>
          <w:lang w:val="de-DE"/>
        </w:rPr>
        <w:t>9985</w:t>
      </w:r>
    </w:p>
    <w:p w14:paraId="519B2663" w14:textId="77777777" w:rsidR="006D149F" w:rsidRPr="00DB3907" w:rsidRDefault="006D149F" w:rsidP="006D149F">
      <w:pPr>
        <w:pStyle w:val="Header"/>
        <w:tabs>
          <w:tab w:val="left" w:pos="6521"/>
        </w:tabs>
        <w:rPr>
          <w:rFonts w:cs="Arial"/>
          <w:sz w:val="24"/>
          <w:szCs w:val="24"/>
        </w:rPr>
      </w:pPr>
      <w:r>
        <w:rPr>
          <w:rFonts w:cs="Arial"/>
          <w:sz w:val="24"/>
          <w:szCs w:val="24"/>
        </w:rPr>
        <w:t>November 14</w:t>
      </w:r>
      <w:r>
        <w:rPr>
          <w:rFonts w:cs="Arial"/>
          <w:sz w:val="24"/>
          <w:szCs w:val="24"/>
          <w:vertAlign w:val="superscript"/>
        </w:rPr>
        <w:t>th</w:t>
      </w:r>
      <w:r>
        <w:rPr>
          <w:rFonts w:cs="Arial"/>
          <w:sz w:val="24"/>
          <w:szCs w:val="24"/>
        </w:rPr>
        <w:t xml:space="preserve"> ‒ 18</w:t>
      </w:r>
      <w:r>
        <w:rPr>
          <w:rFonts w:cs="Arial"/>
          <w:sz w:val="24"/>
          <w:szCs w:val="24"/>
          <w:vertAlign w:val="superscript"/>
        </w:rPr>
        <w:t>th</w:t>
      </w:r>
      <w:r>
        <w:rPr>
          <w:rFonts w:cs="Arial"/>
          <w:sz w:val="24"/>
          <w:szCs w:val="24"/>
        </w:rPr>
        <w:t>, 2022</w:t>
      </w:r>
    </w:p>
    <w:p w14:paraId="481C94E2" w14:textId="47CD526B" w:rsidR="006D149F" w:rsidRPr="00DB3907" w:rsidRDefault="006D149F" w:rsidP="006D149F">
      <w:pPr>
        <w:pStyle w:val="Header"/>
        <w:rPr>
          <w:rFonts w:cs="Arial"/>
          <w:sz w:val="24"/>
          <w:szCs w:val="24"/>
        </w:rPr>
      </w:pPr>
      <w:r>
        <w:rPr>
          <w:rFonts w:cs="Arial"/>
          <w:sz w:val="24"/>
          <w:szCs w:val="24"/>
        </w:rPr>
        <w:t>Toulouse, FR</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277453DC"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A50A24">
        <w:rPr>
          <w:rFonts w:ascii="Arial" w:hAnsi="Arial"/>
          <w:sz w:val="24"/>
          <w:lang w:val="en-US"/>
        </w:rPr>
        <w:t>7.27.2</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39752420"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535207">
        <w:rPr>
          <w:rFonts w:ascii="Arial" w:hAnsi="Arial"/>
          <w:sz w:val="24"/>
          <w:lang w:val="en-US"/>
        </w:rPr>
        <w:t>V</w:t>
      </w:r>
      <w:r w:rsidR="00E73CFD">
        <w:rPr>
          <w:rFonts w:ascii="Arial" w:hAnsi="Arial"/>
          <w:sz w:val="24"/>
          <w:lang w:val="en-US"/>
        </w:rPr>
        <w:t>ariable duplex for the APT 600 MHz band</w:t>
      </w:r>
    </w:p>
    <w:p w14:paraId="013F978F" w14:textId="6DA2FBEF"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AD550E">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25643CFE" w14:textId="2E64EC2C" w:rsidR="007E68EF" w:rsidRDefault="00297250" w:rsidP="00354733">
      <w:pPr>
        <w:rPr>
          <w:lang w:val="en-US"/>
        </w:rPr>
      </w:pPr>
      <w:r>
        <w:rPr>
          <w:lang w:val="en-US"/>
        </w:rPr>
        <w:t xml:space="preserve">During the RAN4 #104bis-e meeting, </w:t>
      </w:r>
      <w:r w:rsidR="00493A7B">
        <w:rPr>
          <w:lang w:val="en-US"/>
        </w:rPr>
        <w:t>the default duplex spacing</w:t>
      </w:r>
      <w:r>
        <w:rPr>
          <w:lang w:val="en-US"/>
        </w:rPr>
        <w:t xml:space="preserve"> </w:t>
      </w:r>
      <w:r w:rsidR="00493A7B">
        <w:rPr>
          <w:lang w:val="en-US"/>
        </w:rPr>
        <w:t>of -51 MHz was agreed [1]</w:t>
      </w:r>
      <w:r w:rsidR="004159AF">
        <w:rPr>
          <w:lang w:val="en-US"/>
        </w:rPr>
        <w:t xml:space="preserve">.  In addition to the default duplex, </w:t>
      </w:r>
      <w:r w:rsidR="008C4B21">
        <w:rPr>
          <w:lang w:val="en-US"/>
        </w:rPr>
        <w:t xml:space="preserve">there was also a </w:t>
      </w:r>
      <w:r w:rsidR="00405BA1">
        <w:rPr>
          <w:lang w:val="en-US"/>
        </w:rPr>
        <w:t>proposal</w:t>
      </w:r>
      <w:r w:rsidR="00474B09">
        <w:rPr>
          <w:lang w:val="en-US"/>
        </w:rPr>
        <w:t xml:space="preserve"> [2]</w:t>
      </w:r>
      <w:r w:rsidR="00405BA1">
        <w:rPr>
          <w:lang w:val="en-US"/>
        </w:rPr>
        <w:t xml:space="preserve"> for </w:t>
      </w:r>
      <w:r w:rsidR="008C4B21">
        <w:rPr>
          <w:lang w:val="en-US"/>
        </w:rPr>
        <w:t>variable duplex and asymmetric channel bandwidth</w:t>
      </w:r>
      <w:r w:rsidR="00405BA1">
        <w:rPr>
          <w:lang w:val="en-US"/>
        </w:rPr>
        <w:t xml:space="preserve"> to enable </w:t>
      </w:r>
      <w:r w:rsidR="00EB2E06">
        <w:rPr>
          <w:lang w:val="en-US"/>
        </w:rPr>
        <w:t>Band n105 devices to operate in a</w:t>
      </w:r>
      <w:r w:rsidR="007E68EF">
        <w:rPr>
          <w:lang w:val="en-US"/>
        </w:rPr>
        <w:t xml:space="preserve"> Band n71 network under MFBI</w:t>
      </w:r>
      <w:r w:rsidR="00474B09">
        <w:rPr>
          <w:lang w:val="en-US"/>
        </w:rPr>
        <w:t xml:space="preserve">, but no agreement could be found.  </w:t>
      </w:r>
      <w:r w:rsidR="00C05D7B">
        <w:rPr>
          <w:lang w:val="en-US"/>
        </w:rPr>
        <w:t>This contributio</w:t>
      </w:r>
      <w:r w:rsidR="001846EF">
        <w:rPr>
          <w:lang w:val="en-US"/>
        </w:rPr>
        <w:t>n provides further discussion on the usage of asymmetric channel bandwidths</w:t>
      </w:r>
      <w:r w:rsidR="00E20949">
        <w:rPr>
          <w:lang w:val="en-US"/>
        </w:rPr>
        <w:t xml:space="preserve"> to enable UE operation in an alternate duplex network</w:t>
      </w:r>
      <w:r w:rsidR="00A2323E">
        <w:rPr>
          <w:lang w:val="en-US"/>
        </w:rPr>
        <w:t xml:space="preserve"> and illustrates that it is not feasible.</w:t>
      </w:r>
    </w:p>
    <w:p w14:paraId="10F6602E" w14:textId="038E91E5" w:rsidR="007E1E78" w:rsidRDefault="007E1E78" w:rsidP="0099327E">
      <w:pPr>
        <w:pStyle w:val="Heading1"/>
        <w:tabs>
          <w:tab w:val="clear" w:pos="432"/>
          <w:tab w:val="num" w:pos="522"/>
        </w:tabs>
        <w:ind w:left="522" w:hanging="522"/>
        <w:rPr>
          <w:lang w:val="en-US"/>
        </w:rPr>
      </w:pPr>
      <w:r>
        <w:rPr>
          <w:lang w:val="en-US"/>
        </w:rPr>
        <w:t>Discussion</w:t>
      </w:r>
    </w:p>
    <w:p w14:paraId="10BC1C4F" w14:textId="43ACC026" w:rsidR="003863F4" w:rsidRDefault="00016AFF" w:rsidP="00016AFF">
      <w:pPr>
        <w:rPr>
          <w:lang w:val="en-US"/>
        </w:rPr>
      </w:pPr>
      <w:r>
        <w:rPr>
          <w:lang w:val="en-US"/>
        </w:rPr>
        <w:t xml:space="preserve">Asymmetric channel bandwidths </w:t>
      </w:r>
      <w:r w:rsidR="00215E9C">
        <w:rPr>
          <w:lang w:val="en-US"/>
        </w:rPr>
        <w:t xml:space="preserve">have been proposed for Band n105 because of the relatively narrow Tx-Rx separation and the impact on reference sensitivity of wideband channels.  It has been previously agreed that </w:t>
      </w:r>
      <w:r w:rsidR="00FC183B">
        <w:rPr>
          <w:lang w:val="en-US"/>
        </w:rPr>
        <w:t xml:space="preserve">the maximum bandwidth on the uplink should be limited to 20 MHz while the downlink can be as wide as 35 MHz.  </w:t>
      </w:r>
      <w:r w:rsidR="00EB6DAF">
        <w:rPr>
          <w:lang w:val="en-US"/>
        </w:rPr>
        <w:t>Although RB restrictions in the uplink could have been used</w:t>
      </w:r>
      <w:r w:rsidR="00152BDD">
        <w:rPr>
          <w:lang w:val="en-US"/>
        </w:rPr>
        <w:t xml:space="preserve"> for the reference sensitivity</w:t>
      </w:r>
      <w:r w:rsidR="00627E1B">
        <w:rPr>
          <w:lang w:val="en-US"/>
        </w:rPr>
        <w:t xml:space="preserve"> specification</w:t>
      </w:r>
      <w:r w:rsidR="00EB6DAF">
        <w:rPr>
          <w:lang w:val="en-US"/>
        </w:rPr>
        <w:t xml:space="preserve">, it was instead agreed that </w:t>
      </w:r>
      <w:r w:rsidR="00152BDD">
        <w:rPr>
          <w:lang w:val="en-US"/>
        </w:rPr>
        <w:t xml:space="preserve">the channel bandwidth of the uplink would be restricted to 20 MHz </w:t>
      </w:r>
      <w:r w:rsidR="00D97A7A">
        <w:rPr>
          <w:lang w:val="en-US"/>
        </w:rPr>
        <w:t>and the duplex (center frequency to center frequency between uplink and downlink channels) would be fixed at -51</w:t>
      </w:r>
      <w:r w:rsidR="003111AB">
        <w:rPr>
          <w:lang w:val="en-US"/>
        </w:rPr>
        <w:t xml:space="preserve"> MHz for reference sensitivity.  The default duplex is the only duplex tested for reference sensitivity.</w:t>
      </w:r>
    </w:p>
    <w:p w14:paraId="5141F64C" w14:textId="788A87B3" w:rsidR="009616E5" w:rsidRDefault="003B7204" w:rsidP="00016AFF">
      <w:pPr>
        <w:rPr>
          <w:b/>
          <w:bCs/>
          <w:lang w:val="en-US"/>
        </w:rPr>
      </w:pPr>
      <w:r w:rsidRPr="00F83960">
        <w:rPr>
          <w:b/>
          <w:bCs/>
          <w:lang w:val="en-US"/>
        </w:rPr>
        <w:t>Observation</w:t>
      </w:r>
      <w:r w:rsidR="009616E5">
        <w:rPr>
          <w:b/>
          <w:bCs/>
          <w:lang w:val="en-US"/>
        </w:rPr>
        <w:t xml:space="preserve"> 1</w:t>
      </w:r>
      <w:r w:rsidRPr="00F83960">
        <w:rPr>
          <w:b/>
          <w:bCs/>
          <w:lang w:val="en-US"/>
        </w:rPr>
        <w:t xml:space="preserve">: Asymmetric channel bandwidths were agreed for Band n105 </w:t>
      </w:r>
      <w:r w:rsidR="00152F59" w:rsidRPr="00F83960">
        <w:rPr>
          <w:b/>
          <w:bCs/>
          <w:lang w:val="en-US"/>
        </w:rPr>
        <w:t xml:space="preserve">for the purpose of </w:t>
      </w:r>
      <w:r w:rsidRPr="00F83960">
        <w:rPr>
          <w:b/>
          <w:bCs/>
          <w:lang w:val="en-US"/>
        </w:rPr>
        <w:t>avoid</w:t>
      </w:r>
      <w:r w:rsidR="00152F59" w:rsidRPr="00F83960">
        <w:rPr>
          <w:b/>
          <w:bCs/>
          <w:lang w:val="en-US"/>
        </w:rPr>
        <w:t>ing</w:t>
      </w:r>
      <w:r w:rsidRPr="00F83960">
        <w:rPr>
          <w:b/>
          <w:bCs/>
          <w:lang w:val="en-US"/>
        </w:rPr>
        <w:t xml:space="preserve"> de</w:t>
      </w:r>
      <w:r w:rsidR="00131004" w:rsidRPr="00F83960">
        <w:rPr>
          <w:b/>
          <w:bCs/>
          <w:lang w:val="en-US"/>
        </w:rPr>
        <w:t>grad</w:t>
      </w:r>
      <w:r w:rsidR="00152F59" w:rsidRPr="00F83960">
        <w:rPr>
          <w:b/>
          <w:bCs/>
          <w:lang w:val="en-US"/>
        </w:rPr>
        <w:t xml:space="preserve">ation </w:t>
      </w:r>
      <w:proofErr w:type="gramStart"/>
      <w:r w:rsidR="00152F59" w:rsidRPr="00F83960">
        <w:rPr>
          <w:b/>
          <w:bCs/>
          <w:lang w:val="en-US"/>
        </w:rPr>
        <w:t xml:space="preserve">to </w:t>
      </w:r>
      <w:r w:rsidR="00131004" w:rsidRPr="00F83960">
        <w:rPr>
          <w:b/>
          <w:bCs/>
          <w:lang w:val="en-US"/>
        </w:rPr>
        <w:t xml:space="preserve"> reference</w:t>
      </w:r>
      <w:proofErr w:type="gramEnd"/>
      <w:r w:rsidR="00131004" w:rsidRPr="00F83960">
        <w:rPr>
          <w:b/>
          <w:bCs/>
          <w:lang w:val="en-US"/>
        </w:rPr>
        <w:t xml:space="preserve"> sensitivity</w:t>
      </w:r>
      <w:r w:rsidR="001409C3" w:rsidRPr="00F83960">
        <w:rPr>
          <w:b/>
          <w:bCs/>
          <w:lang w:val="en-US"/>
        </w:rPr>
        <w:t xml:space="preserve"> for wideband channels</w:t>
      </w:r>
      <w:r w:rsidR="00131004" w:rsidRPr="00F83960">
        <w:rPr>
          <w:b/>
          <w:bCs/>
          <w:lang w:val="en-US"/>
        </w:rPr>
        <w:t xml:space="preserve">.  </w:t>
      </w:r>
      <w:r w:rsidR="009616E5">
        <w:rPr>
          <w:b/>
          <w:bCs/>
          <w:lang w:val="en-US"/>
        </w:rPr>
        <w:t xml:space="preserve">Hence, only 25, 30, and 35 MHz downlink bandwidths are paired to 20 MHz uplink bandwidths.  </w:t>
      </w:r>
    </w:p>
    <w:p w14:paraId="555438E9" w14:textId="45FD2BA0" w:rsidR="003B7204" w:rsidRPr="00F83960" w:rsidRDefault="009616E5" w:rsidP="00016AFF">
      <w:pPr>
        <w:rPr>
          <w:b/>
          <w:bCs/>
          <w:lang w:val="en-US"/>
        </w:rPr>
      </w:pPr>
      <w:r>
        <w:rPr>
          <w:b/>
          <w:bCs/>
          <w:lang w:val="en-US"/>
        </w:rPr>
        <w:t xml:space="preserve">Observation 2: </w:t>
      </w:r>
      <w:r w:rsidR="00131004" w:rsidRPr="00F83960">
        <w:rPr>
          <w:b/>
          <w:bCs/>
          <w:lang w:val="en-US"/>
        </w:rPr>
        <w:t>Reference sensitivity is only specified for the default duplex of -51 MHz.</w:t>
      </w:r>
    </w:p>
    <w:p w14:paraId="05DA395B" w14:textId="2E4CAB73" w:rsidR="00152F59" w:rsidRDefault="00152F59" w:rsidP="00016AFF">
      <w:pPr>
        <w:rPr>
          <w:lang w:val="en-US"/>
        </w:rPr>
      </w:pPr>
      <w:r>
        <w:rPr>
          <w:lang w:val="en-US"/>
        </w:rPr>
        <w:t xml:space="preserve">It </w:t>
      </w:r>
      <w:r w:rsidR="00B0213A">
        <w:rPr>
          <w:lang w:val="en-US"/>
        </w:rPr>
        <w:t>wa</w:t>
      </w:r>
      <w:r>
        <w:rPr>
          <w:lang w:val="en-US"/>
        </w:rPr>
        <w:t xml:space="preserve">s </w:t>
      </w:r>
      <w:r w:rsidR="00B0213A">
        <w:rPr>
          <w:lang w:val="en-US"/>
        </w:rPr>
        <w:t>observed in [2] that a byproduct of asymmetric channel bandwidths</w:t>
      </w:r>
      <w:r w:rsidR="007B34F3">
        <w:rPr>
          <w:lang w:val="en-US"/>
        </w:rPr>
        <w:t xml:space="preserve"> is </w:t>
      </w:r>
      <w:r w:rsidR="00C167FA">
        <w:rPr>
          <w:lang w:val="en-US"/>
        </w:rPr>
        <w:t>a</w:t>
      </w:r>
      <w:r w:rsidR="005A1E4F">
        <w:rPr>
          <w:lang w:val="en-US"/>
        </w:rPr>
        <w:t>n implicit variable duplex capability</w:t>
      </w:r>
      <w:r w:rsidR="00F83960">
        <w:rPr>
          <w:lang w:val="en-US"/>
        </w:rPr>
        <w:t xml:space="preserve"> of the UE </w:t>
      </w:r>
      <w:proofErr w:type="gramStart"/>
      <w:r w:rsidR="00F83960">
        <w:rPr>
          <w:lang w:val="en-US"/>
        </w:rPr>
        <w:t>in order to</w:t>
      </w:r>
      <w:proofErr w:type="gramEnd"/>
      <w:r w:rsidR="00F83960">
        <w:rPr>
          <w:lang w:val="en-US"/>
        </w:rPr>
        <w:t xml:space="preserve"> support a </w:t>
      </w:r>
      <w:r w:rsidR="00865C64">
        <w:rPr>
          <w:lang w:val="en-US"/>
        </w:rPr>
        <w:t xml:space="preserve">spectral confinement of the smaller carrier (uplink) within the frequency range of </w:t>
      </w:r>
      <w:r w:rsidR="005823EA">
        <w:rPr>
          <w:lang w:val="en-US"/>
        </w:rPr>
        <w:t xml:space="preserve">the larger carrier offset by the default duplex.  The variable duplex is </w:t>
      </w:r>
      <w:r w:rsidR="00EC299C">
        <w:rPr>
          <w:lang w:val="en-US"/>
        </w:rPr>
        <w:t xml:space="preserve">available over </w:t>
      </w:r>
      <w:r w:rsidR="00E0733E">
        <w:rPr>
          <w:lang w:val="en-US"/>
        </w:rPr>
        <w:t>the following range relative to the default duplex</w:t>
      </w:r>
    </w:p>
    <w:p w14:paraId="2287B899" w14:textId="1EA5C7D9" w:rsidR="00EC299C" w:rsidRPr="00F550D0" w:rsidRDefault="00EC299C" w:rsidP="00EC299C">
      <w:pPr>
        <w:keepLines/>
        <w:tabs>
          <w:tab w:val="center" w:pos="4536"/>
          <w:tab w:val="right" w:pos="9072"/>
        </w:tabs>
        <w:ind w:left="720"/>
        <w:jc w:val="center"/>
        <w:rPr>
          <w:noProof/>
        </w:rPr>
      </w:pPr>
      <w:r w:rsidRPr="00F550D0">
        <w:rPr>
          <w:noProof/>
        </w:rPr>
        <w:t>ΔF</w:t>
      </w:r>
      <w:r w:rsidRPr="00F550D0">
        <w:rPr>
          <w:noProof/>
          <w:vertAlign w:val="subscript"/>
        </w:rPr>
        <w:t>TX-RX</w:t>
      </w:r>
      <w:r w:rsidRPr="00F550D0">
        <w:rPr>
          <w:noProof/>
        </w:rPr>
        <w:t xml:space="preserve"> = | (BW</w:t>
      </w:r>
      <w:r w:rsidRPr="00F550D0">
        <w:rPr>
          <w:noProof/>
          <w:vertAlign w:val="subscript"/>
        </w:rPr>
        <w:t>DL</w:t>
      </w:r>
      <w:r w:rsidRPr="00F550D0">
        <w:rPr>
          <w:noProof/>
        </w:rPr>
        <w:t xml:space="preserve"> – BW</w:t>
      </w:r>
      <w:r w:rsidRPr="00F550D0">
        <w:rPr>
          <w:noProof/>
          <w:vertAlign w:val="subscript"/>
        </w:rPr>
        <w:t>UL</w:t>
      </w:r>
      <w:r w:rsidRPr="00F550D0">
        <w:rPr>
          <w:noProof/>
        </w:rPr>
        <w:t>)/2 |</w:t>
      </w:r>
      <w:r w:rsidR="00FE18B2">
        <w:rPr>
          <w:noProof/>
        </w:rPr>
        <w:t>.</w:t>
      </w:r>
    </w:p>
    <w:p w14:paraId="476ED6DB" w14:textId="77777777" w:rsidR="00544BB7" w:rsidRDefault="00F64213" w:rsidP="00016AFF">
      <w:pPr>
        <w:rPr>
          <w:lang w:val="en-US"/>
        </w:rPr>
      </w:pPr>
      <w:r>
        <w:rPr>
          <w:lang w:val="en-US"/>
        </w:rPr>
        <w:t xml:space="preserve">Thus, </w:t>
      </w:r>
      <w:proofErr w:type="gramStart"/>
      <w:r>
        <w:rPr>
          <w:lang w:val="en-US"/>
        </w:rPr>
        <w:t>in order to</w:t>
      </w:r>
      <w:proofErr w:type="gramEnd"/>
      <w:r>
        <w:rPr>
          <w:lang w:val="en-US"/>
        </w:rPr>
        <w:t xml:space="preserve"> enable a duplex</w:t>
      </w:r>
      <w:r w:rsidR="009A0DF2">
        <w:rPr>
          <w:lang w:val="en-US"/>
        </w:rPr>
        <w:t xml:space="preserve"> of -46 MHz from the default of -51 MHz, the difference between uplink and downlink bandwidth must be </w:t>
      </w:r>
      <w:r w:rsidR="009A3568">
        <w:rPr>
          <w:lang w:val="en-US"/>
        </w:rPr>
        <w:t xml:space="preserve">at least </w:t>
      </w:r>
      <w:r w:rsidR="00544BB7">
        <w:rPr>
          <w:lang w:val="en-US"/>
        </w:rPr>
        <w:t>5</w:t>
      </w:r>
      <w:r w:rsidR="009A3568">
        <w:rPr>
          <w:lang w:val="en-US"/>
        </w:rPr>
        <w:t xml:space="preserve"> MHz</w:t>
      </w:r>
      <w:r w:rsidR="00544BB7">
        <w:rPr>
          <w:lang w:val="en-US"/>
        </w:rPr>
        <w:t xml:space="preserve"> according to the relationship </w:t>
      </w:r>
    </w:p>
    <w:p w14:paraId="30D010F2" w14:textId="77777777" w:rsidR="00CA532A" w:rsidRDefault="00CA532A" w:rsidP="000253F7">
      <w:pPr>
        <w:pStyle w:val="BodyText"/>
        <w:ind w:left="720"/>
        <w:jc w:val="center"/>
        <w:rPr>
          <w:rFonts w:eastAsia="Times New Roman"/>
          <w:vertAlign w:val="subscript"/>
        </w:rPr>
      </w:pPr>
      <w:proofErr w:type="gramStart"/>
      <w:r>
        <w:rPr>
          <w:rFonts w:eastAsia="Times New Roman"/>
        </w:rPr>
        <w:t>F</w:t>
      </w:r>
      <w:r w:rsidRPr="004A2140">
        <w:rPr>
          <w:rFonts w:eastAsia="Times New Roman"/>
          <w:vertAlign w:val="subscript"/>
        </w:rPr>
        <w:t>D,n</w:t>
      </w:r>
      <w:proofErr w:type="gramEnd"/>
      <w:r w:rsidRPr="004A2140">
        <w:rPr>
          <w:rFonts w:eastAsia="Times New Roman"/>
          <w:vertAlign w:val="subscript"/>
        </w:rPr>
        <w:t xml:space="preserve">71 </w:t>
      </w:r>
      <w:r>
        <w:rPr>
          <w:rFonts w:eastAsia="Times New Roman"/>
        </w:rPr>
        <w:t xml:space="preserve">+ </w:t>
      </w:r>
      <w:r w:rsidRPr="004A2140">
        <w:rPr>
          <w:rFonts w:ascii="Symbol" w:eastAsia="Times New Roman" w:hAnsi="Symbol"/>
        </w:rPr>
        <w:t>D</w:t>
      </w:r>
      <w:r>
        <w:rPr>
          <w:rFonts w:eastAsia="Times New Roman"/>
        </w:rPr>
        <w:t>F</w:t>
      </w:r>
      <w:r w:rsidRPr="004A2140">
        <w:rPr>
          <w:rFonts w:eastAsia="Times New Roman"/>
          <w:vertAlign w:val="subscript"/>
        </w:rPr>
        <w:t xml:space="preserve">TX-RX </w:t>
      </w:r>
      <w:r>
        <w:rPr>
          <w:rFonts w:eastAsia="Times New Roman"/>
        </w:rPr>
        <w:t>= F</w:t>
      </w:r>
      <w:r w:rsidRPr="004A2140">
        <w:rPr>
          <w:rFonts w:eastAsia="Times New Roman"/>
          <w:vertAlign w:val="subscript"/>
        </w:rPr>
        <w:t>D,n</w:t>
      </w:r>
      <w:r>
        <w:rPr>
          <w:rFonts w:eastAsia="Times New Roman"/>
          <w:vertAlign w:val="subscript"/>
        </w:rPr>
        <w:t>105</w:t>
      </w:r>
      <w:r w:rsidRPr="004A2140">
        <w:rPr>
          <w:rFonts w:eastAsia="Times New Roman"/>
          <w:vertAlign w:val="subscript"/>
        </w:rPr>
        <w:t xml:space="preserve"> </w:t>
      </w:r>
      <w:r>
        <w:rPr>
          <w:rFonts w:eastAsia="Times New Roman"/>
        </w:rPr>
        <w:t xml:space="preserve">- </w:t>
      </w:r>
      <w:r w:rsidRPr="004A2140">
        <w:rPr>
          <w:rFonts w:ascii="Symbol" w:eastAsia="Times New Roman" w:hAnsi="Symbol"/>
        </w:rPr>
        <w:t>D</w:t>
      </w:r>
      <w:r>
        <w:rPr>
          <w:rFonts w:eastAsia="Times New Roman"/>
        </w:rPr>
        <w:t>F</w:t>
      </w:r>
      <w:r w:rsidRPr="004A2140">
        <w:rPr>
          <w:rFonts w:eastAsia="Times New Roman"/>
          <w:vertAlign w:val="subscript"/>
        </w:rPr>
        <w:t>TX-RX</w:t>
      </w:r>
    </w:p>
    <w:p w14:paraId="0DF9678B" w14:textId="77508D39" w:rsidR="00A573C8" w:rsidRDefault="009616E5" w:rsidP="00016AFF">
      <w:pPr>
        <w:rPr>
          <w:lang w:val="en-US"/>
        </w:rPr>
      </w:pPr>
      <w:r>
        <w:rPr>
          <w:lang w:val="en-US"/>
        </w:rPr>
        <w:t xml:space="preserve">Therefore, the proposal in [2] is to define asymmetric bandwidth set 0 </w:t>
      </w:r>
      <w:proofErr w:type="gramStart"/>
      <w:r>
        <w:rPr>
          <w:lang w:val="en-US"/>
        </w:rPr>
        <w:t>similar to</w:t>
      </w:r>
      <w:proofErr w:type="gramEnd"/>
      <w:r>
        <w:rPr>
          <w:lang w:val="en-US"/>
        </w:rPr>
        <w:t xml:space="preserve"> Band 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D75B84" w:rsidRPr="00F550D0" w14:paraId="0ABEC405" w14:textId="77777777" w:rsidTr="00AA6C64">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7DF35218" w14:textId="77777777" w:rsidR="00D75B84" w:rsidRPr="00F550D0" w:rsidRDefault="00D75B84" w:rsidP="00AA6C64">
            <w:pPr>
              <w:keepNext/>
              <w:keepLines/>
              <w:jc w:val="center"/>
              <w:rPr>
                <w:rFonts w:ascii="Arial" w:hAnsi="Arial"/>
                <w:b/>
                <w:sz w:val="18"/>
                <w:lang w:val="en-US"/>
              </w:rPr>
            </w:pPr>
            <w:r w:rsidRPr="00F550D0">
              <w:rPr>
                <w:rFonts w:ascii="Arial" w:hAnsi="Arial"/>
                <w:b/>
                <w:sz w:val="18"/>
                <w:lang w:val="en-US"/>
              </w:rPr>
              <w:t>NR Band</w:t>
            </w:r>
          </w:p>
        </w:tc>
        <w:tc>
          <w:tcPr>
            <w:tcW w:w="1876" w:type="dxa"/>
            <w:tcBorders>
              <w:top w:val="single" w:sz="4" w:space="0" w:color="auto"/>
              <w:left w:val="single" w:sz="4" w:space="0" w:color="auto"/>
              <w:right w:val="single" w:sz="4" w:space="0" w:color="auto"/>
            </w:tcBorders>
            <w:shd w:val="clear" w:color="auto" w:fill="auto"/>
          </w:tcPr>
          <w:p w14:paraId="7AA16697" w14:textId="77777777" w:rsidR="00D75B84" w:rsidRPr="00F550D0" w:rsidRDefault="00D75B84" w:rsidP="00AA6C64">
            <w:pPr>
              <w:keepNext/>
              <w:keepLines/>
              <w:jc w:val="center"/>
              <w:rPr>
                <w:rFonts w:ascii="Arial" w:hAnsi="Arial"/>
                <w:b/>
                <w:sz w:val="18"/>
                <w:lang w:val="en-US"/>
              </w:rPr>
            </w:pPr>
            <w:r w:rsidRPr="00F550D0">
              <w:rPr>
                <w:rFonts w:ascii="Arial" w:hAnsi="Arial"/>
                <w:b/>
                <w:sz w:val="18"/>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1CE9A312" w14:textId="77777777" w:rsidR="00D75B84" w:rsidRPr="00F550D0" w:rsidRDefault="00D75B84" w:rsidP="00AA6C64">
            <w:pPr>
              <w:keepNext/>
              <w:keepLines/>
              <w:jc w:val="center"/>
              <w:rPr>
                <w:rFonts w:ascii="Arial" w:hAnsi="Arial"/>
                <w:b/>
                <w:sz w:val="18"/>
                <w:lang w:val="en-US"/>
              </w:rPr>
            </w:pPr>
            <w:r w:rsidRPr="00F550D0">
              <w:rPr>
                <w:rFonts w:ascii="Arial" w:hAnsi="Arial"/>
                <w:b/>
                <w:sz w:val="18"/>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4A21B8E3" w14:textId="77777777" w:rsidR="00D75B84" w:rsidRPr="00F550D0" w:rsidRDefault="00D75B84" w:rsidP="00AA6C64">
            <w:pPr>
              <w:keepNext/>
              <w:keepLines/>
              <w:jc w:val="center"/>
              <w:rPr>
                <w:rFonts w:ascii="Arial" w:hAnsi="Arial"/>
                <w:b/>
                <w:sz w:val="18"/>
                <w:lang w:val="en-US"/>
              </w:rPr>
            </w:pPr>
            <w:r w:rsidRPr="00F550D0">
              <w:rPr>
                <w:rFonts w:ascii="Arial" w:hAnsi="Arial"/>
                <w:b/>
                <w:bCs/>
                <w:sz w:val="18"/>
                <w:lang w:val="en-US"/>
              </w:rPr>
              <w:t>Asymmetric channel bandwidth combination set</w:t>
            </w:r>
          </w:p>
        </w:tc>
      </w:tr>
      <w:tr w:rsidR="00D75B84" w:rsidRPr="00F550D0" w14:paraId="47A3D16F" w14:textId="77777777" w:rsidTr="00AA6C64">
        <w:trPr>
          <w:jc w:val="center"/>
        </w:trPr>
        <w:tc>
          <w:tcPr>
            <w:tcW w:w="1278" w:type="dxa"/>
            <w:tcBorders>
              <w:left w:val="single" w:sz="4" w:space="0" w:color="auto"/>
              <w:bottom w:val="nil"/>
              <w:right w:val="single" w:sz="4" w:space="0" w:color="auto"/>
            </w:tcBorders>
            <w:shd w:val="clear" w:color="auto" w:fill="auto"/>
            <w:vAlign w:val="center"/>
          </w:tcPr>
          <w:p w14:paraId="5DF457D9" w14:textId="77777777" w:rsidR="00D75B84" w:rsidRPr="00F550D0" w:rsidRDefault="00D75B84" w:rsidP="00AA6C64">
            <w:pPr>
              <w:keepNext/>
              <w:keepLines/>
              <w:jc w:val="center"/>
              <w:rPr>
                <w:rFonts w:ascii="Arial" w:hAnsi="Arial"/>
                <w:sz w:val="18"/>
                <w:lang w:val="en-US" w:eastAsia="zh-CN"/>
              </w:rPr>
            </w:pPr>
            <w:r w:rsidRPr="00F550D0">
              <w:rPr>
                <w:rFonts w:ascii="Arial" w:hAnsi="Arial"/>
                <w:sz w:val="18"/>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01DB16AC" w14:textId="77777777" w:rsidR="00D75B84" w:rsidRPr="00F550D0" w:rsidRDefault="00D75B84" w:rsidP="00AA6C64">
            <w:pPr>
              <w:keepNext/>
              <w:keepLines/>
              <w:jc w:val="center"/>
              <w:rPr>
                <w:rFonts w:ascii="Arial" w:hAnsi="Arial"/>
                <w:sz w:val="18"/>
              </w:rPr>
            </w:pPr>
            <w:r w:rsidRPr="00F550D0">
              <w:rPr>
                <w:rFonts w:ascii="Arial" w:hAnsi="Arial"/>
                <w:sz w:val="18"/>
              </w:rPr>
              <w:t>5</w:t>
            </w:r>
          </w:p>
        </w:tc>
        <w:tc>
          <w:tcPr>
            <w:tcW w:w="1890" w:type="dxa"/>
            <w:tcBorders>
              <w:top w:val="single" w:sz="4" w:space="0" w:color="auto"/>
              <w:left w:val="single" w:sz="4" w:space="0" w:color="auto"/>
              <w:bottom w:val="single" w:sz="4" w:space="0" w:color="auto"/>
              <w:right w:val="single" w:sz="4" w:space="0" w:color="auto"/>
            </w:tcBorders>
          </w:tcPr>
          <w:p w14:paraId="4D017B1B" w14:textId="77777777" w:rsidR="00D75B84" w:rsidRPr="00F550D0" w:rsidRDefault="00D75B84" w:rsidP="00AA6C64">
            <w:pPr>
              <w:keepNext/>
              <w:keepLines/>
              <w:jc w:val="center"/>
              <w:rPr>
                <w:rFonts w:ascii="Arial" w:hAnsi="Arial"/>
                <w:sz w:val="18"/>
              </w:rPr>
            </w:pPr>
            <w:r w:rsidRPr="00F550D0">
              <w:rPr>
                <w:rFonts w:ascii="Arial" w:hAnsi="Arial"/>
                <w:sz w:val="18"/>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4CDCA49C" w14:textId="77777777" w:rsidR="00D75B84" w:rsidRPr="00F550D0" w:rsidRDefault="00D75B84" w:rsidP="00AA6C64">
            <w:pPr>
              <w:keepNext/>
              <w:keepLines/>
              <w:jc w:val="center"/>
              <w:rPr>
                <w:rFonts w:ascii="Arial" w:hAnsi="Arial"/>
                <w:sz w:val="18"/>
                <w:lang w:eastAsia="zh-CN"/>
              </w:rPr>
            </w:pPr>
            <w:r w:rsidRPr="00F550D0">
              <w:rPr>
                <w:rFonts w:ascii="Arial" w:hAnsi="Arial" w:hint="eastAsia"/>
                <w:sz w:val="18"/>
                <w:lang w:eastAsia="zh-CN"/>
              </w:rPr>
              <w:t>0</w:t>
            </w:r>
          </w:p>
        </w:tc>
      </w:tr>
      <w:tr w:rsidR="00D75B84" w:rsidRPr="00F550D0" w14:paraId="234B6982" w14:textId="77777777" w:rsidTr="00AA6C64">
        <w:trPr>
          <w:jc w:val="center"/>
        </w:trPr>
        <w:tc>
          <w:tcPr>
            <w:tcW w:w="1278" w:type="dxa"/>
            <w:tcBorders>
              <w:top w:val="nil"/>
              <w:left w:val="single" w:sz="4" w:space="0" w:color="auto"/>
              <w:bottom w:val="nil"/>
              <w:right w:val="single" w:sz="4" w:space="0" w:color="auto"/>
            </w:tcBorders>
            <w:shd w:val="clear" w:color="auto" w:fill="auto"/>
            <w:vAlign w:val="center"/>
          </w:tcPr>
          <w:p w14:paraId="72A66437" w14:textId="77777777" w:rsidR="00D75B84" w:rsidRPr="00F550D0" w:rsidRDefault="00D75B84" w:rsidP="00AA6C64">
            <w:pPr>
              <w:keepNext/>
              <w:keepLines/>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45F8A76" w14:textId="77777777" w:rsidR="00D75B84" w:rsidRPr="00F550D0" w:rsidRDefault="00D75B84" w:rsidP="00AA6C64">
            <w:pPr>
              <w:keepNext/>
              <w:keepLines/>
              <w:jc w:val="center"/>
              <w:rPr>
                <w:rFonts w:ascii="Arial" w:hAnsi="Arial"/>
                <w:sz w:val="18"/>
              </w:rPr>
            </w:pPr>
            <w:r w:rsidRPr="00F550D0">
              <w:rPr>
                <w:rFonts w:ascii="Arial" w:hAnsi="Arial"/>
                <w:sz w:val="18"/>
              </w:rPr>
              <w:t>10</w:t>
            </w:r>
          </w:p>
        </w:tc>
        <w:tc>
          <w:tcPr>
            <w:tcW w:w="1890" w:type="dxa"/>
            <w:tcBorders>
              <w:top w:val="single" w:sz="4" w:space="0" w:color="auto"/>
              <w:left w:val="single" w:sz="4" w:space="0" w:color="auto"/>
              <w:bottom w:val="single" w:sz="4" w:space="0" w:color="auto"/>
              <w:right w:val="single" w:sz="4" w:space="0" w:color="auto"/>
            </w:tcBorders>
          </w:tcPr>
          <w:p w14:paraId="104FD412" w14:textId="77777777" w:rsidR="00D75B84" w:rsidRPr="00F550D0" w:rsidRDefault="00D75B84" w:rsidP="00AA6C64">
            <w:pPr>
              <w:keepNext/>
              <w:keepLines/>
              <w:jc w:val="center"/>
              <w:rPr>
                <w:rFonts w:ascii="Arial" w:hAnsi="Arial"/>
                <w:sz w:val="18"/>
              </w:rPr>
            </w:pPr>
            <w:r w:rsidRPr="00F550D0">
              <w:rPr>
                <w:rFonts w:ascii="Arial" w:hAnsi="Arial"/>
                <w:sz w:val="18"/>
                <w:lang w:eastAsia="fi-FI"/>
              </w:rPr>
              <w:t>15</w:t>
            </w:r>
          </w:p>
        </w:tc>
        <w:tc>
          <w:tcPr>
            <w:tcW w:w="1890" w:type="dxa"/>
            <w:tcBorders>
              <w:top w:val="nil"/>
              <w:left w:val="single" w:sz="4" w:space="0" w:color="auto"/>
              <w:bottom w:val="nil"/>
              <w:right w:val="single" w:sz="4" w:space="0" w:color="auto"/>
            </w:tcBorders>
            <w:shd w:val="clear" w:color="auto" w:fill="auto"/>
          </w:tcPr>
          <w:p w14:paraId="61876C1C" w14:textId="77777777" w:rsidR="00D75B84" w:rsidRPr="00F550D0" w:rsidRDefault="00D75B84" w:rsidP="00AA6C64">
            <w:pPr>
              <w:keepNext/>
              <w:keepLines/>
              <w:jc w:val="center"/>
              <w:rPr>
                <w:rFonts w:ascii="Arial" w:hAnsi="Arial"/>
                <w:sz w:val="18"/>
                <w:lang w:eastAsia="fi-FI"/>
              </w:rPr>
            </w:pPr>
          </w:p>
        </w:tc>
      </w:tr>
      <w:tr w:rsidR="00D75B84" w:rsidRPr="00F550D0" w14:paraId="728B86D4" w14:textId="77777777" w:rsidTr="00AA6C64">
        <w:trPr>
          <w:jc w:val="center"/>
        </w:trPr>
        <w:tc>
          <w:tcPr>
            <w:tcW w:w="1278" w:type="dxa"/>
            <w:tcBorders>
              <w:top w:val="nil"/>
              <w:left w:val="single" w:sz="4" w:space="0" w:color="auto"/>
              <w:bottom w:val="nil"/>
              <w:right w:val="single" w:sz="4" w:space="0" w:color="auto"/>
            </w:tcBorders>
            <w:shd w:val="clear" w:color="auto" w:fill="auto"/>
            <w:vAlign w:val="center"/>
          </w:tcPr>
          <w:p w14:paraId="1F1B52F5" w14:textId="77777777" w:rsidR="00D75B84" w:rsidRPr="00F550D0" w:rsidRDefault="00D75B84" w:rsidP="00AA6C64">
            <w:pPr>
              <w:keepNext/>
              <w:keepLines/>
              <w:jc w:val="center"/>
              <w:rPr>
                <w:rFonts w:ascii="Arial" w:hAnsi="Arial"/>
                <w:sz w:val="18"/>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64A335A" w14:textId="77777777" w:rsidR="00D75B84" w:rsidRPr="00F550D0" w:rsidRDefault="00D75B84" w:rsidP="00AA6C64">
            <w:pPr>
              <w:keepNext/>
              <w:keepLines/>
              <w:jc w:val="center"/>
              <w:rPr>
                <w:rFonts w:ascii="Arial" w:hAnsi="Arial"/>
                <w:sz w:val="18"/>
              </w:rPr>
            </w:pPr>
            <w:r w:rsidRPr="00F550D0">
              <w:rPr>
                <w:rFonts w:ascii="Arial" w:hAnsi="Arial"/>
                <w:sz w:val="18"/>
              </w:rPr>
              <w:t>15</w:t>
            </w:r>
          </w:p>
        </w:tc>
        <w:tc>
          <w:tcPr>
            <w:tcW w:w="1890" w:type="dxa"/>
            <w:tcBorders>
              <w:top w:val="single" w:sz="4" w:space="0" w:color="auto"/>
              <w:left w:val="single" w:sz="4" w:space="0" w:color="auto"/>
              <w:bottom w:val="single" w:sz="4" w:space="0" w:color="auto"/>
              <w:right w:val="single" w:sz="4" w:space="0" w:color="auto"/>
            </w:tcBorders>
          </w:tcPr>
          <w:p w14:paraId="17A1064C" w14:textId="77777777" w:rsidR="00D75B84" w:rsidRPr="00F550D0" w:rsidRDefault="00D75B84" w:rsidP="00AA6C64">
            <w:pPr>
              <w:keepNext/>
              <w:keepLines/>
              <w:jc w:val="center"/>
              <w:rPr>
                <w:rFonts w:ascii="Arial" w:hAnsi="Arial"/>
                <w:sz w:val="18"/>
              </w:rPr>
            </w:pPr>
            <w:r w:rsidRPr="00F550D0">
              <w:rPr>
                <w:rFonts w:ascii="Arial" w:hAnsi="Arial"/>
                <w:sz w:val="18"/>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177B5C2A" w14:textId="77777777" w:rsidR="00D75B84" w:rsidRPr="00F550D0" w:rsidRDefault="00D75B84" w:rsidP="00AA6C64">
            <w:pPr>
              <w:keepNext/>
              <w:keepLines/>
              <w:jc w:val="center"/>
              <w:rPr>
                <w:rFonts w:ascii="Arial" w:hAnsi="Arial"/>
                <w:sz w:val="18"/>
                <w:lang w:eastAsia="fi-FI"/>
              </w:rPr>
            </w:pPr>
          </w:p>
        </w:tc>
      </w:tr>
    </w:tbl>
    <w:p w14:paraId="6846C4A8" w14:textId="77777777" w:rsidR="00D75B84" w:rsidRDefault="00D75B84" w:rsidP="00016AFF">
      <w:pPr>
        <w:rPr>
          <w:lang w:val="en-US"/>
        </w:rPr>
      </w:pPr>
    </w:p>
    <w:p w14:paraId="7F61D351" w14:textId="3D7D9B14" w:rsidR="003863F4" w:rsidRDefault="0031530F" w:rsidP="00016AFF">
      <w:pPr>
        <w:rPr>
          <w:lang w:val="en-US"/>
        </w:rPr>
      </w:pPr>
      <w:r>
        <w:rPr>
          <w:lang w:val="en-US"/>
        </w:rPr>
        <w:lastRenderedPageBreak/>
        <w:t xml:space="preserve">Presumably, the proposal would also require </w:t>
      </w:r>
      <w:r w:rsidR="00696F09">
        <w:rPr>
          <w:lang w:val="en-US"/>
        </w:rPr>
        <w:t xml:space="preserve">the Band n105 UE to meet </w:t>
      </w:r>
      <w:r>
        <w:rPr>
          <w:lang w:val="en-US"/>
        </w:rPr>
        <w:t xml:space="preserve">reference sensitivity </w:t>
      </w:r>
      <w:r w:rsidR="00696F09">
        <w:rPr>
          <w:lang w:val="en-US"/>
        </w:rPr>
        <w:t>at th</w:t>
      </w:r>
      <w:r w:rsidR="001A44D8">
        <w:rPr>
          <w:lang w:val="en-US"/>
        </w:rPr>
        <w:t>e -</w:t>
      </w:r>
      <w:r w:rsidR="00696F09">
        <w:rPr>
          <w:lang w:val="en-US"/>
        </w:rPr>
        <w:t>46</w:t>
      </w:r>
      <w:r w:rsidR="001A44D8">
        <w:rPr>
          <w:lang w:val="en-US"/>
        </w:rPr>
        <w:t xml:space="preserve"> MHz</w:t>
      </w:r>
      <w:r>
        <w:rPr>
          <w:lang w:val="en-US"/>
        </w:rPr>
        <w:t xml:space="preserve"> </w:t>
      </w:r>
      <w:r w:rsidR="00696F09">
        <w:rPr>
          <w:lang w:val="en-US"/>
        </w:rPr>
        <w:t xml:space="preserve">duplex </w:t>
      </w:r>
      <w:proofErr w:type="gramStart"/>
      <w:r w:rsidR="00696F09">
        <w:rPr>
          <w:lang w:val="en-US"/>
        </w:rPr>
        <w:t>offset</w:t>
      </w:r>
      <w:proofErr w:type="gramEnd"/>
      <w:r w:rsidR="00DB6906">
        <w:rPr>
          <w:lang w:val="en-US"/>
        </w:rPr>
        <w:t xml:space="preserve"> but it is not indicated whether specifications </w:t>
      </w:r>
      <w:r w:rsidR="00982C89">
        <w:rPr>
          <w:lang w:val="en-US"/>
        </w:rPr>
        <w:t xml:space="preserve">(not only reference sensitivity but all receiver requirements since </w:t>
      </w:r>
      <w:r w:rsidR="00C6045C">
        <w:rPr>
          <w:lang w:val="en-US"/>
        </w:rPr>
        <w:t>most of them</w:t>
      </w:r>
      <w:r w:rsidR="00982C89">
        <w:rPr>
          <w:lang w:val="en-US"/>
        </w:rPr>
        <w:t xml:space="preserve"> have a dependency on reference sensitivity) </w:t>
      </w:r>
      <w:r w:rsidR="00DB6906">
        <w:rPr>
          <w:lang w:val="en-US"/>
        </w:rPr>
        <w:t xml:space="preserve">would be revised to reflect this or whether it would be left to implementation </w:t>
      </w:r>
      <w:r w:rsidR="0089580A">
        <w:rPr>
          <w:lang w:val="en-US"/>
        </w:rPr>
        <w:t>and unverified.  Since reference sensitivity is a fundamental requirement</w:t>
      </w:r>
      <w:r w:rsidR="00AA59EE">
        <w:rPr>
          <w:lang w:val="en-US"/>
        </w:rPr>
        <w:t xml:space="preserve"> for the UE receiver</w:t>
      </w:r>
      <w:r w:rsidR="0089580A">
        <w:rPr>
          <w:lang w:val="en-US"/>
        </w:rPr>
        <w:t xml:space="preserve"> and the reduction in </w:t>
      </w:r>
      <w:r w:rsidR="00AA59EE">
        <w:rPr>
          <w:lang w:val="en-US"/>
        </w:rPr>
        <w:t xml:space="preserve">duplex is significantly impactful, it </w:t>
      </w:r>
      <w:r w:rsidR="00200CCF">
        <w:rPr>
          <w:lang w:val="en-US"/>
        </w:rPr>
        <w:t xml:space="preserve">is likely to be </w:t>
      </w:r>
      <w:r w:rsidR="00B07A23">
        <w:rPr>
          <w:lang w:val="en-US"/>
        </w:rPr>
        <w:t>expected by the operator</w:t>
      </w:r>
      <w:r w:rsidR="00AA59EE">
        <w:rPr>
          <w:lang w:val="en-US"/>
        </w:rPr>
        <w:t xml:space="preserve"> that </w:t>
      </w:r>
      <w:r w:rsidR="00EF70C6">
        <w:rPr>
          <w:lang w:val="en-US"/>
        </w:rPr>
        <w:t>performance should be tested and verified at the -46 MHz duplex.</w:t>
      </w:r>
    </w:p>
    <w:p w14:paraId="5EC948EF" w14:textId="021CC9E8" w:rsidR="00200CCF" w:rsidRPr="006065E8" w:rsidRDefault="00200CCF" w:rsidP="00016AFF">
      <w:pPr>
        <w:rPr>
          <w:b/>
          <w:bCs/>
          <w:lang w:val="en-US"/>
        </w:rPr>
      </w:pPr>
      <w:r w:rsidRPr="006065E8">
        <w:rPr>
          <w:b/>
          <w:bCs/>
          <w:lang w:val="en-US"/>
        </w:rPr>
        <w:t xml:space="preserve">Observation 3:  </w:t>
      </w:r>
      <w:r w:rsidR="006816FF" w:rsidRPr="006065E8">
        <w:rPr>
          <w:b/>
          <w:bCs/>
          <w:lang w:val="en-US"/>
        </w:rPr>
        <w:t>Additional asymmetric channel bandwidths are added above and beyond those required for wideband refsens</w:t>
      </w:r>
      <w:r w:rsidR="006065E8" w:rsidRPr="006065E8">
        <w:rPr>
          <w:b/>
          <w:bCs/>
          <w:lang w:val="en-US"/>
        </w:rPr>
        <w:t xml:space="preserve"> and additional verification of all receiver requirements for the Band n105 UE would be required at both 51 MHz and 46 MHz duplex offsets.</w:t>
      </w:r>
    </w:p>
    <w:p w14:paraId="257A7FAE" w14:textId="01EA741F" w:rsidR="006065E8" w:rsidRDefault="00DA2517" w:rsidP="00016AFF">
      <w:pPr>
        <w:rPr>
          <w:lang w:val="en-US"/>
        </w:rPr>
      </w:pPr>
      <w:r>
        <w:rPr>
          <w:lang w:val="en-US"/>
        </w:rPr>
        <w:t>While the proposal in [2] seeks to essentially enable a Band n105 UE to operate in a Band n71 network</w:t>
      </w:r>
      <w:r w:rsidR="008C22BE">
        <w:rPr>
          <w:lang w:val="en-US"/>
        </w:rPr>
        <w:t xml:space="preserve"> by virtue of its support of asymmetric channel bandwidth, the converse can also be considered.  </w:t>
      </w:r>
      <w:r w:rsidR="000A5840">
        <w:rPr>
          <w:lang w:val="en-US"/>
        </w:rPr>
        <w:t>By similar reasoning</w:t>
      </w:r>
      <w:r w:rsidR="0004700E">
        <w:rPr>
          <w:lang w:val="en-US"/>
        </w:rPr>
        <w:t xml:space="preserve"> a Band n71 UE with asymmetric channel bandwidth </w:t>
      </w:r>
      <w:r w:rsidR="00F02956">
        <w:rPr>
          <w:lang w:val="en-US"/>
        </w:rPr>
        <w:t>already defined in the specification</w:t>
      </w:r>
      <w:r w:rsidR="000A5840">
        <w:rPr>
          <w:lang w:val="en-US"/>
        </w:rPr>
        <w:t xml:space="preserve"> can support variable duplex to increase its duplex from the default of -46 MHz in Band n71 to an extended -51 MHz to operate in a Band n105 network</w:t>
      </w:r>
      <w:r w:rsidR="00F172B7">
        <w:rPr>
          <w:lang w:val="en-US"/>
        </w:rPr>
        <w:t xml:space="preserve"> using MFBI.  Obviously, there are some blocks that aren’t compatible because they are outside of the overlapping frequency range</w:t>
      </w:r>
      <w:r w:rsidR="00AF7A64">
        <w:rPr>
          <w:lang w:val="en-US"/>
        </w:rPr>
        <w:t xml:space="preserve">, but the principle is the same.  However, </w:t>
      </w:r>
      <w:r w:rsidR="0092704E">
        <w:rPr>
          <w:lang w:val="en-US"/>
        </w:rPr>
        <w:t xml:space="preserve">in comments received </w:t>
      </w:r>
      <w:r w:rsidR="009E449C">
        <w:rPr>
          <w:lang w:val="en-US"/>
        </w:rPr>
        <w:t xml:space="preserve">in response to </w:t>
      </w:r>
      <w:r w:rsidR="00E20E50">
        <w:rPr>
          <w:lang w:val="en-US"/>
        </w:rPr>
        <w:t xml:space="preserve">[4] </w:t>
      </w:r>
      <w:r w:rsidR="00E7082E">
        <w:rPr>
          <w:lang w:val="en-US"/>
        </w:rPr>
        <w:t xml:space="preserve">a </w:t>
      </w:r>
      <w:r w:rsidR="00EA720F">
        <w:rPr>
          <w:lang w:val="en-US"/>
        </w:rPr>
        <w:t>handset manufacturer ha</w:t>
      </w:r>
      <w:r w:rsidR="00E7082E">
        <w:rPr>
          <w:lang w:val="en-US"/>
        </w:rPr>
        <w:t>s</w:t>
      </w:r>
      <w:r w:rsidR="00EA720F">
        <w:rPr>
          <w:lang w:val="en-US"/>
        </w:rPr>
        <w:t xml:space="preserve"> </w:t>
      </w:r>
      <w:r w:rsidR="0092704E">
        <w:rPr>
          <w:lang w:val="en-US"/>
        </w:rPr>
        <w:t xml:space="preserve">already </w:t>
      </w:r>
      <w:r w:rsidR="00E7082E">
        <w:rPr>
          <w:lang w:val="en-US"/>
        </w:rPr>
        <w:t>d</w:t>
      </w:r>
      <w:r w:rsidR="00EA720F">
        <w:rPr>
          <w:lang w:val="en-US"/>
        </w:rPr>
        <w:t>enied</w:t>
      </w:r>
      <w:r w:rsidR="00BC19E2">
        <w:rPr>
          <w:lang w:val="en-US"/>
        </w:rPr>
        <w:t xml:space="preserve"> that a Band n71 UE can </w:t>
      </w:r>
      <w:r w:rsidR="00F86A43">
        <w:rPr>
          <w:lang w:val="en-US"/>
        </w:rPr>
        <w:t xml:space="preserve">implicitly </w:t>
      </w:r>
      <w:r w:rsidR="00BC19E2">
        <w:rPr>
          <w:lang w:val="en-US"/>
        </w:rPr>
        <w:t>operate with -51 MHz duplex.  It is not a tested mode of operation and can not be guaranteed to work</w:t>
      </w:r>
      <w:r w:rsidR="00821647">
        <w:rPr>
          <w:lang w:val="en-US"/>
        </w:rPr>
        <w:t xml:space="preserve"> and may reject the connection</w:t>
      </w:r>
      <w:r w:rsidR="00E50A76">
        <w:rPr>
          <w:lang w:val="en-US"/>
        </w:rPr>
        <w:t xml:space="preserve"> due to range checking</w:t>
      </w:r>
      <w:r w:rsidR="0063268D">
        <w:rPr>
          <w:lang w:val="en-US"/>
        </w:rPr>
        <w:t>, even if the mathematics of asymmetric channel bandwidths impl</w:t>
      </w:r>
      <w:r w:rsidR="00E549A0">
        <w:rPr>
          <w:lang w:val="en-US"/>
        </w:rPr>
        <w:t>y</w:t>
      </w:r>
      <w:r w:rsidR="0063268D">
        <w:rPr>
          <w:lang w:val="en-US"/>
        </w:rPr>
        <w:t xml:space="preserve"> that it could.  </w:t>
      </w:r>
    </w:p>
    <w:p w14:paraId="1DCD03DA" w14:textId="51CC4165" w:rsidR="000A3D9F" w:rsidRPr="00541E15" w:rsidRDefault="000A3D9F" w:rsidP="00016AFF">
      <w:pPr>
        <w:rPr>
          <w:b/>
          <w:bCs/>
          <w:lang w:val="en-US"/>
        </w:rPr>
      </w:pPr>
      <w:r w:rsidRPr="00541E15">
        <w:rPr>
          <w:b/>
          <w:bCs/>
          <w:lang w:val="en-US"/>
        </w:rPr>
        <w:t>Observation 4:  The principle of variable duplex</w:t>
      </w:r>
      <w:r w:rsidR="0017496C" w:rsidRPr="00541E15">
        <w:rPr>
          <w:b/>
          <w:bCs/>
          <w:lang w:val="en-US"/>
        </w:rPr>
        <w:t xml:space="preserve"> by virtue of asymmetric channel bandwidths does not bear out in reality</w:t>
      </w:r>
      <w:r w:rsidR="00706D6C" w:rsidRPr="00541E15">
        <w:rPr>
          <w:b/>
          <w:bCs/>
          <w:lang w:val="en-US"/>
        </w:rPr>
        <w:t>.  If such a “feature” is desired, it should be designed in and tested from the beginning which represents significant extra effort</w:t>
      </w:r>
      <w:r w:rsidR="00541E15" w:rsidRPr="00541E15">
        <w:rPr>
          <w:b/>
          <w:bCs/>
          <w:lang w:val="en-US"/>
        </w:rPr>
        <w:t>.  It is not free.</w:t>
      </w:r>
    </w:p>
    <w:p w14:paraId="23F594BD" w14:textId="358CB2F8" w:rsidR="00541E15" w:rsidRDefault="00FF2C40" w:rsidP="00016AFF">
      <w:pPr>
        <w:rPr>
          <w:lang w:val="en-US"/>
        </w:rPr>
      </w:pPr>
      <w:r>
        <w:rPr>
          <w:lang w:val="en-US"/>
        </w:rPr>
        <w:t xml:space="preserve">It has been demonstrated above that the proposal to add asymmetric bandwidths </w:t>
      </w:r>
      <w:proofErr w:type="gramStart"/>
      <w:r>
        <w:rPr>
          <w:lang w:val="en-US"/>
        </w:rPr>
        <w:t>as a means to</w:t>
      </w:r>
      <w:proofErr w:type="gramEnd"/>
      <w:r>
        <w:rPr>
          <w:lang w:val="en-US"/>
        </w:rPr>
        <w:t xml:space="preserve"> </w:t>
      </w:r>
      <w:r w:rsidR="00B92846">
        <w:rPr>
          <w:lang w:val="en-US"/>
        </w:rPr>
        <w:t xml:space="preserve">gain variable duplex flexibility is </w:t>
      </w:r>
      <w:r w:rsidR="007E1D90">
        <w:rPr>
          <w:lang w:val="en-US"/>
        </w:rPr>
        <w:t>flawed.  There is a significant effort to add this flexibility</w:t>
      </w:r>
      <w:r w:rsidR="00EF7B20">
        <w:rPr>
          <w:lang w:val="en-US"/>
        </w:rPr>
        <w:t xml:space="preserve"> </w:t>
      </w:r>
      <w:r w:rsidR="006A1320">
        <w:rPr>
          <w:lang w:val="en-US"/>
        </w:rPr>
        <w:t xml:space="preserve">to the UE </w:t>
      </w:r>
      <w:r w:rsidR="00EF7B20">
        <w:rPr>
          <w:lang w:val="en-US"/>
        </w:rPr>
        <w:t>that should not be disguised as the addition of asymmetric bandwidths</w:t>
      </w:r>
      <w:r w:rsidR="006A1320">
        <w:rPr>
          <w:lang w:val="en-US"/>
        </w:rPr>
        <w:t xml:space="preserve">.  Moreover, as </w:t>
      </w:r>
      <w:r w:rsidR="00381783">
        <w:rPr>
          <w:lang w:val="en-US"/>
        </w:rPr>
        <w:t>explained in [3], trying to force the coexistence of both Band n71 and Band n105</w:t>
      </w:r>
      <w:r w:rsidR="00A94D49">
        <w:rPr>
          <w:lang w:val="en-US"/>
        </w:rPr>
        <w:t xml:space="preserve"> together by MFBI results in poor system efficiency for little to no benefit.</w:t>
      </w:r>
      <w:r w:rsidR="00120FC4">
        <w:rPr>
          <w:lang w:val="en-US"/>
        </w:rPr>
        <w:t xml:space="preserve">  It is recommended that the operator deploy either Band n105 or Band n71 according to the</w:t>
      </w:r>
      <w:r w:rsidR="00EE018B">
        <w:rPr>
          <w:lang w:val="en-US"/>
        </w:rPr>
        <w:t xml:space="preserve"> country’s spectrum allocation in 600 MHz.  Trying to force fit the two together</w:t>
      </w:r>
      <w:r w:rsidR="00E0017F">
        <w:rPr>
          <w:lang w:val="en-US"/>
        </w:rPr>
        <w:t xml:space="preserve"> in a single deployment is </w:t>
      </w:r>
      <w:r w:rsidR="00435FBF">
        <w:rPr>
          <w:lang w:val="en-US"/>
        </w:rPr>
        <w:t>needlessly wasteful and detrimental to system performance.</w:t>
      </w:r>
    </w:p>
    <w:p w14:paraId="71BAA744" w14:textId="7EA0FDD7" w:rsidR="00410314" w:rsidRPr="007347AF" w:rsidRDefault="00410314" w:rsidP="00016AFF">
      <w:pPr>
        <w:rPr>
          <w:b/>
          <w:bCs/>
          <w:lang w:val="en-US"/>
        </w:rPr>
      </w:pPr>
      <w:r w:rsidRPr="007347AF">
        <w:rPr>
          <w:b/>
          <w:bCs/>
          <w:lang w:val="en-US"/>
        </w:rPr>
        <w:t xml:space="preserve">Observation 5:  The </w:t>
      </w:r>
      <w:r w:rsidR="00985D64" w:rsidRPr="007347AF">
        <w:rPr>
          <w:b/>
          <w:bCs/>
          <w:lang w:val="en-US"/>
        </w:rPr>
        <w:t>marriage of a Band n105 network and a Band n71 network by MFBI</w:t>
      </w:r>
      <w:r w:rsidR="002B6D34" w:rsidRPr="007347AF">
        <w:rPr>
          <w:b/>
          <w:bCs/>
          <w:lang w:val="en-US"/>
        </w:rPr>
        <w:t xml:space="preserve"> results in inefficient spectrum utilization and poor system performance</w:t>
      </w:r>
      <w:r w:rsidR="007347AF" w:rsidRPr="007347AF">
        <w:rPr>
          <w:b/>
          <w:bCs/>
          <w:lang w:val="en-US"/>
        </w:rPr>
        <w:t>.</w:t>
      </w:r>
      <w:r w:rsidR="007347AF">
        <w:rPr>
          <w:b/>
          <w:bCs/>
          <w:lang w:val="en-US"/>
        </w:rPr>
        <w:t xml:space="preserve">  It is not recommended.</w:t>
      </w:r>
    </w:p>
    <w:p w14:paraId="3A0774F5" w14:textId="0AC846E5" w:rsidR="00EF70C6" w:rsidRPr="007C7626" w:rsidRDefault="00120FC4" w:rsidP="00016AFF">
      <w:pPr>
        <w:rPr>
          <w:b/>
          <w:bCs/>
          <w:lang w:val="en-US"/>
        </w:rPr>
      </w:pPr>
      <w:r w:rsidRPr="007C7626">
        <w:rPr>
          <w:b/>
          <w:bCs/>
          <w:lang w:val="en-US"/>
        </w:rPr>
        <w:t>Proposal:  Band n105</w:t>
      </w:r>
      <w:r w:rsidR="00144EF8" w:rsidRPr="007C7626">
        <w:rPr>
          <w:b/>
          <w:bCs/>
          <w:lang w:val="en-US"/>
        </w:rPr>
        <w:t xml:space="preserve"> </w:t>
      </w:r>
      <w:r w:rsidR="001906DE" w:rsidRPr="007C7626">
        <w:rPr>
          <w:b/>
          <w:bCs/>
          <w:lang w:val="en-US"/>
        </w:rPr>
        <w:t xml:space="preserve">specifications </w:t>
      </w:r>
      <w:r w:rsidR="00144EF8" w:rsidRPr="007C7626">
        <w:rPr>
          <w:b/>
          <w:bCs/>
          <w:lang w:val="en-US"/>
        </w:rPr>
        <w:t>shall not in</w:t>
      </w:r>
      <w:r w:rsidR="001906DE" w:rsidRPr="007C7626">
        <w:rPr>
          <w:b/>
          <w:bCs/>
          <w:lang w:val="en-US"/>
        </w:rPr>
        <w:t>clude</w:t>
      </w:r>
      <w:r w:rsidR="00144EF8" w:rsidRPr="007C7626">
        <w:rPr>
          <w:b/>
          <w:bCs/>
          <w:lang w:val="en-US"/>
        </w:rPr>
        <w:t xml:space="preserve"> a variable duplex of -46 MHz either directly or </w:t>
      </w:r>
      <w:r w:rsidR="001906DE" w:rsidRPr="007C7626">
        <w:rPr>
          <w:b/>
          <w:bCs/>
          <w:lang w:val="en-US"/>
        </w:rPr>
        <w:t>indirectly by asymmetric channel bandwidth.</w:t>
      </w:r>
    </w:p>
    <w:p w14:paraId="3F8BEA58" w14:textId="3DBDE7E1" w:rsidR="009C37D0" w:rsidRDefault="00FA01C7" w:rsidP="009C37D0">
      <w:pPr>
        <w:pStyle w:val="Heading1"/>
        <w:tabs>
          <w:tab w:val="clear" w:pos="432"/>
          <w:tab w:val="num" w:pos="522"/>
        </w:tabs>
        <w:ind w:left="522" w:hanging="522"/>
        <w:rPr>
          <w:lang w:val="en-US"/>
        </w:rPr>
      </w:pPr>
      <w:r>
        <w:rPr>
          <w:lang w:val="en-US"/>
        </w:rPr>
        <w:t>Conclusion</w:t>
      </w:r>
    </w:p>
    <w:p w14:paraId="148BAE3B" w14:textId="438B4974" w:rsidR="00CE6443" w:rsidRDefault="00200065" w:rsidP="001F0242">
      <w:pPr>
        <w:rPr>
          <w:lang w:val="en-US"/>
        </w:rPr>
      </w:pPr>
      <w:r>
        <w:rPr>
          <w:lang w:val="en-US"/>
        </w:rPr>
        <w:t xml:space="preserve">A proposal on introducing variable duplex </w:t>
      </w:r>
      <w:r w:rsidR="00CE6443">
        <w:rPr>
          <w:lang w:val="en-US"/>
        </w:rPr>
        <w:t xml:space="preserve">by virtue of asymmetric channel bandwidths is </w:t>
      </w:r>
      <w:r w:rsidR="002209C2">
        <w:rPr>
          <w:lang w:val="en-US"/>
        </w:rPr>
        <w:t xml:space="preserve">investigated in this contribution.  It is shown that this feature requires the addition of new asymmetric bandwidths, requires additional design and test effort for the </w:t>
      </w:r>
      <w:r w:rsidR="00BC67BF">
        <w:rPr>
          <w:lang w:val="en-US"/>
        </w:rPr>
        <w:t xml:space="preserve">UE </w:t>
      </w:r>
      <w:r w:rsidR="002209C2">
        <w:rPr>
          <w:lang w:val="en-US"/>
        </w:rPr>
        <w:t>receiver</w:t>
      </w:r>
      <w:r w:rsidR="00BC67BF">
        <w:rPr>
          <w:lang w:val="en-US"/>
        </w:rPr>
        <w:t xml:space="preserve"> and is therefore </w:t>
      </w:r>
      <w:r w:rsidR="00D73287">
        <w:rPr>
          <w:lang w:val="en-US"/>
        </w:rPr>
        <w:t xml:space="preserve">an extra add-on in cost that no operator has expressed interest in.  </w:t>
      </w:r>
      <w:r w:rsidR="005708FC">
        <w:rPr>
          <w:lang w:val="en-US"/>
        </w:rPr>
        <w:t>And it is no surprise th</w:t>
      </w:r>
      <w:r w:rsidR="00BD4E07">
        <w:rPr>
          <w:lang w:val="en-US"/>
        </w:rPr>
        <w:t>e absence of</w:t>
      </w:r>
      <w:r w:rsidR="005708FC">
        <w:rPr>
          <w:lang w:val="en-US"/>
        </w:rPr>
        <w:t xml:space="preserve"> operator interest since </w:t>
      </w:r>
      <w:r w:rsidR="00BB0559">
        <w:rPr>
          <w:lang w:val="en-US"/>
        </w:rPr>
        <w:t xml:space="preserve">the deployment models for variable duplex would be used to mix Band n71 and Band n105 networks is </w:t>
      </w:r>
      <w:r w:rsidR="00245D2D">
        <w:rPr>
          <w:lang w:val="en-US"/>
        </w:rPr>
        <w:t>a very inefficient and wasteful use of spectrum that would result in poor system performance</w:t>
      </w:r>
      <w:r w:rsidR="00AF04E3">
        <w:rPr>
          <w:lang w:val="en-US"/>
        </w:rPr>
        <w:t xml:space="preserve"> as explained in [3].</w:t>
      </w:r>
    </w:p>
    <w:p w14:paraId="443FE53B" w14:textId="77777777" w:rsidR="00394D3F" w:rsidRPr="007C7626" w:rsidRDefault="00394D3F" w:rsidP="00394D3F">
      <w:pPr>
        <w:rPr>
          <w:b/>
          <w:bCs/>
          <w:lang w:val="en-US"/>
        </w:rPr>
      </w:pPr>
      <w:r w:rsidRPr="007C7626">
        <w:rPr>
          <w:b/>
          <w:bCs/>
          <w:lang w:val="en-US"/>
        </w:rPr>
        <w:t>Proposal:  Band n105 specifications shall not include a variable duplex of -46 MHz either directly or indirectly by asymmetric channel bandwidth.</w:t>
      </w:r>
    </w:p>
    <w:p w14:paraId="370EE77B" w14:textId="6268046C" w:rsidR="0090577D" w:rsidRDefault="0090577D" w:rsidP="00505D2D">
      <w:pPr>
        <w:pStyle w:val="Heading1"/>
        <w:numPr>
          <w:ilvl w:val="0"/>
          <w:numId w:val="0"/>
        </w:numPr>
        <w:ind w:left="432" w:hanging="432"/>
        <w:rPr>
          <w:lang w:val="en-US"/>
        </w:rPr>
      </w:pPr>
      <w:r>
        <w:rPr>
          <w:lang w:val="en-US"/>
        </w:rPr>
        <w:t>Reference</w:t>
      </w:r>
    </w:p>
    <w:p w14:paraId="1870BFEE" w14:textId="40606275" w:rsidR="004159AF" w:rsidRDefault="004159AF" w:rsidP="00D23312">
      <w:pPr>
        <w:numPr>
          <w:ilvl w:val="0"/>
          <w:numId w:val="2"/>
        </w:numPr>
        <w:tabs>
          <w:tab w:val="left" w:pos="1080"/>
        </w:tabs>
        <w:rPr>
          <w:lang w:val="en-US" w:eastAsia="x-none"/>
        </w:rPr>
      </w:pPr>
      <w:bookmarkStart w:id="0" w:name="_Hlk859252"/>
      <w:r>
        <w:rPr>
          <w:lang w:val="en-US" w:eastAsia="x-none"/>
        </w:rPr>
        <w:t>R4-2217806, “WF on UE requirements for n105,” OPPO</w:t>
      </w:r>
    </w:p>
    <w:p w14:paraId="4CADEDA8" w14:textId="108D24C0" w:rsidR="00A32716" w:rsidRDefault="00A32716" w:rsidP="00D23312">
      <w:pPr>
        <w:numPr>
          <w:ilvl w:val="0"/>
          <w:numId w:val="2"/>
        </w:numPr>
        <w:tabs>
          <w:tab w:val="left" w:pos="1080"/>
        </w:tabs>
        <w:rPr>
          <w:lang w:val="en-US" w:eastAsia="x-none"/>
        </w:rPr>
      </w:pPr>
      <w:r>
        <w:rPr>
          <w:lang w:val="en-US" w:eastAsia="x-none"/>
        </w:rPr>
        <w:t>R4-2215942, “Asymmetric bandwidths for APT 600 MHz,” Ericsson</w:t>
      </w:r>
    </w:p>
    <w:p w14:paraId="209DCDD3" w14:textId="7CFCB5BD" w:rsidR="00302EE0" w:rsidRDefault="00302EE0" w:rsidP="00D23312">
      <w:pPr>
        <w:numPr>
          <w:ilvl w:val="0"/>
          <w:numId w:val="2"/>
        </w:numPr>
        <w:tabs>
          <w:tab w:val="left" w:pos="1080"/>
        </w:tabs>
        <w:rPr>
          <w:lang w:val="en-US" w:eastAsia="x-none"/>
        </w:rPr>
      </w:pPr>
      <w:r>
        <w:rPr>
          <w:lang w:val="en-US" w:eastAsia="x-none"/>
        </w:rPr>
        <w:t>R4-</w:t>
      </w:r>
      <w:r w:rsidR="00F23A38">
        <w:rPr>
          <w:lang w:val="en-US" w:eastAsia="x-none"/>
        </w:rPr>
        <w:t>2216647, “Variable duplex for the APT 600 MHz band,” Qualcomm Incorporated</w:t>
      </w:r>
      <w:bookmarkEnd w:id="0"/>
    </w:p>
    <w:p w14:paraId="05D51969" w14:textId="113209CF" w:rsidR="00411965" w:rsidRDefault="00411965" w:rsidP="00D23312">
      <w:pPr>
        <w:numPr>
          <w:ilvl w:val="0"/>
          <w:numId w:val="2"/>
        </w:numPr>
        <w:tabs>
          <w:tab w:val="left" w:pos="1080"/>
        </w:tabs>
        <w:rPr>
          <w:lang w:val="en-US" w:eastAsia="x-none"/>
        </w:rPr>
      </w:pPr>
      <w:r>
        <w:rPr>
          <w:lang w:val="en-US" w:eastAsia="x-none"/>
        </w:rPr>
        <w:t>R4-2216451, “TP for TR38.892,” OPPO</w:t>
      </w:r>
    </w:p>
    <w:sectPr w:rsidR="00411965"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6AD28" w14:textId="77777777" w:rsidR="00CF43F3" w:rsidRDefault="00CF43F3">
      <w:r>
        <w:separator/>
      </w:r>
    </w:p>
  </w:endnote>
  <w:endnote w:type="continuationSeparator" w:id="0">
    <w:p w14:paraId="747C932A" w14:textId="77777777" w:rsidR="00CF43F3" w:rsidRDefault="00CF4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33311" w14:textId="77777777" w:rsidR="00CF43F3" w:rsidRDefault="00CF43F3">
      <w:r>
        <w:separator/>
      </w:r>
    </w:p>
  </w:footnote>
  <w:footnote w:type="continuationSeparator" w:id="0">
    <w:p w14:paraId="3AF68B41" w14:textId="77777777" w:rsidR="00CF43F3" w:rsidRDefault="00CF43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4"/>
  </w:num>
  <w:num w:numId="2" w16cid:durableId="513963709">
    <w:abstractNumId w:val="27"/>
  </w:num>
  <w:num w:numId="3" w16cid:durableId="30959319">
    <w:abstractNumId w:val="31"/>
  </w:num>
  <w:num w:numId="4" w16cid:durableId="1579515455">
    <w:abstractNumId w:val="34"/>
  </w:num>
  <w:num w:numId="5" w16cid:durableId="1213884486">
    <w:abstractNumId w:val="25"/>
  </w:num>
  <w:num w:numId="6" w16cid:durableId="895549640">
    <w:abstractNumId w:val="10"/>
  </w:num>
  <w:num w:numId="7" w16cid:durableId="1494643654">
    <w:abstractNumId w:val="3"/>
  </w:num>
  <w:num w:numId="8" w16cid:durableId="1777947175">
    <w:abstractNumId w:val="30"/>
  </w:num>
  <w:num w:numId="9" w16cid:durableId="461308997">
    <w:abstractNumId w:val="11"/>
  </w:num>
  <w:num w:numId="10" w16cid:durableId="1624651259">
    <w:abstractNumId w:val="22"/>
  </w:num>
  <w:num w:numId="11" w16cid:durableId="1362783709">
    <w:abstractNumId w:val="36"/>
  </w:num>
  <w:num w:numId="12" w16cid:durableId="1425344883">
    <w:abstractNumId w:val="9"/>
  </w:num>
  <w:num w:numId="13" w16cid:durableId="2073697746">
    <w:abstractNumId w:val="19"/>
  </w:num>
  <w:num w:numId="14" w16cid:durableId="866678966">
    <w:abstractNumId w:val="5"/>
  </w:num>
  <w:num w:numId="15" w16cid:durableId="1666591006">
    <w:abstractNumId w:val="18"/>
  </w:num>
  <w:num w:numId="16" w16cid:durableId="1524439568">
    <w:abstractNumId w:val="35"/>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17"/>
  </w:num>
  <w:num w:numId="19" w16cid:durableId="2009550563">
    <w:abstractNumId w:val="16"/>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8"/>
  </w:num>
  <w:num w:numId="22" w16cid:durableId="1555431959">
    <w:abstractNumId w:val="13"/>
  </w:num>
  <w:num w:numId="23" w16cid:durableId="2045934884">
    <w:abstractNumId w:val="24"/>
  </w:num>
  <w:num w:numId="24" w16cid:durableId="1658996919">
    <w:abstractNumId w:val="32"/>
  </w:num>
  <w:num w:numId="25" w16cid:durableId="1145976948">
    <w:abstractNumId w:val="33"/>
  </w:num>
  <w:num w:numId="26" w16cid:durableId="1948657783">
    <w:abstractNumId w:val="4"/>
  </w:num>
  <w:num w:numId="27" w16cid:durableId="1612282645">
    <w:abstractNumId w:val="21"/>
  </w:num>
  <w:num w:numId="28" w16cid:durableId="126902088">
    <w:abstractNumId w:val="23"/>
  </w:num>
  <w:num w:numId="29" w16cid:durableId="906383168">
    <w:abstractNumId w:val="28"/>
  </w:num>
  <w:num w:numId="30" w16cid:durableId="1341155545">
    <w:abstractNumId w:val="6"/>
  </w:num>
  <w:num w:numId="31" w16cid:durableId="674380148">
    <w:abstractNumId w:val="12"/>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26"/>
  </w:num>
  <w:num w:numId="35" w16cid:durableId="2019849514">
    <w:abstractNumId w:val="15"/>
  </w:num>
  <w:num w:numId="36" w16cid:durableId="1071586423">
    <w:abstractNumId w:val="2"/>
  </w:num>
  <w:num w:numId="37" w16cid:durableId="1338195957">
    <w:abstractNumId w:val="29"/>
  </w:num>
  <w:num w:numId="38" w16cid:durableId="1058632768">
    <w:abstractNumId w:val="7"/>
  </w:num>
  <w:num w:numId="39" w16cid:durableId="1014115387">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6"/>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301D"/>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AFF"/>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6F5"/>
    <w:rsid w:val="000248EA"/>
    <w:rsid w:val="00024C2B"/>
    <w:rsid w:val="000253F7"/>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511D"/>
    <w:rsid w:val="00045318"/>
    <w:rsid w:val="00045774"/>
    <w:rsid w:val="00045AB4"/>
    <w:rsid w:val="00046794"/>
    <w:rsid w:val="0004700E"/>
    <w:rsid w:val="0004795F"/>
    <w:rsid w:val="000479F8"/>
    <w:rsid w:val="00047A40"/>
    <w:rsid w:val="00051030"/>
    <w:rsid w:val="00051601"/>
    <w:rsid w:val="0005186B"/>
    <w:rsid w:val="00051B04"/>
    <w:rsid w:val="00051E24"/>
    <w:rsid w:val="000526FF"/>
    <w:rsid w:val="0005277B"/>
    <w:rsid w:val="000528DA"/>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67A"/>
    <w:rsid w:val="00062456"/>
    <w:rsid w:val="00062AE2"/>
    <w:rsid w:val="00062E5A"/>
    <w:rsid w:val="00062F52"/>
    <w:rsid w:val="00063B14"/>
    <w:rsid w:val="0006427B"/>
    <w:rsid w:val="000642D1"/>
    <w:rsid w:val="000643A3"/>
    <w:rsid w:val="0006440F"/>
    <w:rsid w:val="000648F2"/>
    <w:rsid w:val="00065317"/>
    <w:rsid w:val="000654B6"/>
    <w:rsid w:val="00065C27"/>
    <w:rsid w:val="00065E81"/>
    <w:rsid w:val="00066495"/>
    <w:rsid w:val="00066EEB"/>
    <w:rsid w:val="00066EFB"/>
    <w:rsid w:val="000671C6"/>
    <w:rsid w:val="00067594"/>
    <w:rsid w:val="000679CF"/>
    <w:rsid w:val="00070561"/>
    <w:rsid w:val="00070ECC"/>
    <w:rsid w:val="00072354"/>
    <w:rsid w:val="00072470"/>
    <w:rsid w:val="000724BF"/>
    <w:rsid w:val="00072597"/>
    <w:rsid w:val="000725AA"/>
    <w:rsid w:val="00072C4C"/>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D93"/>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FFF"/>
    <w:rsid w:val="00096860"/>
    <w:rsid w:val="00096B02"/>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3D9F"/>
    <w:rsid w:val="000A4067"/>
    <w:rsid w:val="000A561C"/>
    <w:rsid w:val="000A56B0"/>
    <w:rsid w:val="000A584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FBB"/>
    <w:rsid w:val="000E58CF"/>
    <w:rsid w:val="000E5C51"/>
    <w:rsid w:val="000E60A4"/>
    <w:rsid w:val="000E6208"/>
    <w:rsid w:val="000E6D31"/>
    <w:rsid w:val="000E6F68"/>
    <w:rsid w:val="000E7110"/>
    <w:rsid w:val="000E7250"/>
    <w:rsid w:val="000E791F"/>
    <w:rsid w:val="000F0E0B"/>
    <w:rsid w:val="000F0FD2"/>
    <w:rsid w:val="000F1DA5"/>
    <w:rsid w:val="000F2C1B"/>
    <w:rsid w:val="000F323B"/>
    <w:rsid w:val="000F41E3"/>
    <w:rsid w:val="000F5297"/>
    <w:rsid w:val="000F5357"/>
    <w:rsid w:val="000F57CF"/>
    <w:rsid w:val="000F5A74"/>
    <w:rsid w:val="000F5EAE"/>
    <w:rsid w:val="000F5EE1"/>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0FC4"/>
    <w:rsid w:val="001219FC"/>
    <w:rsid w:val="00121C56"/>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1F9"/>
    <w:rsid w:val="001274D2"/>
    <w:rsid w:val="00127832"/>
    <w:rsid w:val="00127DEC"/>
    <w:rsid w:val="00127E48"/>
    <w:rsid w:val="00130287"/>
    <w:rsid w:val="001303FD"/>
    <w:rsid w:val="0013041F"/>
    <w:rsid w:val="00130ECD"/>
    <w:rsid w:val="00131004"/>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2B"/>
    <w:rsid w:val="001409C3"/>
    <w:rsid w:val="00140A7E"/>
    <w:rsid w:val="001410CF"/>
    <w:rsid w:val="00141458"/>
    <w:rsid w:val="0014150B"/>
    <w:rsid w:val="00141764"/>
    <w:rsid w:val="00142046"/>
    <w:rsid w:val="001422CC"/>
    <w:rsid w:val="00142612"/>
    <w:rsid w:val="00142B46"/>
    <w:rsid w:val="001430CD"/>
    <w:rsid w:val="001436F7"/>
    <w:rsid w:val="00144026"/>
    <w:rsid w:val="00144095"/>
    <w:rsid w:val="001445CF"/>
    <w:rsid w:val="00144D19"/>
    <w:rsid w:val="00144EF8"/>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2BDD"/>
    <w:rsid w:val="00152F59"/>
    <w:rsid w:val="00153234"/>
    <w:rsid w:val="0015358C"/>
    <w:rsid w:val="00153EB5"/>
    <w:rsid w:val="00154025"/>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6C"/>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42E4"/>
    <w:rsid w:val="001846EF"/>
    <w:rsid w:val="00184A30"/>
    <w:rsid w:val="00184E92"/>
    <w:rsid w:val="00185051"/>
    <w:rsid w:val="0018555B"/>
    <w:rsid w:val="001855CC"/>
    <w:rsid w:val="00185893"/>
    <w:rsid w:val="00185895"/>
    <w:rsid w:val="00185F9C"/>
    <w:rsid w:val="00186488"/>
    <w:rsid w:val="0018788E"/>
    <w:rsid w:val="00187E14"/>
    <w:rsid w:val="00190445"/>
    <w:rsid w:val="001905F3"/>
    <w:rsid w:val="001906DE"/>
    <w:rsid w:val="00190F12"/>
    <w:rsid w:val="00191198"/>
    <w:rsid w:val="00191449"/>
    <w:rsid w:val="00191D6B"/>
    <w:rsid w:val="00192293"/>
    <w:rsid w:val="00192438"/>
    <w:rsid w:val="00192538"/>
    <w:rsid w:val="001925A9"/>
    <w:rsid w:val="00192FFF"/>
    <w:rsid w:val="00193142"/>
    <w:rsid w:val="00193747"/>
    <w:rsid w:val="001937B4"/>
    <w:rsid w:val="00194403"/>
    <w:rsid w:val="00194582"/>
    <w:rsid w:val="00194DEE"/>
    <w:rsid w:val="00194E91"/>
    <w:rsid w:val="00195007"/>
    <w:rsid w:val="00195150"/>
    <w:rsid w:val="00195E87"/>
    <w:rsid w:val="001968A7"/>
    <w:rsid w:val="00197D1E"/>
    <w:rsid w:val="00197D53"/>
    <w:rsid w:val="001A0786"/>
    <w:rsid w:val="001A091D"/>
    <w:rsid w:val="001A1533"/>
    <w:rsid w:val="001A1AB0"/>
    <w:rsid w:val="001A1B9D"/>
    <w:rsid w:val="001A1BED"/>
    <w:rsid w:val="001A1D6F"/>
    <w:rsid w:val="001A2143"/>
    <w:rsid w:val="001A24F6"/>
    <w:rsid w:val="001A2832"/>
    <w:rsid w:val="001A41D0"/>
    <w:rsid w:val="001A44D8"/>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A2E"/>
    <w:rsid w:val="001C1C4D"/>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AA"/>
    <w:rsid w:val="001E3EBD"/>
    <w:rsid w:val="001E4395"/>
    <w:rsid w:val="001E459E"/>
    <w:rsid w:val="001E49BF"/>
    <w:rsid w:val="001E4C42"/>
    <w:rsid w:val="001E57E7"/>
    <w:rsid w:val="001E584A"/>
    <w:rsid w:val="001E5A46"/>
    <w:rsid w:val="001E5D8B"/>
    <w:rsid w:val="001E61F1"/>
    <w:rsid w:val="001E6CA2"/>
    <w:rsid w:val="001E73A7"/>
    <w:rsid w:val="001E7909"/>
    <w:rsid w:val="001E7CF7"/>
    <w:rsid w:val="001F0242"/>
    <w:rsid w:val="001F02FC"/>
    <w:rsid w:val="001F099B"/>
    <w:rsid w:val="001F16E6"/>
    <w:rsid w:val="001F1AFB"/>
    <w:rsid w:val="001F1E8A"/>
    <w:rsid w:val="001F208F"/>
    <w:rsid w:val="001F2C22"/>
    <w:rsid w:val="001F3907"/>
    <w:rsid w:val="001F3912"/>
    <w:rsid w:val="001F3AB5"/>
    <w:rsid w:val="001F4191"/>
    <w:rsid w:val="001F43EF"/>
    <w:rsid w:val="001F463C"/>
    <w:rsid w:val="001F4697"/>
    <w:rsid w:val="001F4B1C"/>
    <w:rsid w:val="001F4B45"/>
    <w:rsid w:val="001F5659"/>
    <w:rsid w:val="001F5A57"/>
    <w:rsid w:val="001F71DC"/>
    <w:rsid w:val="001F7246"/>
    <w:rsid w:val="001F786D"/>
    <w:rsid w:val="001F7A3A"/>
    <w:rsid w:val="001F7D63"/>
    <w:rsid w:val="00200065"/>
    <w:rsid w:val="00200133"/>
    <w:rsid w:val="00200819"/>
    <w:rsid w:val="00200CA4"/>
    <w:rsid w:val="00200CCF"/>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5E9C"/>
    <w:rsid w:val="00216158"/>
    <w:rsid w:val="0021650F"/>
    <w:rsid w:val="00216921"/>
    <w:rsid w:val="00217281"/>
    <w:rsid w:val="0021749B"/>
    <w:rsid w:val="002175F8"/>
    <w:rsid w:val="00220952"/>
    <w:rsid w:val="002209C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D2D"/>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9C0"/>
    <w:rsid w:val="002900D1"/>
    <w:rsid w:val="00290FB2"/>
    <w:rsid w:val="0029101E"/>
    <w:rsid w:val="0029138C"/>
    <w:rsid w:val="002921C4"/>
    <w:rsid w:val="0029239C"/>
    <w:rsid w:val="0029286C"/>
    <w:rsid w:val="00292923"/>
    <w:rsid w:val="002932EC"/>
    <w:rsid w:val="002933A0"/>
    <w:rsid w:val="00294E11"/>
    <w:rsid w:val="00296186"/>
    <w:rsid w:val="002961A6"/>
    <w:rsid w:val="00296448"/>
    <w:rsid w:val="00296B17"/>
    <w:rsid w:val="00296B7E"/>
    <w:rsid w:val="00296FCC"/>
    <w:rsid w:val="00297250"/>
    <w:rsid w:val="002976AF"/>
    <w:rsid w:val="00297836"/>
    <w:rsid w:val="00297AA9"/>
    <w:rsid w:val="002A0653"/>
    <w:rsid w:val="002A0942"/>
    <w:rsid w:val="002A129F"/>
    <w:rsid w:val="002A1AD8"/>
    <w:rsid w:val="002A23C7"/>
    <w:rsid w:val="002A249A"/>
    <w:rsid w:val="002A2E43"/>
    <w:rsid w:val="002A3BFD"/>
    <w:rsid w:val="002A4A8B"/>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8BA"/>
    <w:rsid w:val="002B1C8F"/>
    <w:rsid w:val="002B1FD0"/>
    <w:rsid w:val="002B2185"/>
    <w:rsid w:val="002B2C2C"/>
    <w:rsid w:val="002B2C81"/>
    <w:rsid w:val="002B31B5"/>
    <w:rsid w:val="002B3B2F"/>
    <w:rsid w:val="002B40E0"/>
    <w:rsid w:val="002B43AE"/>
    <w:rsid w:val="002B4C2E"/>
    <w:rsid w:val="002B4D6F"/>
    <w:rsid w:val="002B5261"/>
    <w:rsid w:val="002B53D8"/>
    <w:rsid w:val="002B59E9"/>
    <w:rsid w:val="002B5D3B"/>
    <w:rsid w:val="002B6395"/>
    <w:rsid w:val="002B6A74"/>
    <w:rsid w:val="002B6D34"/>
    <w:rsid w:val="002B6F2C"/>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D5C"/>
    <w:rsid w:val="00302EE0"/>
    <w:rsid w:val="00302F04"/>
    <w:rsid w:val="003034CF"/>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1AB"/>
    <w:rsid w:val="0031162E"/>
    <w:rsid w:val="00311874"/>
    <w:rsid w:val="00311D14"/>
    <w:rsid w:val="0031208B"/>
    <w:rsid w:val="00312A91"/>
    <w:rsid w:val="00312EF8"/>
    <w:rsid w:val="003138A2"/>
    <w:rsid w:val="00313F7D"/>
    <w:rsid w:val="003149E9"/>
    <w:rsid w:val="00314A72"/>
    <w:rsid w:val="00314DB7"/>
    <w:rsid w:val="00314F09"/>
    <w:rsid w:val="00315017"/>
    <w:rsid w:val="0031530F"/>
    <w:rsid w:val="00315EB5"/>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DF6"/>
    <w:rsid w:val="00323F04"/>
    <w:rsid w:val="0032408E"/>
    <w:rsid w:val="00324340"/>
    <w:rsid w:val="00324696"/>
    <w:rsid w:val="00324937"/>
    <w:rsid w:val="003254B9"/>
    <w:rsid w:val="00325C68"/>
    <w:rsid w:val="00325D20"/>
    <w:rsid w:val="00326129"/>
    <w:rsid w:val="00326509"/>
    <w:rsid w:val="003265A8"/>
    <w:rsid w:val="003267B9"/>
    <w:rsid w:val="0032797F"/>
    <w:rsid w:val="00327B03"/>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70EF"/>
    <w:rsid w:val="00337554"/>
    <w:rsid w:val="00337613"/>
    <w:rsid w:val="00337A5E"/>
    <w:rsid w:val="00337EF9"/>
    <w:rsid w:val="003402F4"/>
    <w:rsid w:val="00340539"/>
    <w:rsid w:val="0034157C"/>
    <w:rsid w:val="00341735"/>
    <w:rsid w:val="00341D2E"/>
    <w:rsid w:val="00341F00"/>
    <w:rsid w:val="00341FE3"/>
    <w:rsid w:val="003427F4"/>
    <w:rsid w:val="00342D54"/>
    <w:rsid w:val="00343AE0"/>
    <w:rsid w:val="003443F9"/>
    <w:rsid w:val="003445DB"/>
    <w:rsid w:val="00344D9A"/>
    <w:rsid w:val="00344FE2"/>
    <w:rsid w:val="003451EA"/>
    <w:rsid w:val="00345CDD"/>
    <w:rsid w:val="00345FDB"/>
    <w:rsid w:val="00345FF9"/>
    <w:rsid w:val="0034613F"/>
    <w:rsid w:val="00346628"/>
    <w:rsid w:val="0034670C"/>
    <w:rsid w:val="00346BAD"/>
    <w:rsid w:val="00346FFE"/>
    <w:rsid w:val="00347822"/>
    <w:rsid w:val="00347867"/>
    <w:rsid w:val="003478F5"/>
    <w:rsid w:val="00347A4B"/>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783"/>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63F4"/>
    <w:rsid w:val="003874FB"/>
    <w:rsid w:val="00387539"/>
    <w:rsid w:val="003878AD"/>
    <w:rsid w:val="00387A87"/>
    <w:rsid w:val="00387BA4"/>
    <w:rsid w:val="00387CB5"/>
    <w:rsid w:val="00390A6F"/>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4D3F"/>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3BF9"/>
    <w:rsid w:val="003B3D77"/>
    <w:rsid w:val="003B53C7"/>
    <w:rsid w:val="003B53D8"/>
    <w:rsid w:val="003B5714"/>
    <w:rsid w:val="003B5903"/>
    <w:rsid w:val="003B5F4D"/>
    <w:rsid w:val="003B6018"/>
    <w:rsid w:val="003B607A"/>
    <w:rsid w:val="003B6FBA"/>
    <w:rsid w:val="003B7204"/>
    <w:rsid w:val="003B72B7"/>
    <w:rsid w:val="003B72E1"/>
    <w:rsid w:val="003B78EB"/>
    <w:rsid w:val="003C0031"/>
    <w:rsid w:val="003C02AA"/>
    <w:rsid w:val="003C06DA"/>
    <w:rsid w:val="003C11BC"/>
    <w:rsid w:val="003C1703"/>
    <w:rsid w:val="003C1867"/>
    <w:rsid w:val="003C18A0"/>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7753"/>
    <w:rsid w:val="003C7927"/>
    <w:rsid w:val="003C7B29"/>
    <w:rsid w:val="003C7C6C"/>
    <w:rsid w:val="003D0014"/>
    <w:rsid w:val="003D0258"/>
    <w:rsid w:val="003D0345"/>
    <w:rsid w:val="003D04DD"/>
    <w:rsid w:val="003D0DEB"/>
    <w:rsid w:val="003D1991"/>
    <w:rsid w:val="003D1B40"/>
    <w:rsid w:val="003D1EFA"/>
    <w:rsid w:val="003D23FE"/>
    <w:rsid w:val="003D246C"/>
    <w:rsid w:val="003D28E4"/>
    <w:rsid w:val="003D2A12"/>
    <w:rsid w:val="003D3513"/>
    <w:rsid w:val="003D3737"/>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BA1"/>
    <w:rsid w:val="00405EE1"/>
    <w:rsid w:val="00405F8D"/>
    <w:rsid w:val="00406B75"/>
    <w:rsid w:val="00406B81"/>
    <w:rsid w:val="004073F3"/>
    <w:rsid w:val="00407576"/>
    <w:rsid w:val="004079A4"/>
    <w:rsid w:val="00407A40"/>
    <w:rsid w:val="00407FF9"/>
    <w:rsid w:val="004102A2"/>
    <w:rsid w:val="00410314"/>
    <w:rsid w:val="00410579"/>
    <w:rsid w:val="004105DB"/>
    <w:rsid w:val="00411821"/>
    <w:rsid w:val="00411965"/>
    <w:rsid w:val="00411DE9"/>
    <w:rsid w:val="00412138"/>
    <w:rsid w:val="004124A6"/>
    <w:rsid w:val="00412BAF"/>
    <w:rsid w:val="00412DB3"/>
    <w:rsid w:val="00412E18"/>
    <w:rsid w:val="0041346E"/>
    <w:rsid w:val="004148FF"/>
    <w:rsid w:val="00414BD6"/>
    <w:rsid w:val="00415201"/>
    <w:rsid w:val="004159AF"/>
    <w:rsid w:val="00415ADA"/>
    <w:rsid w:val="00415B6A"/>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E1C"/>
    <w:rsid w:val="00435F2E"/>
    <w:rsid w:val="00435FBF"/>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5605"/>
    <w:rsid w:val="0044573D"/>
    <w:rsid w:val="00445800"/>
    <w:rsid w:val="004458FE"/>
    <w:rsid w:val="00445C5C"/>
    <w:rsid w:val="0044602B"/>
    <w:rsid w:val="0044606C"/>
    <w:rsid w:val="00446622"/>
    <w:rsid w:val="00446644"/>
    <w:rsid w:val="00446EAF"/>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3355"/>
    <w:rsid w:val="0047361D"/>
    <w:rsid w:val="00473B87"/>
    <w:rsid w:val="00473BD0"/>
    <w:rsid w:val="00474729"/>
    <w:rsid w:val="00474907"/>
    <w:rsid w:val="00474A1B"/>
    <w:rsid w:val="00474A60"/>
    <w:rsid w:val="00474B09"/>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7B"/>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6934"/>
    <w:rsid w:val="004C6A32"/>
    <w:rsid w:val="004C72C7"/>
    <w:rsid w:val="004C7862"/>
    <w:rsid w:val="004C7A22"/>
    <w:rsid w:val="004C7AF0"/>
    <w:rsid w:val="004C7F5D"/>
    <w:rsid w:val="004D0378"/>
    <w:rsid w:val="004D05DF"/>
    <w:rsid w:val="004D1346"/>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71A9"/>
    <w:rsid w:val="004D7CA5"/>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DFD"/>
    <w:rsid w:val="004F1FE1"/>
    <w:rsid w:val="004F2600"/>
    <w:rsid w:val="004F2722"/>
    <w:rsid w:val="004F2825"/>
    <w:rsid w:val="004F29AD"/>
    <w:rsid w:val="004F30FB"/>
    <w:rsid w:val="004F3362"/>
    <w:rsid w:val="004F37F0"/>
    <w:rsid w:val="004F3C60"/>
    <w:rsid w:val="004F4207"/>
    <w:rsid w:val="004F4210"/>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4CDF"/>
    <w:rsid w:val="00505386"/>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F62"/>
    <w:rsid w:val="005235ED"/>
    <w:rsid w:val="00524D75"/>
    <w:rsid w:val="005250F6"/>
    <w:rsid w:val="005254F6"/>
    <w:rsid w:val="00525E31"/>
    <w:rsid w:val="005266E8"/>
    <w:rsid w:val="00526D84"/>
    <w:rsid w:val="00526EDC"/>
    <w:rsid w:val="0052707B"/>
    <w:rsid w:val="005275D0"/>
    <w:rsid w:val="0052782A"/>
    <w:rsid w:val="0052785A"/>
    <w:rsid w:val="00527B8C"/>
    <w:rsid w:val="00531A02"/>
    <w:rsid w:val="005327B6"/>
    <w:rsid w:val="00532855"/>
    <w:rsid w:val="00532BAD"/>
    <w:rsid w:val="00532FEC"/>
    <w:rsid w:val="005331CE"/>
    <w:rsid w:val="0053361B"/>
    <w:rsid w:val="005340DE"/>
    <w:rsid w:val="005342A2"/>
    <w:rsid w:val="00534C55"/>
    <w:rsid w:val="00534C5F"/>
    <w:rsid w:val="0053507B"/>
    <w:rsid w:val="0053509D"/>
    <w:rsid w:val="00535207"/>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1E15"/>
    <w:rsid w:val="00542669"/>
    <w:rsid w:val="005427B8"/>
    <w:rsid w:val="00543144"/>
    <w:rsid w:val="0054317E"/>
    <w:rsid w:val="00543570"/>
    <w:rsid w:val="00543BDB"/>
    <w:rsid w:val="00543DEB"/>
    <w:rsid w:val="00543E5A"/>
    <w:rsid w:val="0054477C"/>
    <w:rsid w:val="00544BB7"/>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188B"/>
    <w:rsid w:val="00561E0B"/>
    <w:rsid w:val="00562432"/>
    <w:rsid w:val="00562C3D"/>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08FC"/>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3EA"/>
    <w:rsid w:val="0058268D"/>
    <w:rsid w:val="00582E01"/>
    <w:rsid w:val="00583685"/>
    <w:rsid w:val="0058368D"/>
    <w:rsid w:val="005837D2"/>
    <w:rsid w:val="005838C4"/>
    <w:rsid w:val="005838EA"/>
    <w:rsid w:val="00583984"/>
    <w:rsid w:val="005839C1"/>
    <w:rsid w:val="00583C9E"/>
    <w:rsid w:val="00583FF2"/>
    <w:rsid w:val="005843D5"/>
    <w:rsid w:val="005845D5"/>
    <w:rsid w:val="00584A56"/>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1E4F"/>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93C"/>
    <w:rsid w:val="005A7960"/>
    <w:rsid w:val="005A7A96"/>
    <w:rsid w:val="005B047C"/>
    <w:rsid w:val="005B0567"/>
    <w:rsid w:val="005B14CE"/>
    <w:rsid w:val="005B21F0"/>
    <w:rsid w:val="005B2727"/>
    <w:rsid w:val="005B2846"/>
    <w:rsid w:val="005B2977"/>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2320"/>
    <w:rsid w:val="005D25B9"/>
    <w:rsid w:val="005D2787"/>
    <w:rsid w:val="005D2B3E"/>
    <w:rsid w:val="005D2EFC"/>
    <w:rsid w:val="005D3511"/>
    <w:rsid w:val="005D4C3F"/>
    <w:rsid w:val="005D5961"/>
    <w:rsid w:val="005D6E11"/>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A35"/>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42CB"/>
    <w:rsid w:val="00604312"/>
    <w:rsid w:val="006046B6"/>
    <w:rsid w:val="006049FD"/>
    <w:rsid w:val="00605175"/>
    <w:rsid w:val="00605534"/>
    <w:rsid w:val="006059EE"/>
    <w:rsid w:val="00605EF3"/>
    <w:rsid w:val="006065C9"/>
    <w:rsid w:val="006065E8"/>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306B"/>
    <w:rsid w:val="006231F3"/>
    <w:rsid w:val="0062340D"/>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E1B"/>
    <w:rsid w:val="00627FEB"/>
    <w:rsid w:val="006304F0"/>
    <w:rsid w:val="00630AAF"/>
    <w:rsid w:val="006312FE"/>
    <w:rsid w:val="0063190E"/>
    <w:rsid w:val="00631917"/>
    <w:rsid w:val="00631E58"/>
    <w:rsid w:val="00632297"/>
    <w:rsid w:val="0063253F"/>
    <w:rsid w:val="0063268D"/>
    <w:rsid w:val="006326A8"/>
    <w:rsid w:val="00632833"/>
    <w:rsid w:val="00632F2F"/>
    <w:rsid w:val="00632FF1"/>
    <w:rsid w:val="0063314D"/>
    <w:rsid w:val="00633CAB"/>
    <w:rsid w:val="006340D4"/>
    <w:rsid w:val="006341CF"/>
    <w:rsid w:val="006344A4"/>
    <w:rsid w:val="00634755"/>
    <w:rsid w:val="00634B97"/>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9B1"/>
    <w:rsid w:val="0065508B"/>
    <w:rsid w:val="006551F3"/>
    <w:rsid w:val="0065554D"/>
    <w:rsid w:val="006555F3"/>
    <w:rsid w:val="00655611"/>
    <w:rsid w:val="00655AB8"/>
    <w:rsid w:val="00655E22"/>
    <w:rsid w:val="00656812"/>
    <w:rsid w:val="0065711D"/>
    <w:rsid w:val="0065744C"/>
    <w:rsid w:val="00657591"/>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5CE"/>
    <w:rsid w:val="0067770C"/>
    <w:rsid w:val="00677A19"/>
    <w:rsid w:val="00677BA5"/>
    <w:rsid w:val="006804C1"/>
    <w:rsid w:val="0068130C"/>
    <w:rsid w:val="006816FF"/>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7268"/>
    <w:rsid w:val="006876A2"/>
    <w:rsid w:val="0069074E"/>
    <w:rsid w:val="00691226"/>
    <w:rsid w:val="006913F1"/>
    <w:rsid w:val="006914D7"/>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6F09"/>
    <w:rsid w:val="00697217"/>
    <w:rsid w:val="0069757C"/>
    <w:rsid w:val="006A05C1"/>
    <w:rsid w:val="006A06F4"/>
    <w:rsid w:val="006A094D"/>
    <w:rsid w:val="006A0A88"/>
    <w:rsid w:val="006A0FC3"/>
    <w:rsid w:val="006A1320"/>
    <w:rsid w:val="006A16CD"/>
    <w:rsid w:val="006A16FF"/>
    <w:rsid w:val="006A17A4"/>
    <w:rsid w:val="006A1A4D"/>
    <w:rsid w:val="006A1BF6"/>
    <w:rsid w:val="006A202E"/>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DBF"/>
    <w:rsid w:val="006B2E7F"/>
    <w:rsid w:val="006B3D8C"/>
    <w:rsid w:val="006B3E16"/>
    <w:rsid w:val="006B4331"/>
    <w:rsid w:val="006B49A4"/>
    <w:rsid w:val="006B49F6"/>
    <w:rsid w:val="006B503E"/>
    <w:rsid w:val="006B532A"/>
    <w:rsid w:val="006B58F5"/>
    <w:rsid w:val="006B5DD2"/>
    <w:rsid w:val="006B5F15"/>
    <w:rsid w:val="006B5FD5"/>
    <w:rsid w:val="006B655B"/>
    <w:rsid w:val="006B67E8"/>
    <w:rsid w:val="006B69D5"/>
    <w:rsid w:val="006B6DAA"/>
    <w:rsid w:val="006B7132"/>
    <w:rsid w:val="006B75BA"/>
    <w:rsid w:val="006B79D0"/>
    <w:rsid w:val="006B7D70"/>
    <w:rsid w:val="006C05E1"/>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CF1"/>
    <w:rsid w:val="006D0D0D"/>
    <w:rsid w:val="006D0F47"/>
    <w:rsid w:val="006D149F"/>
    <w:rsid w:val="006D1A7B"/>
    <w:rsid w:val="006D1F33"/>
    <w:rsid w:val="006D2020"/>
    <w:rsid w:val="006D32D6"/>
    <w:rsid w:val="006D3D0F"/>
    <w:rsid w:val="006D4101"/>
    <w:rsid w:val="006D4A70"/>
    <w:rsid w:val="006D538E"/>
    <w:rsid w:val="006D54CC"/>
    <w:rsid w:val="006D6735"/>
    <w:rsid w:val="006D6CFE"/>
    <w:rsid w:val="006D7134"/>
    <w:rsid w:val="006D765E"/>
    <w:rsid w:val="006D7813"/>
    <w:rsid w:val="006E1113"/>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D6C"/>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C2A"/>
    <w:rsid w:val="00715F13"/>
    <w:rsid w:val="00716001"/>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1475"/>
    <w:rsid w:val="00731D02"/>
    <w:rsid w:val="00732CE8"/>
    <w:rsid w:val="00732D90"/>
    <w:rsid w:val="0073334B"/>
    <w:rsid w:val="00733723"/>
    <w:rsid w:val="0073383C"/>
    <w:rsid w:val="0073413D"/>
    <w:rsid w:val="0073419D"/>
    <w:rsid w:val="007347AF"/>
    <w:rsid w:val="0073530F"/>
    <w:rsid w:val="00735FF5"/>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44C0"/>
    <w:rsid w:val="0074457E"/>
    <w:rsid w:val="00744B8C"/>
    <w:rsid w:val="007452CF"/>
    <w:rsid w:val="00745894"/>
    <w:rsid w:val="0074697D"/>
    <w:rsid w:val="00746F72"/>
    <w:rsid w:val="007500E4"/>
    <w:rsid w:val="00750244"/>
    <w:rsid w:val="00750434"/>
    <w:rsid w:val="00751CF0"/>
    <w:rsid w:val="00751D05"/>
    <w:rsid w:val="00752B1A"/>
    <w:rsid w:val="00753A6B"/>
    <w:rsid w:val="00753B19"/>
    <w:rsid w:val="007540A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433C"/>
    <w:rsid w:val="007646C3"/>
    <w:rsid w:val="00764ABF"/>
    <w:rsid w:val="00764F6B"/>
    <w:rsid w:val="00765328"/>
    <w:rsid w:val="007663F2"/>
    <w:rsid w:val="007664C6"/>
    <w:rsid w:val="00766A38"/>
    <w:rsid w:val="00766CB7"/>
    <w:rsid w:val="00767F66"/>
    <w:rsid w:val="00770C66"/>
    <w:rsid w:val="007713AE"/>
    <w:rsid w:val="00771689"/>
    <w:rsid w:val="0077192A"/>
    <w:rsid w:val="007719DB"/>
    <w:rsid w:val="00771BBF"/>
    <w:rsid w:val="0077238F"/>
    <w:rsid w:val="007724E6"/>
    <w:rsid w:val="00772D93"/>
    <w:rsid w:val="00772F91"/>
    <w:rsid w:val="0077333A"/>
    <w:rsid w:val="00773797"/>
    <w:rsid w:val="00773968"/>
    <w:rsid w:val="007739A8"/>
    <w:rsid w:val="00773AFC"/>
    <w:rsid w:val="00773F65"/>
    <w:rsid w:val="00774004"/>
    <w:rsid w:val="0077434B"/>
    <w:rsid w:val="007744E9"/>
    <w:rsid w:val="00774655"/>
    <w:rsid w:val="007747B8"/>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443B"/>
    <w:rsid w:val="007846E1"/>
    <w:rsid w:val="007846F4"/>
    <w:rsid w:val="007850F8"/>
    <w:rsid w:val="00785429"/>
    <w:rsid w:val="0078574E"/>
    <w:rsid w:val="0078598F"/>
    <w:rsid w:val="00786A8F"/>
    <w:rsid w:val="00790F37"/>
    <w:rsid w:val="00790FEC"/>
    <w:rsid w:val="007910CE"/>
    <w:rsid w:val="00791761"/>
    <w:rsid w:val="00791CC0"/>
    <w:rsid w:val="00791DAA"/>
    <w:rsid w:val="0079227B"/>
    <w:rsid w:val="00792480"/>
    <w:rsid w:val="0079324E"/>
    <w:rsid w:val="0079338E"/>
    <w:rsid w:val="007933AC"/>
    <w:rsid w:val="007933BE"/>
    <w:rsid w:val="007941DA"/>
    <w:rsid w:val="007942A6"/>
    <w:rsid w:val="007942B9"/>
    <w:rsid w:val="0079485D"/>
    <w:rsid w:val="00794A20"/>
    <w:rsid w:val="00794A29"/>
    <w:rsid w:val="00794DF7"/>
    <w:rsid w:val="00794E0C"/>
    <w:rsid w:val="00795163"/>
    <w:rsid w:val="007951C7"/>
    <w:rsid w:val="00795625"/>
    <w:rsid w:val="0079596F"/>
    <w:rsid w:val="00796590"/>
    <w:rsid w:val="00796F61"/>
    <w:rsid w:val="00796FBD"/>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5C7"/>
    <w:rsid w:val="007A66A5"/>
    <w:rsid w:val="007A6809"/>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4F3"/>
    <w:rsid w:val="007B3DB9"/>
    <w:rsid w:val="007B402C"/>
    <w:rsid w:val="007B4575"/>
    <w:rsid w:val="007B47C3"/>
    <w:rsid w:val="007B4EF8"/>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2CA"/>
    <w:rsid w:val="007C6E00"/>
    <w:rsid w:val="007C72A8"/>
    <w:rsid w:val="007C7626"/>
    <w:rsid w:val="007D0421"/>
    <w:rsid w:val="007D0AA9"/>
    <w:rsid w:val="007D16F6"/>
    <w:rsid w:val="007D1885"/>
    <w:rsid w:val="007D192A"/>
    <w:rsid w:val="007D1D86"/>
    <w:rsid w:val="007D2289"/>
    <w:rsid w:val="007D2899"/>
    <w:rsid w:val="007D3F01"/>
    <w:rsid w:val="007D4554"/>
    <w:rsid w:val="007D4584"/>
    <w:rsid w:val="007D47CD"/>
    <w:rsid w:val="007D4D07"/>
    <w:rsid w:val="007D5806"/>
    <w:rsid w:val="007D6346"/>
    <w:rsid w:val="007D6988"/>
    <w:rsid w:val="007D6CE6"/>
    <w:rsid w:val="007D759E"/>
    <w:rsid w:val="007D7E70"/>
    <w:rsid w:val="007E1193"/>
    <w:rsid w:val="007E1275"/>
    <w:rsid w:val="007E1D90"/>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13A"/>
    <w:rsid w:val="007E6401"/>
    <w:rsid w:val="007E68EF"/>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05B"/>
    <w:rsid w:val="007F6CB9"/>
    <w:rsid w:val="007F6F18"/>
    <w:rsid w:val="007F7987"/>
    <w:rsid w:val="008000EE"/>
    <w:rsid w:val="00800130"/>
    <w:rsid w:val="00800365"/>
    <w:rsid w:val="008003BF"/>
    <w:rsid w:val="0080055A"/>
    <w:rsid w:val="008008A4"/>
    <w:rsid w:val="00800CCB"/>
    <w:rsid w:val="008017C0"/>
    <w:rsid w:val="00801901"/>
    <w:rsid w:val="00801D20"/>
    <w:rsid w:val="00801D46"/>
    <w:rsid w:val="00801D79"/>
    <w:rsid w:val="00801E0C"/>
    <w:rsid w:val="00801F29"/>
    <w:rsid w:val="008027D9"/>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647"/>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5F6"/>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728"/>
    <w:rsid w:val="00861DD3"/>
    <w:rsid w:val="00861E47"/>
    <w:rsid w:val="00862384"/>
    <w:rsid w:val="0086321E"/>
    <w:rsid w:val="008632C0"/>
    <w:rsid w:val="00863672"/>
    <w:rsid w:val="00863746"/>
    <w:rsid w:val="00863D9C"/>
    <w:rsid w:val="00864237"/>
    <w:rsid w:val="00864808"/>
    <w:rsid w:val="00865A8B"/>
    <w:rsid w:val="00865C64"/>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21CA"/>
    <w:rsid w:val="00872964"/>
    <w:rsid w:val="00872994"/>
    <w:rsid w:val="00873523"/>
    <w:rsid w:val="008735C1"/>
    <w:rsid w:val="00873723"/>
    <w:rsid w:val="00873803"/>
    <w:rsid w:val="008739C2"/>
    <w:rsid w:val="00873D07"/>
    <w:rsid w:val="008740BB"/>
    <w:rsid w:val="00874300"/>
    <w:rsid w:val="00874B5E"/>
    <w:rsid w:val="00874DFD"/>
    <w:rsid w:val="00875013"/>
    <w:rsid w:val="0087514E"/>
    <w:rsid w:val="0087541C"/>
    <w:rsid w:val="00875E39"/>
    <w:rsid w:val="00875ECC"/>
    <w:rsid w:val="008760A4"/>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5172"/>
    <w:rsid w:val="008857E2"/>
    <w:rsid w:val="00885C1D"/>
    <w:rsid w:val="00885CB4"/>
    <w:rsid w:val="00885F4D"/>
    <w:rsid w:val="008863FC"/>
    <w:rsid w:val="00886758"/>
    <w:rsid w:val="00887156"/>
    <w:rsid w:val="0088723B"/>
    <w:rsid w:val="00890197"/>
    <w:rsid w:val="008906E3"/>
    <w:rsid w:val="008909EB"/>
    <w:rsid w:val="00890B68"/>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580A"/>
    <w:rsid w:val="0089624D"/>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C55"/>
    <w:rsid w:val="008A7D0D"/>
    <w:rsid w:val="008A7E32"/>
    <w:rsid w:val="008A7E55"/>
    <w:rsid w:val="008B004E"/>
    <w:rsid w:val="008B00E3"/>
    <w:rsid w:val="008B0F95"/>
    <w:rsid w:val="008B113E"/>
    <w:rsid w:val="008B12D6"/>
    <w:rsid w:val="008B13DF"/>
    <w:rsid w:val="008B1C49"/>
    <w:rsid w:val="008B1ED0"/>
    <w:rsid w:val="008B2F7E"/>
    <w:rsid w:val="008B302F"/>
    <w:rsid w:val="008B356B"/>
    <w:rsid w:val="008B3770"/>
    <w:rsid w:val="008B3906"/>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2BE"/>
    <w:rsid w:val="008C23A2"/>
    <w:rsid w:val="008C23BB"/>
    <w:rsid w:val="008C2445"/>
    <w:rsid w:val="008C2EB9"/>
    <w:rsid w:val="008C333F"/>
    <w:rsid w:val="008C336D"/>
    <w:rsid w:val="008C34F2"/>
    <w:rsid w:val="008C3762"/>
    <w:rsid w:val="008C3EB6"/>
    <w:rsid w:val="008C4224"/>
    <w:rsid w:val="008C4257"/>
    <w:rsid w:val="008C4B21"/>
    <w:rsid w:val="008C5476"/>
    <w:rsid w:val="008C5A4D"/>
    <w:rsid w:val="008C5C3E"/>
    <w:rsid w:val="008C658D"/>
    <w:rsid w:val="008C669C"/>
    <w:rsid w:val="008C6E86"/>
    <w:rsid w:val="008C7629"/>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7109"/>
    <w:rsid w:val="008D7119"/>
    <w:rsid w:val="008D748B"/>
    <w:rsid w:val="008D77D6"/>
    <w:rsid w:val="008D7D34"/>
    <w:rsid w:val="008D7E55"/>
    <w:rsid w:val="008E0739"/>
    <w:rsid w:val="008E0B1E"/>
    <w:rsid w:val="008E1130"/>
    <w:rsid w:val="008E2080"/>
    <w:rsid w:val="008E23B5"/>
    <w:rsid w:val="008E2C15"/>
    <w:rsid w:val="008E2C29"/>
    <w:rsid w:val="008E3168"/>
    <w:rsid w:val="008E3170"/>
    <w:rsid w:val="008E33EB"/>
    <w:rsid w:val="008E3533"/>
    <w:rsid w:val="008E3974"/>
    <w:rsid w:val="008E4365"/>
    <w:rsid w:val="008E44C5"/>
    <w:rsid w:val="008E4FB2"/>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890"/>
    <w:rsid w:val="00900D21"/>
    <w:rsid w:val="00900DC6"/>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04E"/>
    <w:rsid w:val="009274B8"/>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CE3"/>
    <w:rsid w:val="00947FA3"/>
    <w:rsid w:val="00950649"/>
    <w:rsid w:val="00950813"/>
    <w:rsid w:val="0095192B"/>
    <w:rsid w:val="0095240E"/>
    <w:rsid w:val="009526C6"/>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6E5"/>
    <w:rsid w:val="009619C2"/>
    <w:rsid w:val="00961EBB"/>
    <w:rsid w:val="00961FE2"/>
    <w:rsid w:val="00962597"/>
    <w:rsid w:val="0096288D"/>
    <w:rsid w:val="00962D9B"/>
    <w:rsid w:val="00963297"/>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2C89"/>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D64"/>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083"/>
    <w:rsid w:val="00992163"/>
    <w:rsid w:val="00992913"/>
    <w:rsid w:val="0099327E"/>
    <w:rsid w:val="00993E0F"/>
    <w:rsid w:val="009947EA"/>
    <w:rsid w:val="00994B6D"/>
    <w:rsid w:val="00995415"/>
    <w:rsid w:val="00995725"/>
    <w:rsid w:val="00995C7C"/>
    <w:rsid w:val="00995E47"/>
    <w:rsid w:val="00996BE5"/>
    <w:rsid w:val="00996F50"/>
    <w:rsid w:val="0099731F"/>
    <w:rsid w:val="009977BB"/>
    <w:rsid w:val="0099797E"/>
    <w:rsid w:val="00997D5F"/>
    <w:rsid w:val="009A0750"/>
    <w:rsid w:val="009A088F"/>
    <w:rsid w:val="009A0DF2"/>
    <w:rsid w:val="009A136D"/>
    <w:rsid w:val="009A1894"/>
    <w:rsid w:val="009A1AD5"/>
    <w:rsid w:val="009A2612"/>
    <w:rsid w:val="009A3568"/>
    <w:rsid w:val="009A3970"/>
    <w:rsid w:val="009A3C45"/>
    <w:rsid w:val="009A41BB"/>
    <w:rsid w:val="009A4651"/>
    <w:rsid w:val="009A49A2"/>
    <w:rsid w:val="009A4D02"/>
    <w:rsid w:val="009A59F3"/>
    <w:rsid w:val="009A5FD3"/>
    <w:rsid w:val="009A6D4C"/>
    <w:rsid w:val="009A7566"/>
    <w:rsid w:val="009A78E5"/>
    <w:rsid w:val="009A7E3C"/>
    <w:rsid w:val="009B0165"/>
    <w:rsid w:val="009B09B4"/>
    <w:rsid w:val="009B0B85"/>
    <w:rsid w:val="009B1475"/>
    <w:rsid w:val="009B15FC"/>
    <w:rsid w:val="009B17EC"/>
    <w:rsid w:val="009B23DD"/>
    <w:rsid w:val="009B27D6"/>
    <w:rsid w:val="009B2851"/>
    <w:rsid w:val="009B2DD8"/>
    <w:rsid w:val="009B34FE"/>
    <w:rsid w:val="009B3CD8"/>
    <w:rsid w:val="009B45EB"/>
    <w:rsid w:val="009B4B74"/>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E00F3"/>
    <w:rsid w:val="009E0166"/>
    <w:rsid w:val="009E01B6"/>
    <w:rsid w:val="009E0320"/>
    <w:rsid w:val="009E0472"/>
    <w:rsid w:val="009E04AB"/>
    <w:rsid w:val="009E083B"/>
    <w:rsid w:val="009E09BD"/>
    <w:rsid w:val="009E2636"/>
    <w:rsid w:val="009E27F4"/>
    <w:rsid w:val="009E3A1D"/>
    <w:rsid w:val="009E3FC1"/>
    <w:rsid w:val="009E4033"/>
    <w:rsid w:val="009E429A"/>
    <w:rsid w:val="009E42CF"/>
    <w:rsid w:val="009E43A5"/>
    <w:rsid w:val="009E449C"/>
    <w:rsid w:val="009E48F6"/>
    <w:rsid w:val="009E4C74"/>
    <w:rsid w:val="009E5BA5"/>
    <w:rsid w:val="009E5FE9"/>
    <w:rsid w:val="009E7D4E"/>
    <w:rsid w:val="009F02F9"/>
    <w:rsid w:val="009F11C2"/>
    <w:rsid w:val="009F1D9B"/>
    <w:rsid w:val="009F1DC3"/>
    <w:rsid w:val="009F1E72"/>
    <w:rsid w:val="009F1EB2"/>
    <w:rsid w:val="009F1F04"/>
    <w:rsid w:val="009F21BC"/>
    <w:rsid w:val="009F230A"/>
    <w:rsid w:val="009F24A0"/>
    <w:rsid w:val="009F255F"/>
    <w:rsid w:val="009F3232"/>
    <w:rsid w:val="009F4335"/>
    <w:rsid w:val="009F4336"/>
    <w:rsid w:val="009F4858"/>
    <w:rsid w:val="009F48F8"/>
    <w:rsid w:val="009F4942"/>
    <w:rsid w:val="009F53EC"/>
    <w:rsid w:val="009F5CFB"/>
    <w:rsid w:val="009F5E15"/>
    <w:rsid w:val="009F603A"/>
    <w:rsid w:val="009F6649"/>
    <w:rsid w:val="009F69AF"/>
    <w:rsid w:val="009F7216"/>
    <w:rsid w:val="009F7497"/>
    <w:rsid w:val="00A00386"/>
    <w:rsid w:val="00A00DD6"/>
    <w:rsid w:val="00A00E73"/>
    <w:rsid w:val="00A00EC3"/>
    <w:rsid w:val="00A00ED0"/>
    <w:rsid w:val="00A01008"/>
    <w:rsid w:val="00A0124B"/>
    <w:rsid w:val="00A020D5"/>
    <w:rsid w:val="00A023F2"/>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728D"/>
    <w:rsid w:val="00A074D5"/>
    <w:rsid w:val="00A075C4"/>
    <w:rsid w:val="00A1038F"/>
    <w:rsid w:val="00A10771"/>
    <w:rsid w:val="00A10D63"/>
    <w:rsid w:val="00A113E0"/>
    <w:rsid w:val="00A11471"/>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3E"/>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3037E"/>
    <w:rsid w:val="00A3069E"/>
    <w:rsid w:val="00A30942"/>
    <w:rsid w:val="00A30ADB"/>
    <w:rsid w:val="00A310A7"/>
    <w:rsid w:val="00A31110"/>
    <w:rsid w:val="00A31604"/>
    <w:rsid w:val="00A31873"/>
    <w:rsid w:val="00A31AD3"/>
    <w:rsid w:val="00A321A2"/>
    <w:rsid w:val="00A32716"/>
    <w:rsid w:val="00A32991"/>
    <w:rsid w:val="00A32BA8"/>
    <w:rsid w:val="00A33121"/>
    <w:rsid w:val="00A334FF"/>
    <w:rsid w:val="00A33B13"/>
    <w:rsid w:val="00A34CF3"/>
    <w:rsid w:val="00A35A04"/>
    <w:rsid w:val="00A364D0"/>
    <w:rsid w:val="00A364F4"/>
    <w:rsid w:val="00A36F93"/>
    <w:rsid w:val="00A36FC4"/>
    <w:rsid w:val="00A37501"/>
    <w:rsid w:val="00A37B3E"/>
    <w:rsid w:val="00A37CD7"/>
    <w:rsid w:val="00A40206"/>
    <w:rsid w:val="00A40958"/>
    <w:rsid w:val="00A40A6D"/>
    <w:rsid w:val="00A41D8A"/>
    <w:rsid w:val="00A4243D"/>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A24"/>
    <w:rsid w:val="00A50CEE"/>
    <w:rsid w:val="00A51202"/>
    <w:rsid w:val="00A51BFF"/>
    <w:rsid w:val="00A51D95"/>
    <w:rsid w:val="00A51E1F"/>
    <w:rsid w:val="00A520E1"/>
    <w:rsid w:val="00A5226F"/>
    <w:rsid w:val="00A52C37"/>
    <w:rsid w:val="00A52DD9"/>
    <w:rsid w:val="00A52ED7"/>
    <w:rsid w:val="00A542C8"/>
    <w:rsid w:val="00A54576"/>
    <w:rsid w:val="00A54856"/>
    <w:rsid w:val="00A55067"/>
    <w:rsid w:val="00A5554F"/>
    <w:rsid w:val="00A55902"/>
    <w:rsid w:val="00A55C0E"/>
    <w:rsid w:val="00A55CB5"/>
    <w:rsid w:val="00A55E46"/>
    <w:rsid w:val="00A55E59"/>
    <w:rsid w:val="00A55E60"/>
    <w:rsid w:val="00A55F00"/>
    <w:rsid w:val="00A5606A"/>
    <w:rsid w:val="00A56A0E"/>
    <w:rsid w:val="00A56DCF"/>
    <w:rsid w:val="00A573C8"/>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860"/>
    <w:rsid w:val="00A65A23"/>
    <w:rsid w:val="00A66AFB"/>
    <w:rsid w:val="00A66C74"/>
    <w:rsid w:val="00A6706C"/>
    <w:rsid w:val="00A6723E"/>
    <w:rsid w:val="00A6754A"/>
    <w:rsid w:val="00A67790"/>
    <w:rsid w:val="00A67F8B"/>
    <w:rsid w:val="00A70223"/>
    <w:rsid w:val="00A703D0"/>
    <w:rsid w:val="00A704FC"/>
    <w:rsid w:val="00A7098C"/>
    <w:rsid w:val="00A70A64"/>
    <w:rsid w:val="00A70A7B"/>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A8D"/>
    <w:rsid w:val="00A8003E"/>
    <w:rsid w:val="00A80C31"/>
    <w:rsid w:val="00A811A7"/>
    <w:rsid w:val="00A811E8"/>
    <w:rsid w:val="00A8167E"/>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3C76"/>
    <w:rsid w:val="00A86144"/>
    <w:rsid w:val="00A8696F"/>
    <w:rsid w:val="00A8711A"/>
    <w:rsid w:val="00A8769B"/>
    <w:rsid w:val="00A87954"/>
    <w:rsid w:val="00A903C8"/>
    <w:rsid w:val="00A91634"/>
    <w:rsid w:val="00A91C25"/>
    <w:rsid w:val="00A91D58"/>
    <w:rsid w:val="00A92368"/>
    <w:rsid w:val="00A924E5"/>
    <w:rsid w:val="00A92AC8"/>
    <w:rsid w:val="00A930F9"/>
    <w:rsid w:val="00A934EF"/>
    <w:rsid w:val="00A939C4"/>
    <w:rsid w:val="00A93B18"/>
    <w:rsid w:val="00A93EAF"/>
    <w:rsid w:val="00A94611"/>
    <w:rsid w:val="00A94D49"/>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9EE"/>
    <w:rsid w:val="00AA5A32"/>
    <w:rsid w:val="00AA5D49"/>
    <w:rsid w:val="00AA60C3"/>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4143"/>
    <w:rsid w:val="00AB488E"/>
    <w:rsid w:val="00AB4A58"/>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F74"/>
    <w:rsid w:val="00AD40A6"/>
    <w:rsid w:val="00AD417C"/>
    <w:rsid w:val="00AD432D"/>
    <w:rsid w:val="00AD4BB3"/>
    <w:rsid w:val="00AD4DB0"/>
    <w:rsid w:val="00AD4F75"/>
    <w:rsid w:val="00AD5421"/>
    <w:rsid w:val="00AD550E"/>
    <w:rsid w:val="00AD555B"/>
    <w:rsid w:val="00AD5792"/>
    <w:rsid w:val="00AD57F3"/>
    <w:rsid w:val="00AD584B"/>
    <w:rsid w:val="00AD5CDE"/>
    <w:rsid w:val="00AD685D"/>
    <w:rsid w:val="00AD693F"/>
    <w:rsid w:val="00AD6FD8"/>
    <w:rsid w:val="00AD79D7"/>
    <w:rsid w:val="00AE0170"/>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37"/>
    <w:rsid w:val="00AE6F9E"/>
    <w:rsid w:val="00AE734B"/>
    <w:rsid w:val="00AE7DB5"/>
    <w:rsid w:val="00AF025E"/>
    <w:rsid w:val="00AF04E3"/>
    <w:rsid w:val="00AF0715"/>
    <w:rsid w:val="00AF08A0"/>
    <w:rsid w:val="00AF0D0A"/>
    <w:rsid w:val="00AF0F7D"/>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64"/>
    <w:rsid w:val="00AF7A7E"/>
    <w:rsid w:val="00B01117"/>
    <w:rsid w:val="00B0155E"/>
    <w:rsid w:val="00B01816"/>
    <w:rsid w:val="00B01C49"/>
    <w:rsid w:val="00B01F88"/>
    <w:rsid w:val="00B0213A"/>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A23"/>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183"/>
    <w:rsid w:val="00B37AE1"/>
    <w:rsid w:val="00B37E7C"/>
    <w:rsid w:val="00B404D2"/>
    <w:rsid w:val="00B409AF"/>
    <w:rsid w:val="00B40A11"/>
    <w:rsid w:val="00B41245"/>
    <w:rsid w:val="00B413BD"/>
    <w:rsid w:val="00B42678"/>
    <w:rsid w:val="00B432A5"/>
    <w:rsid w:val="00B43829"/>
    <w:rsid w:val="00B43838"/>
    <w:rsid w:val="00B43D9B"/>
    <w:rsid w:val="00B44AAB"/>
    <w:rsid w:val="00B44B1D"/>
    <w:rsid w:val="00B45087"/>
    <w:rsid w:val="00B45FDD"/>
    <w:rsid w:val="00B46047"/>
    <w:rsid w:val="00B46FD8"/>
    <w:rsid w:val="00B47307"/>
    <w:rsid w:val="00B4741F"/>
    <w:rsid w:val="00B47A0E"/>
    <w:rsid w:val="00B50264"/>
    <w:rsid w:val="00B502ED"/>
    <w:rsid w:val="00B503C1"/>
    <w:rsid w:val="00B50940"/>
    <w:rsid w:val="00B509FF"/>
    <w:rsid w:val="00B5194E"/>
    <w:rsid w:val="00B5226E"/>
    <w:rsid w:val="00B522E5"/>
    <w:rsid w:val="00B52D67"/>
    <w:rsid w:val="00B52F24"/>
    <w:rsid w:val="00B52F64"/>
    <w:rsid w:val="00B53267"/>
    <w:rsid w:val="00B53781"/>
    <w:rsid w:val="00B53BCD"/>
    <w:rsid w:val="00B53DBF"/>
    <w:rsid w:val="00B545FA"/>
    <w:rsid w:val="00B5471A"/>
    <w:rsid w:val="00B547C3"/>
    <w:rsid w:val="00B54954"/>
    <w:rsid w:val="00B555E9"/>
    <w:rsid w:val="00B55CE7"/>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F9D"/>
    <w:rsid w:val="00B65590"/>
    <w:rsid w:val="00B6564D"/>
    <w:rsid w:val="00B65A51"/>
    <w:rsid w:val="00B65AC5"/>
    <w:rsid w:val="00B65BD4"/>
    <w:rsid w:val="00B66170"/>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AE9"/>
    <w:rsid w:val="00B84406"/>
    <w:rsid w:val="00B84464"/>
    <w:rsid w:val="00B8490A"/>
    <w:rsid w:val="00B84AB6"/>
    <w:rsid w:val="00B84DBA"/>
    <w:rsid w:val="00B852B5"/>
    <w:rsid w:val="00B856EA"/>
    <w:rsid w:val="00B8613F"/>
    <w:rsid w:val="00B8623B"/>
    <w:rsid w:val="00B86269"/>
    <w:rsid w:val="00B872BE"/>
    <w:rsid w:val="00B877AA"/>
    <w:rsid w:val="00B905F0"/>
    <w:rsid w:val="00B90722"/>
    <w:rsid w:val="00B908C4"/>
    <w:rsid w:val="00B90B7A"/>
    <w:rsid w:val="00B9125A"/>
    <w:rsid w:val="00B91851"/>
    <w:rsid w:val="00B91A7E"/>
    <w:rsid w:val="00B92511"/>
    <w:rsid w:val="00B9251B"/>
    <w:rsid w:val="00B92633"/>
    <w:rsid w:val="00B92846"/>
    <w:rsid w:val="00B929C2"/>
    <w:rsid w:val="00B92B00"/>
    <w:rsid w:val="00B92BD1"/>
    <w:rsid w:val="00B93286"/>
    <w:rsid w:val="00B934CD"/>
    <w:rsid w:val="00B935A4"/>
    <w:rsid w:val="00B93D6F"/>
    <w:rsid w:val="00B93E60"/>
    <w:rsid w:val="00B94097"/>
    <w:rsid w:val="00B94414"/>
    <w:rsid w:val="00B944C8"/>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F15"/>
    <w:rsid w:val="00BA45E0"/>
    <w:rsid w:val="00BA48BB"/>
    <w:rsid w:val="00BA4A39"/>
    <w:rsid w:val="00BA4C43"/>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59"/>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9E2"/>
    <w:rsid w:val="00BC1C0E"/>
    <w:rsid w:val="00BC1EBE"/>
    <w:rsid w:val="00BC2785"/>
    <w:rsid w:val="00BC2D4A"/>
    <w:rsid w:val="00BC2E2D"/>
    <w:rsid w:val="00BC3200"/>
    <w:rsid w:val="00BC3BE4"/>
    <w:rsid w:val="00BC4194"/>
    <w:rsid w:val="00BC4326"/>
    <w:rsid w:val="00BC4EA8"/>
    <w:rsid w:val="00BC4F08"/>
    <w:rsid w:val="00BC56BA"/>
    <w:rsid w:val="00BC5B9A"/>
    <w:rsid w:val="00BC5DC7"/>
    <w:rsid w:val="00BC61A9"/>
    <w:rsid w:val="00BC67BF"/>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4E07"/>
    <w:rsid w:val="00BD5377"/>
    <w:rsid w:val="00BD54ED"/>
    <w:rsid w:val="00BD5737"/>
    <w:rsid w:val="00BD5AF5"/>
    <w:rsid w:val="00BD5C2D"/>
    <w:rsid w:val="00BD5E82"/>
    <w:rsid w:val="00BD69EA"/>
    <w:rsid w:val="00BD6C06"/>
    <w:rsid w:val="00BD735E"/>
    <w:rsid w:val="00BD74BF"/>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383"/>
    <w:rsid w:val="00BF5485"/>
    <w:rsid w:val="00BF5B41"/>
    <w:rsid w:val="00BF5E43"/>
    <w:rsid w:val="00BF69EA"/>
    <w:rsid w:val="00BF6D33"/>
    <w:rsid w:val="00BF7883"/>
    <w:rsid w:val="00C00976"/>
    <w:rsid w:val="00C00F79"/>
    <w:rsid w:val="00C0104F"/>
    <w:rsid w:val="00C01B14"/>
    <w:rsid w:val="00C021AE"/>
    <w:rsid w:val="00C02203"/>
    <w:rsid w:val="00C02651"/>
    <w:rsid w:val="00C02A72"/>
    <w:rsid w:val="00C036B6"/>
    <w:rsid w:val="00C045BD"/>
    <w:rsid w:val="00C04709"/>
    <w:rsid w:val="00C04A67"/>
    <w:rsid w:val="00C04A88"/>
    <w:rsid w:val="00C04F26"/>
    <w:rsid w:val="00C0511F"/>
    <w:rsid w:val="00C05D7B"/>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7FA"/>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7668"/>
    <w:rsid w:val="00C278D5"/>
    <w:rsid w:val="00C279C2"/>
    <w:rsid w:val="00C27DD1"/>
    <w:rsid w:val="00C27F21"/>
    <w:rsid w:val="00C30499"/>
    <w:rsid w:val="00C31031"/>
    <w:rsid w:val="00C3136B"/>
    <w:rsid w:val="00C316CA"/>
    <w:rsid w:val="00C31D51"/>
    <w:rsid w:val="00C3226D"/>
    <w:rsid w:val="00C322C4"/>
    <w:rsid w:val="00C32323"/>
    <w:rsid w:val="00C329AC"/>
    <w:rsid w:val="00C332D0"/>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16EA"/>
    <w:rsid w:val="00C41907"/>
    <w:rsid w:val="00C42754"/>
    <w:rsid w:val="00C427B7"/>
    <w:rsid w:val="00C42CFD"/>
    <w:rsid w:val="00C42FFC"/>
    <w:rsid w:val="00C4302C"/>
    <w:rsid w:val="00C432F5"/>
    <w:rsid w:val="00C43598"/>
    <w:rsid w:val="00C44DCA"/>
    <w:rsid w:val="00C45891"/>
    <w:rsid w:val="00C46B4E"/>
    <w:rsid w:val="00C4707E"/>
    <w:rsid w:val="00C47419"/>
    <w:rsid w:val="00C50C84"/>
    <w:rsid w:val="00C50D18"/>
    <w:rsid w:val="00C517EC"/>
    <w:rsid w:val="00C51949"/>
    <w:rsid w:val="00C51D53"/>
    <w:rsid w:val="00C52110"/>
    <w:rsid w:val="00C524A8"/>
    <w:rsid w:val="00C52ABA"/>
    <w:rsid w:val="00C52CCA"/>
    <w:rsid w:val="00C53F79"/>
    <w:rsid w:val="00C541D2"/>
    <w:rsid w:val="00C542DD"/>
    <w:rsid w:val="00C545CB"/>
    <w:rsid w:val="00C54616"/>
    <w:rsid w:val="00C546CB"/>
    <w:rsid w:val="00C5497A"/>
    <w:rsid w:val="00C54A27"/>
    <w:rsid w:val="00C54BE1"/>
    <w:rsid w:val="00C5555C"/>
    <w:rsid w:val="00C55E50"/>
    <w:rsid w:val="00C56370"/>
    <w:rsid w:val="00C57176"/>
    <w:rsid w:val="00C571F6"/>
    <w:rsid w:val="00C57239"/>
    <w:rsid w:val="00C5751B"/>
    <w:rsid w:val="00C6045C"/>
    <w:rsid w:val="00C60AA5"/>
    <w:rsid w:val="00C60DE1"/>
    <w:rsid w:val="00C61041"/>
    <w:rsid w:val="00C6124F"/>
    <w:rsid w:val="00C61595"/>
    <w:rsid w:val="00C615C8"/>
    <w:rsid w:val="00C61B32"/>
    <w:rsid w:val="00C61FEA"/>
    <w:rsid w:val="00C62240"/>
    <w:rsid w:val="00C6255C"/>
    <w:rsid w:val="00C63F1C"/>
    <w:rsid w:val="00C63FEE"/>
    <w:rsid w:val="00C64668"/>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7F9"/>
    <w:rsid w:val="00C908F3"/>
    <w:rsid w:val="00C90A9A"/>
    <w:rsid w:val="00C90BBD"/>
    <w:rsid w:val="00C90F7E"/>
    <w:rsid w:val="00C910F6"/>
    <w:rsid w:val="00C915C9"/>
    <w:rsid w:val="00C917DF"/>
    <w:rsid w:val="00C91BF4"/>
    <w:rsid w:val="00C91C84"/>
    <w:rsid w:val="00C91EA3"/>
    <w:rsid w:val="00C9278A"/>
    <w:rsid w:val="00C93479"/>
    <w:rsid w:val="00C93E4C"/>
    <w:rsid w:val="00C94DC8"/>
    <w:rsid w:val="00C94E77"/>
    <w:rsid w:val="00C95B50"/>
    <w:rsid w:val="00C96481"/>
    <w:rsid w:val="00C97032"/>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32A"/>
    <w:rsid w:val="00CA5709"/>
    <w:rsid w:val="00CA5791"/>
    <w:rsid w:val="00CA5CF5"/>
    <w:rsid w:val="00CA6A11"/>
    <w:rsid w:val="00CA6E50"/>
    <w:rsid w:val="00CA744E"/>
    <w:rsid w:val="00CA7707"/>
    <w:rsid w:val="00CA7AC9"/>
    <w:rsid w:val="00CA7D6C"/>
    <w:rsid w:val="00CA7DB9"/>
    <w:rsid w:val="00CB0D96"/>
    <w:rsid w:val="00CB0F18"/>
    <w:rsid w:val="00CB1732"/>
    <w:rsid w:val="00CB1952"/>
    <w:rsid w:val="00CB19AB"/>
    <w:rsid w:val="00CB1ABD"/>
    <w:rsid w:val="00CB1E40"/>
    <w:rsid w:val="00CB2910"/>
    <w:rsid w:val="00CB2AC8"/>
    <w:rsid w:val="00CB31FF"/>
    <w:rsid w:val="00CB32F7"/>
    <w:rsid w:val="00CB3579"/>
    <w:rsid w:val="00CB3DB0"/>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4D71"/>
    <w:rsid w:val="00CC592B"/>
    <w:rsid w:val="00CC59BC"/>
    <w:rsid w:val="00CC6037"/>
    <w:rsid w:val="00CC63D5"/>
    <w:rsid w:val="00CC6970"/>
    <w:rsid w:val="00CC6A47"/>
    <w:rsid w:val="00CC6EE1"/>
    <w:rsid w:val="00CC72C8"/>
    <w:rsid w:val="00CC7661"/>
    <w:rsid w:val="00CD0B68"/>
    <w:rsid w:val="00CD0C1B"/>
    <w:rsid w:val="00CD0EF0"/>
    <w:rsid w:val="00CD1562"/>
    <w:rsid w:val="00CD246E"/>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AA7"/>
    <w:rsid w:val="00CE3B4C"/>
    <w:rsid w:val="00CE5102"/>
    <w:rsid w:val="00CE555B"/>
    <w:rsid w:val="00CE59DF"/>
    <w:rsid w:val="00CE5EC2"/>
    <w:rsid w:val="00CE6443"/>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3F3"/>
    <w:rsid w:val="00CF4485"/>
    <w:rsid w:val="00CF46FD"/>
    <w:rsid w:val="00CF4BAE"/>
    <w:rsid w:val="00CF4C82"/>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D21"/>
    <w:rsid w:val="00D01F72"/>
    <w:rsid w:val="00D02121"/>
    <w:rsid w:val="00D024CC"/>
    <w:rsid w:val="00D03248"/>
    <w:rsid w:val="00D03913"/>
    <w:rsid w:val="00D03A4A"/>
    <w:rsid w:val="00D03F71"/>
    <w:rsid w:val="00D046FE"/>
    <w:rsid w:val="00D04CE7"/>
    <w:rsid w:val="00D05121"/>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917"/>
    <w:rsid w:val="00D53E2D"/>
    <w:rsid w:val="00D53EE0"/>
    <w:rsid w:val="00D5416E"/>
    <w:rsid w:val="00D54194"/>
    <w:rsid w:val="00D54497"/>
    <w:rsid w:val="00D548D5"/>
    <w:rsid w:val="00D54924"/>
    <w:rsid w:val="00D54BAD"/>
    <w:rsid w:val="00D54E77"/>
    <w:rsid w:val="00D5501D"/>
    <w:rsid w:val="00D550E6"/>
    <w:rsid w:val="00D55858"/>
    <w:rsid w:val="00D55AD6"/>
    <w:rsid w:val="00D5648A"/>
    <w:rsid w:val="00D56625"/>
    <w:rsid w:val="00D5689B"/>
    <w:rsid w:val="00D56B30"/>
    <w:rsid w:val="00D60342"/>
    <w:rsid w:val="00D603DC"/>
    <w:rsid w:val="00D6068C"/>
    <w:rsid w:val="00D60E23"/>
    <w:rsid w:val="00D61BD8"/>
    <w:rsid w:val="00D62203"/>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287"/>
    <w:rsid w:val="00D7361F"/>
    <w:rsid w:val="00D73D1E"/>
    <w:rsid w:val="00D744C7"/>
    <w:rsid w:val="00D747FE"/>
    <w:rsid w:val="00D74903"/>
    <w:rsid w:val="00D74AC4"/>
    <w:rsid w:val="00D750FB"/>
    <w:rsid w:val="00D75151"/>
    <w:rsid w:val="00D75B84"/>
    <w:rsid w:val="00D765D0"/>
    <w:rsid w:val="00D77839"/>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323C"/>
    <w:rsid w:val="00D93303"/>
    <w:rsid w:val="00D93592"/>
    <w:rsid w:val="00D93A6E"/>
    <w:rsid w:val="00D9422C"/>
    <w:rsid w:val="00D9485A"/>
    <w:rsid w:val="00D9497B"/>
    <w:rsid w:val="00D94C42"/>
    <w:rsid w:val="00D95116"/>
    <w:rsid w:val="00D95406"/>
    <w:rsid w:val="00D95770"/>
    <w:rsid w:val="00D95EAB"/>
    <w:rsid w:val="00D963B6"/>
    <w:rsid w:val="00D96830"/>
    <w:rsid w:val="00D97318"/>
    <w:rsid w:val="00D97937"/>
    <w:rsid w:val="00D97A7A"/>
    <w:rsid w:val="00DA0407"/>
    <w:rsid w:val="00DA0610"/>
    <w:rsid w:val="00DA06EA"/>
    <w:rsid w:val="00DA0CFF"/>
    <w:rsid w:val="00DA0EA4"/>
    <w:rsid w:val="00DA0EF4"/>
    <w:rsid w:val="00DA14F9"/>
    <w:rsid w:val="00DA193B"/>
    <w:rsid w:val="00DA1C8A"/>
    <w:rsid w:val="00DA1DEA"/>
    <w:rsid w:val="00DA20E9"/>
    <w:rsid w:val="00DA23F0"/>
    <w:rsid w:val="00DA2517"/>
    <w:rsid w:val="00DA273A"/>
    <w:rsid w:val="00DA27E7"/>
    <w:rsid w:val="00DA2CEC"/>
    <w:rsid w:val="00DA2D44"/>
    <w:rsid w:val="00DA2DDF"/>
    <w:rsid w:val="00DA3137"/>
    <w:rsid w:val="00DA3528"/>
    <w:rsid w:val="00DA3618"/>
    <w:rsid w:val="00DA3629"/>
    <w:rsid w:val="00DA3790"/>
    <w:rsid w:val="00DA37BB"/>
    <w:rsid w:val="00DA3C58"/>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8D8"/>
    <w:rsid w:val="00DB3907"/>
    <w:rsid w:val="00DB3AB4"/>
    <w:rsid w:val="00DB3C88"/>
    <w:rsid w:val="00DB4398"/>
    <w:rsid w:val="00DB4A6E"/>
    <w:rsid w:val="00DB50B1"/>
    <w:rsid w:val="00DB578C"/>
    <w:rsid w:val="00DB5D67"/>
    <w:rsid w:val="00DB5FA3"/>
    <w:rsid w:val="00DB6647"/>
    <w:rsid w:val="00DB66CE"/>
    <w:rsid w:val="00DB6832"/>
    <w:rsid w:val="00DB6906"/>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670"/>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17F"/>
    <w:rsid w:val="00E00BE1"/>
    <w:rsid w:val="00E00CFE"/>
    <w:rsid w:val="00E00EDA"/>
    <w:rsid w:val="00E01B92"/>
    <w:rsid w:val="00E01D73"/>
    <w:rsid w:val="00E02049"/>
    <w:rsid w:val="00E029F1"/>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33E"/>
    <w:rsid w:val="00E075F2"/>
    <w:rsid w:val="00E07D4F"/>
    <w:rsid w:val="00E07E56"/>
    <w:rsid w:val="00E104E8"/>
    <w:rsid w:val="00E10636"/>
    <w:rsid w:val="00E10A17"/>
    <w:rsid w:val="00E111DD"/>
    <w:rsid w:val="00E11966"/>
    <w:rsid w:val="00E11AC1"/>
    <w:rsid w:val="00E12206"/>
    <w:rsid w:val="00E1253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8B5"/>
    <w:rsid w:val="00E20949"/>
    <w:rsid w:val="00E20E50"/>
    <w:rsid w:val="00E2122D"/>
    <w:rsid w:val="00E214D1"/>
    <w:rsid w:val="00E2249B"/>
    <w:rsid w:val="00E2343F"/>
    <w:rsid w:val="00E2357F"/>
    <w:rsid w:val="00E23813"/>
    <w:rsid w:val="00E243CE"/>
    <w:rsid w:val="00E246DB"/>
    <w:rsid w:val="00E24908"/>
    <w:rsid w:val="00E24A42"/>
    <w:rsid w:val="00E25241"/>
    <w:rsid w:val="00E26647"/>
    <w:rsid w:val="00E26A6F"/>
    <w:rsid w:val="00E26B6B"/>
    <w:rsid w:val="00E26BEC"/>
    <w:rsid w:val="00E27272"/>
    <w:rsid w:val="00E2797A"/>
    <w:rsid w:val="00E30460"/>
    <w:rsid w:val="00E30549"/>
    <w:rsid w:val="00E31E1A"/>
    <w:rsid w:val="00E31F40"/>
    <w:rsid w:val="00E32A79"/>
    <w:rsid w:val="00E32B14"/>
    <w:rsid w:val="00E33A1F"/>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4E8"/>
    <w:rsid w:val="00E5057C"/>
    <w:rsid w:val="00E50A76"/>
    <w:rsid w:val="00E50C8F"/>
    <w:rsid w:val="00E50CF3"/>
    <w:rsid w:val="00E50D0D"/>
    <w:rsid w:val="00E510AA"/>
    <w:rsid w:val="00E517C8"/>
    <w:rsid w:val="00E51ADE"/>
    <w:rsid w:val="00E52700"/>
    <w:rsid w:val="00E52969"/>
    <w:rsid w:val="00E52ADA"/>
    <w:rsid w:val="00E52C8B"/>
    <w:rsid w:val="00E53145"/>
    <w:rsid w:val="00E53C5E"/>
    <w:rsid w:val="00E53EAD"/>
    <w:rsid w:val="00E5408D"/>
    <w:rsid w:val="00E5423F"/>
    <w:rsid w:val="00E5436C"/>
    <w:rsid w:val="00E5448C"/>
    <w:rsid w:val="00E545B7"/>
    <w:rsid w:val="00E5470D"/>
    <w:rsid w:val="00E549A0"/>
    <w:rsid w:val="00E54D84"/>
    <w:rsid w:val="00E55033"/>
    <w:rsid w:val="00E55073"/>
    <w:rsid w:val="00E5537B"/>
    <w:rsid w:val="00E564FD"/>
    <w:rsid w:val="00E57073"/>
    <w:rsid w:val="00E57118"/>
    <w:rsid w:val="00E57238"/>
    <w:rsid w:val="00E5745E"/>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82E"/>
    <w:rsid w:val="00E70B1B"/>
    <w:rsid w:val="00E70E9E"/>
    <w:rsid w:val="00E70EE9"/>
    <w:rsid w:val="00E71805"/>
    <w:rsid w:val="00E7237C"/>
    <w:rsid w:val="00E723C2"/>
    <w:rsid w:val="00E72461"/>
    <w:rsid w:val="00E728CA"/>
    <w:rsid w:val="00E72C3C"/>
    <w:rsid w:val="00E737E2"/>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20F"/>
    <w:rsid w:val="00EA733C"/>
    <w:rsid w:val="00EA769D"/>
    <w:rsid w:val="00EB0532"/>
    <w:rsid w:val="00EB073A"/>
    <w:rsid w:val="00EB095E"/>
    <w:rsid w:val="00EB1075"/>
    <w:rsid w:val="00EB15A9"/>
    <w:rsid w:val="00EB1A5A"/>
    <w:rsid w:val="00EB1B3C"/>
    <w:rsid w:val="00EB1FB6"/>
    <w:rsid w:val="00EB21F4"/>
    <w:rsid w:val="00EB2235"/>
    <w:rsid w:val="00EB24B0"/>
    <w:rsid w:val="00EB2E06"/>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DAF"/>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299C"/>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E9F"/>
    <w:rsid w:val="00ED62ED"/>
    <w:rsid w:val="00ED67BD"/>
    <w:rsid w:val="00ED7017"/>
    <w:rsid w:val="00ED7E30"/>
    <w:rsid w:val="00EE0027"/>
    <w:rsid w:val="00EE018B"/>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93C"/>
    <w:rsid w:val="00EE4BC1"/>
    <w:rsid w:val="00EE5452"/>
    <w:rsid w:val="00EE5EAF"/>
    <w:rsid w:val="00EE60F4"/>
    <w:rsid w:val="00EE676F"/>
    <w:rsid w:val="00EE6981"/>
    <w:rsid w:val="00EE78ED"/>
    <w:rsid w:val="00EE7A2E"/>
    <w:rsid w:val="00EF155D"/>
    <w:rsid w:val="00EF1D9C"/>
    <w:rsid w:val="00EF261A"/>
    <w:rsid w:val="00EF2E5C"/>
    <w:rsid w:val="00EF33ED"/>
    <w:rsid w:val="00EF366C"/>
    <w:rsid w:val="00EF3C83"/>
    <w:rsid w:val="00EF40A5"/>
    <w:rsid w:val="00EF4798"/>
    <w:rsid w:val="00EF47D6"/>
    <w:rsid w:val="00EF4E5C"/>
    <w:rsid w:val="00EF5243"/>
    <w:rsid w:val="00EF5F75"/>
    <w:rsid w:val="00EF61F8"/>
    <w:rsid w:val="00EF638A"/>
    <w:rsid w:val="00EF6714"/>
    <w:rsid w:val="00EF6B9A"/>
    <w:rsid w:val="00EF6E13"/>
    <w:rsid w:val="00EF70C6"/>
    <w:rsid w:val="00EF738A"/>
    <w:rsid w:val="00EF74F9"/>
    <w:rsid w:val="00EF7B20"/>
    <w:rsid w:val="00EF7C60"/>
    <w:rsid w:val="00F002E7"/>
    <w:rsid w:val="00F00AED"/>
    <w:rsid w:val="00F00C6A"/>
    <w:rsid w:val="00F00CB7"/>
    <w:rsid w:val="00F00F67"/>
    <w:rsid w:val="00F01AFB"/>
    <w:rsid w:val="00F01E60"/>
    <w:rsid w:val="00F023E8"/>
    <w:rsid w:val="00F02502"/>
    <w:rsid w:val="00F02647"/>
    <w:rsid w:val="00F02956"/>
    <w:rsid w:val="00F03822"/>
    <w:rsid w:val="00F03B3A"/>
    <w:rsid w:val="00F03D2F"/>
    <w:rsid w:val="00F03E56"/>
    <w:rsid w:val="00F0445C"/>
    <w:rsid w:val="00F044B5"/>
    <w:rsid w:val="00F04846"/>
    <w:rsid w:val="00F04D2A"/>
    <w:rsid w:val="00F0573E"/>
    <w:rsid w:val="00F0574F"/>
    <w:rsid w:val="00F05D3A"/>
    <w:rsid w:val="00F05F8A"/>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D0E"/>
    <w:rsid w:val="00F11D7F"/>
    <w:rsid w:val="00F12617"/>
    <w:rsid w:val="00F12E37"/>
    <w:rsid w:val="00F12FCC"/>
    <w:rsid w:val="00F1313D"/>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2B7"/>
    <w:rsid w:val="00F177E3"/>
    <w:rsid w:val="00F17DAF"/>
    <w:rsid w:val="00F200B2"/>
    <w:rsid w:val="00F200CD"/>
    <w:rsid w:val="00F20ADB"/>
    <w:rsid w:val="00F20C2B"/>
    <w:rsid w:val="00F21135"/>
    <w:rsid w:val="00F221CA"/>
    <w:rsid w:val="00F22542"/>
    <w:rsid w:val="00F22A04"/>
    <w:rsid w:val="00F22EF8"/>
    <w:rsid w:val="00F2337F"/>
    <w:rsid w:val="00F23424"/>
    <w:rsid w:val="00F23A38"/>
    <w:rsid w:val="00F23A3A"/>
    <w:rsid w:val="00F23EC5"/>
    <w:rsid w:val="00F23F7C"/>
    <w:rsid w:val="00F247E6"/>
    <w:rsid w:val="00F249BF"/>
    <w:rsid w:val="00F25505"/>
    <w:rsid w:val="00F2593C"/>
    <w:rsid w:val="00F25A97"/>
    <w:rsid w:val="00F25D7C"/>
    <w:rsid w:val="00F25E63"/>
    <w:rsid w:val="00F265D0"/>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F53"/>
    <w:rsid w:val="00F33F69"/>
    <w:rsid w:val="00F34451"/>
    <w:rsid w:val="00F34581"/>
    <w:rsid w:val="00F345D2"/>
    <w:rsid w:val="00F349CB"/>
    <w:rsid w:val="00F34A38"/>
    <w:rsid w:val="00F354C9"/>
    <w:rsid w:val="00F35682"/>
    <w:rsid w:val="00F3597D"/>
    <w:rsid w:val="00F35C8F"/>
    <w:rsid w:val="00F368B6"/>
    <w:rsid w:val="00F36A11"/>
    <w:rsid w:val="00F36C90"/>
    <w:rsid w:val="00F36D83"/>
    <w:rsid w:val="00F3756B"/>
    <w:rsid w:val="00F375E7"/>
    <w:rsid w:val="00F37A2C"/>
    <w:rsid w:val="00F4013A"/>
    <w:rsid w:val="00F4035D"/>
    <w:rsid w:val="00F40694"/>
    <w:rsid w:val="00F40EB4"/>
    <w:rsid w:val="00F4288E"/>
    <w:rsid w:val="00F42BC0"/>
    <w:rsid w:val="00F434D7"/>
    <w:rsid w:val="00F437E7"/>
    <w:rsid w:val="00F43ADD"/>
    <w:rsid w:val="00F44A09"/>
    <w:rsid w:val="00F453EE"/>
    <w:rsid w:val="00F45965"/>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1A5"/>
    <w:rsid w:val="00F5334D"/>
    <w:rsid w:val="00F536C3"/>
    <w:rsid w:val="00F53A5A"/>
    <w:rsid w:val="00F53BC0"/>
    <w:rsid w:val="00F54746"/>
    <w:rsid w:val="00F54BB1"/>
    <w:rsid w:val="00F550AE"/>
    <w:rsid w:val="00F553CD"/>
    <w:rsid w:val="00F55594"/>
    <w:rsid w:val="00F5582D"/>
    <w:rsid w:val="00F55F6C"/>
    <w:rsid w:val="00F56082"/>
    <w:rsid w:val="00F56228"/>
    <w:rsid w:val="00F57051"/>
    <w:rsid w:val="00F574CA"/>
    <w:rsid w:val="00F577C7"/>
    <w:rsid w:val="00F57804"/>
    <w:rsid w:val="00F57822"/>
    <w:rsid w:val="00F60331"/>
    <w:rsid w:val="00F609D9"/>
    <w:rsid w:val="00F60A94"/>
    <w:rsid w:val="00F6167A"/>
    <w:rsid w:val="00F61733"/>
    <w:rsid w:val="00F6225F"/>
    <w:rsid w:val="00F622F3"/>
    <w:rsid w:val="00F6274A"/>
    <w:rsid w:val="00F62B53"/>
    <w:rsid w:val="00F62CBF"/>
    <w:rsid w:val="00F64213"/>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23BD"/>
    <w:rsid w:val="00F826CA"/>
    <w:rsid w:val="00F82C66"/>
    <w:rsid w:val="00F8374B"/>
    <w:rsid w:val="00F83960"/>
    <w:rsid w:val="00F83DDB"/>
    <w:rsid w:val="00F84499"/>
    <w:rsid w:val="00F84965"/>
    <w:rsid w:val="00F84A25"/>
    <w:rsid w:val="00F85299"/>
    <w:rsid w:val="00F85976"/>
    <w:rsid w:val="00F859E5"/>
    <w:rsid w:val="00F85BD6"/>
    <w:rsid w:val="00F868BA"/>
    <w:rsid w:val="00F869B6"/>
    <w:rsid w:val="00F86A43"/>
    <w:rsid w:val="00F86CE6"/>
    <w:rsid w:val="00F86F42"/>
    <w:rsid w:val="00F876A0"/>
    <w:rsid w:val="00F87783"/>
    <w:rsid w:val="00F87AFE"/>
    <w:rsid w:val="00F87FD8"/>
    <w:rsid w:val="00F904F8"/>
    <w:rsid w:val="00F90515"/>
    <w:rsid w:val="00F919B9"/>
    <w:rsid w:val="00F91B89"/>
    <w:rsid w:val="00F92025"/>
    <w:rsid w:val="00F925F8"/>
    <w:rsid w:val="00F928DB"/>
    <w:rsid w:val="00F9332F"/>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75B5"/>
    <w:rsid w:val="00FB7E90"/>
    <w:rsid w:val="00FB7EBB"/>
    <w:rsid w:val="00FC0685"/>
    <w:rsid w:val="00FC069F"/>
    <w:rsid w:val="00FC100C"/>
    <w:rsid w:val="00FC10D3"/>
    <w:rsid w:val="00FC13BC"/>
    <w:rsid w:val="00FC15AC"/>
    <w:rsid w:val="00FC1614"/>
    <w:rsid w:val="00FC1696"/>
    <w:rsid w:val="00FC183B"/>
    <w:rsid w:val="00FC1848"/>
    <w:rsid w:val="00FC2417"/>
    <w:rsid w:val="00FC2762"/>
    <w:rsid w:val="00FC31A5"/>
    <w:rsid w:val="00FC47D3"/>
    <w:rsid w:val="00FC502D"/>
    <w:rsid w:val="00FC50C6"/>
    <w:rsid w:val="00FC591A"/>
    <w:rsid w:val="00FC5AA5"/>
    <w:rsid w:val="00FC6066"/>
    <w:rsid w:val="00FC6354"/>
    <w:rsid w:val="00FC692F"/>
    <w:rsid w:val="00FC6995"/>
    <w:rsid w:val="00FC6C81"/>
    <w:rsid w:val="00FC6E11"/>
    <w:rsid w:val="00FC7B5D"/>
    <w:rsid w:val="00FC7EE0"/>
    <w:rsid w:val="00FD09D0"/>
    <w:rsid w:val="00FD0AAD"/>
    <w:rsid w:val="00FD0D8C"/>
    <w:rsid w:val="00FD1000"/>
    <w:rsid w:val="00FD1524"/>
    <w:rsid w:val="00FD1527"/>
    <w:rsid w:val="00FD155D"/>
    <w:rsid w:val="00FD1F75"/>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122E"/>
    <w:rsid w:val="00FE130E"/>
    <w:rsid w:val="00FE1714"/>
    <w:rsid w:val="00FE18B2"/>
    <w:rsid w:val="00FE1F88"/>
    <w:rsid w:val="00FE2458"/>
    <w:rsid w:val="00FE26B0"/>
    <w:rsid w:val="00FE28F2"/>
    <w:rsid w:val="00FE2DB8"/>
    <w:rsid w:val="00FE2E74"/>
    <w:rsid w:val="00FE2E7B"/>
    <w:rsid w:val="00FE2FB8"/>
    <w:rsid w:val="00FE3499"/>
    <w:rsid w:val="00FE40E7"/>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2C40"/>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2</Pages>
  <Words>1021</Words>
  <Characters>5825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2022-11-07T21:43:00Z</dcterms:created>
  <dcterms:modified xsi:type="dcterms:W3CDTF">2022-11-07T21:43:00Z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