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35905" w14:textId="6990F412" w:rsidR="00F54ED3" w:rsidRPr="00DB3907" w:rsidRDefault="00F54ED3" w:rsidP="00F54ED3">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#105</w:t>
      </w:r>
      <w:r w:rsidRPr="00DB3907">
        <w:rPr>
          <w:rFonts w:cs="Arial"/>
          <w:sz w:val="24"/>
          <w:szCs w:val="24"/>
          <w:lang w:val="de-DE"/>
        </w:rPr>
        <w:tab/>
        <w:t>R4-</w:t>
      </w:r>
      <w:r>
        <w:rPr>
          <w:rFonts w:cs="Arial"/>
          <w:sz w:val="24"/>
          <w:szCs w:val="24"/>
          <w:lang w:val="de-DE"/>
        </w:rPr>
        <w:t>221</w:t>
      </w:r>
      <w:r w:rsidR="008F71A4">
        <w:rPr>
          <w:rFonts w:cs="Arial"/>
          <w:sz w:val="24"/>
          <w:szCs w:val="24"/>
          <w:lang w:val="de-DE"/>
        </w:rPr>
        <w:t>9984</w:t>
      </w:r>
    </w:p>
    <w:p w14:paraId="464ACB10" w14:textId="77777777" w:rsidR="00F54ED3" w:rsidRPr="00DB3907" w:rsidRDefault="00F54ED3" w:rsidP="00F54ED3">
      <w:pPr>
        <w:pStyle w:val="Header"/>
        <w:tabs>
          <w:tab w:val="left" w:pos="6521"/>
        </w:tabs>
        <w:rPr>
          <w:rFonts w:cs="Arial"/>
          <w:sz w:val="24"/>
          <w:szCs w:val="24"/>
        </w:rPr>
      </w:pPr>
      <w:r>
        <w:rPr>
          <w:rFonts w:cs="Arial"/>
          <w:sz w:val="24"/>
          <w:szCs w:val="24"/>
        </w:rPr>
        <w:t>November 14</w:t>
      </w:r>
      <w:r>
        <w:rPr>
          <w:rFonts w:cs="Arial"/>
          <w:sz w:val="24"/>
          <w:szCs w:val="24"/>
          <w:vertAlign w:val="superscript"/>
        </w:rPr>
        <w:t>th</w:t>
      </w:r>
      <w:r>
        <w:rPr>
          <w:rFonts w:cs="Arial"/>
          <w:sz w:val="24"/>
          <w:szCs w:val="24"/>
        </w:rPr>
        <w:t xml:space="preserve"> ‒ 18</w:t>
      </w:r>
      <w:r>
        <w:rPr>
          <w:rFonts w:cs="Arial"/>
          <w:sz w:val="24"/>
          <w:szCs w:val="24"/>
          <w:vertAlign w:val="superscript"/>
        </w:rPr>
        <w:t>th</w:t>
      </w:r>
      <w:r>
        <w:rPr>
          <w:rFonts w:cs="Arial"/>
          <w:sz w:val="24"/>
          <w:szCs w:val="24"/>
        </w:rPr>
        <w:t>, 2022</w:t>
      </w:r>
    </w:p>
    <w:p w14:paraId="3E5D1222" w14:textId="77777777" w:rsidR="00F54ED3" w:rsidRPr="00DB3907" w:rsidRDefault="00F54ED3" w:rsidP="00F54ED3">
      <w:pPr>
        <w:pStyle w:val="Header"/>
        <w:rPr>
          <w:rFonts w:cs="Arial"/>
          <w:sz w:val="24"/>
          <w:szCs w:val="24"/>
        </w:rPr>
      </w:pPr>
      <w:r>
        <w:rPr>
          <w:rFonts w:cs="Arial"/>
          <w:sz w:val="24"/>
          <w:szCs w:val="24"/>
        </w:rPr>
        <w:t>Toulouse, FR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FC04AF5"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F71A4">
        <w:rPr>
          <w:rFonts w:ascii="Arial" w:hAnsi="Arial"/>
          <w:sz w:val="24"/>
          <w:lang w:val="en-US"/>
        </w:rPr>
        <w:t>7.27.2</w:t>
      </w:r>
    </w:p>
    <w:p w14:paraId="1E1C2FD0" w14:textId="0BAF5528"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r w:rsidR="006B56BF">
        <w:rPr>
          <w:rFonts w:ascii="Arial" w:hAnsi="Arial"/>
          <w:sz w:val="24"/>
          <w:lang w:val="en-US"/>
        </w:rPr>
        <w:t>, Skyworks Solutions, Inc.</w:t>
      </w:r>
    </w:p>
    <w:p w14:paraId="3A62F436" w14:textId="13E390D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A0376C">
        <w:rPr>
          <w:rFonts w:ascii="Arial" w:hAnsi="Arial"/>
          <w:sz w:val="24"/>
          <w:lang w:val="en-US"/>
        </w:rPr>
        <w:t>In b</w:t>
      </w:r>
      <w:r w:rsidR="005B53F0">
        <w:rPr>
          <w:rFonts w:ascii="Arial" w:hAnsi="Arial"/>
          <w:sz w:val="24"/>
          <w:lang w:val="en-US"/>
        </w:rPr>
        <w:t xml:space="preserve">and blocking for APT 600 </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51B1B46" w14:textId="20ADF6C7" w:rsidR="00B43838" w:rsidRDefault="00896E36" w:rsidP="00354733">
      <w:pPr>
        <w:rPr>
          <w:lang w:val="en-US"/>
        </w:rPr>
      </w:pPr>
      <w:r>
        <w:rPr>
          <w:lang w:val="en-US"/>
        </w:rPr>
        <w:t>At RAN4 #104bis-e</w:t>
      </w:r>
      <w:r w:rsidR="001F0BE5">
        <w:rPr>
          <w:lang w:val="en-US"/>
        </w:rPr>
        <w:t>, the UE in-band blocker requirement for protection against DTV blockers</w:t>
      </w:r>
      <w:r w:rsidR="006B56BF">
        <w:rPr>
          <w:lang w:val="en-US"/>
        </w:rPr>
        <w:t xml:space="preserve"> was nearly agreed.  Two options were presented which were nearly the same and it was agreed </w:t>
      </w:r>
      <w:r w:rsidR="006769E4">
        <w:rPr>
          <w:lang w:val="en-US"/>
        </w:rPr>
        <w:t xml:space="preserve">[1] </w:t>
      </w:r>
      <w:r w:rsidR="006B56BF">
        <w:rPr>
          <w:lang w:val="en-US"/>
        </w:rPr>
        <w:t>to merge the two together to a common proposal.</w:t>
      </w:r>
    </w:p>
    <w:p w14:paraId="10F6602E" w14:textId="12701329" w:rsidR="007E1E78" w:rsidRDefault="007E1E78" w:rsidP="0099327E">
      <w:pPr>
        <w:pStyle w:val="Heading1"/>
        <w:tabs>
          <w:tab w:val="clear" w:pos="432"/>
          <w:tab w:val="num" w:pos="522"/>
        </w:tabs>
        <w:ind w:left="522" w:hanging="522"/>
        <w:rPr>
          <w:lang w:val="en-US"/>
        </w:rPr>
      </w:pPr>
      <w:r>
        <w:rPr>
          <w:lang w:val="en-US"/>
        </w:rPr>
        <w:t>Discussion</w:t>
      </w:r>
    </w:p>
    <w:p w14:paraId="59F886C2" w14:textId="5CEFA41E" w:rsidR="00B25F6B" w:rsidRDefault="006769E4" w:rsidP="00B25F6B">
      <w:pPr>
        <w:rPr>
          <w:lang w:val="en-US"/>
        </w:rPr>
      </w:pPr>
      <w:r>
        <w:rPr>
          <w:lang w:val="en-US"/>
        </w:rPr>
        <w:t xml:space="preserve">The two options for in-band blocking are summarized </w:t>
      </w:r>
      <w:r w:rsidR="00533E01">
        <w:rPr>
          <w:lang w:val="en-US"/>
        </w:rPr>
        <w:t xml:space="preserve">in [1] </w:t>
      </w:r>
      <w:r>
        <w:rPr>
          <w:lang w:val="en-US"/>
        </w:rPr>
        <w:t>as</w:t>
      </w:r>
    </w:p>
    <w:p w14:paraId="78768A12" w14:textId="77777777" w:rsidR="00533E01" w:rsidRPr="00D640A6" w:rsidRDefault="00533E01" w:rsidP="00533E01">
      <w:pPr>
        <w:numPr>
          <w:ilvl w:val="0"/>
          <w:numId w:val="40"/>
        </w:numPr>
        <w:rPr>
          <w:lang w:val="en-US"/>
        </w:rPr>
      </w:pPr>
      <w:r w:rsidRPr="00D640A6">
        <w:rPr>
          <w:lang w:val="en-US"/>
        </w:rPr>
        <w:t xml:space="preserve">Option </w:t>
      </w:r>
      <w:r>
        <w:rPr>
          <w:lang w:val="en-US"/>
        </w:rPr>
        <w:t>2</w:t>
      </w:r>
      <w:r w:rsidRPr="00D640A6">
        <w:rPr>
          <w:lang w:val="en-US"/>
        </w:rPr>
        <w:t xml:space="preserve">: specify a Case 5 with -22dBm at </w:t>
      </w:r>
      <w:proofErr w:type="spellStart"/>
      <w:r w:rsidRPr="00D640A6">
        <w:rPr>
          <w:lang w:val="en-US"/>
        </w:rPr>
        <w:t>FDL_low</w:t>
      </w:r>
      <w:proofErr w:type="spellEnd"/>
      <w:r w:rsidRPr="00D640A6">
        <w:rPr>
          <w:lang w:val="en-US"/>
        </w:rPr>
        <w:t xml:space="preserve"> – 12 [600 MHz] is introduced based on 7dB lower interference from DTT CH36 compared to n71 case; to account for DTT interference to the first 5MHz, a relaxed -34dBm at </w:t>
      </w:r>
      <w:proofErr w:type="spellStart"/>
      <w:r w:rsidRPr="00D640A6">
        <w:rPr>
          <w:lang w:val="en-US"/>
        </w:rPr>
        <w:t>FDL_low</w:t>
      </w:r>
      <w:proofErr w:type="spellEnd"/>
      <w:r w:rsidRPr="00D640A6">
        <w:rPr>
          <w:lang w:val="en-US"/>
        </w:rPr>
        <w:t xml:space="preserve"> – 7 [605 MHz] is needed and since it is very close to the Case 1, instead of introducing a case 6, a Case 1 exception is at -34dBm is introduced for channels overlapping with the 612 to 617 MHz frequency range (R4-2215637)</w:t>
      </w:r>
    </w:p>
    <w:p w14:paraId="769BD5B6" w14:textId="77777777" w:rsidR="00533E01" w:rsidRPr="00D640A6" w:rsidRDefault="00533E01" w:rsidP="00533E01">
      <w:pPr>
        <w:numPr>
          <w:ilvl w:val="0"/>
          <w:numId w:val="40"/>
        </w:numPr>
        <w:rPr>
          <w:lang w:val="en-US"/>
        </w:rPr>
      </w:pPr>
      <w:r w:rsidRPr="00D640A6">
        <w:rPr>
          <w:lang w:val="en-US"/>
        </w:rPr>
        <w:t xml:space="preserve">Option </w:t>
      </w:r>
      <w:r>
        <w:rPr>
          <w:lang w:val="en-US"/>
        </w:rPr>
        <w:t>3</w:t>
      </w:r>
      <w:r w:rsidRPr="00D640A6">
        <w:rPr>
          <w:lang w:val="en-US"/>
        </w:rPr>
        <w:t>: the interferer frequency at 605 MHz [</w:t>
      </w:r>
      <w:proofErr w:type="spellStart"/>
      <w:r w:rsidRPr="00D640A6">
        <w:rPr>
          <w:lang w:val="en-US"/>
        </w:rPr>
        <w:t>FDL_low</w:t>
      </w:r>
      <w:proofErr w:type="spellEnd"/>
      <w:r w:rsidRPr="00D640A6">
        <w:rPr>
          <w:lang w:val="en-US"/>
        </w:rPr>
        <w:t xml:space="preserve"> – 7]; the interferer power (</w:t>
      </w:r>
      <w:proofErr w:type="spellStart"/>
      <w:r w:rsidRPr="00D640A6">
        <w:rPr>
          <w:lang w:val="en-US"/>
        </w:rPr>
        <w:t>Pinterferer</w:t>
      </w:r>
      <w:proofErr w:type="spellEnd"/>
      <w:r w:rsidRPr="00D640A6">
        <w:rPr>
          <w:lang w:val="en-US"/>
        </w:rPr>
        <w:t>) shall be -34 dBm for channels with lower edge below 617 MHz and -22 dBm for channels with lower edge at or above 617 MHz (R4-2216646)</w:t>
      </w:r>
    </w:p>
    <w:p w14:paraId="46F51B79" w14:textId="5AC0D32E" w:rsidR="00533E01" w:rsidRDefault="00533E01" w:rsidP="00B25F6B">
      <w:pPr>
        <w:rPr>
          <w:lang w:val="en-US"/>
        </w:rPr>
      </w:pPr>
      <w:r>
        <w:rPr>
          <w:lang w:val="en-US"/>
        </w:rPr>
        <w:t>The two options are nearly identical.  They both propose an in-band blocking level of -22 dBm</w:t>
      </w:r>
      <w:r w:rsidR="00141278">
        <w:rPr>
          <w:lang w:val="en-US"/>
        </w:rPr>
        <w:t xml:space="preserve"> for larger offsets and </w:t>
      </w:r>
      <w:r w:rsidR="00B879AB">
        <w:rPr>
          <w:lang w:val="en-US"/>
        </w:rPr>
        <w:t xml:space="preserve">-34 dBm for small offsets.  Option 2 proposes </w:t>
      </w:r>
      <w:r w:rsidR="003F6EBE">
        <w:rPr>
          <w:lang w:val="en-US"/>
        </w:rPr>
        <w:t xml:space="preserve">a case 5 blocker centered at </w:t>
      </w:r>
      <w:proofErr w:type="spellStart"/>
      <w:r w:rsidR="003F6EBE">
        <w:rPr>
          <w:lang w:val="en-US"/>
        </w:rPr>
        <w:t>F</w:t>
      </w:r>
      <w:r w:rsidR="003F6EBE" w:rsidRPr="003F6EBE">
        <w:rPr>
          <w:vertAlign w:val="subscript"/>
          <w:lang w:val="en-US"/>
        </w:rPr>
        <w:t>DL_</w:t>
      </w:r>
      <w:proofErr w:type="gramStart"/>
      <w:r w:rsidR="003F6EBE" w:rsidRPr="003F6EBE">
        <w:rPr>
          <w:vertAlign w:val="subscript"/>
          <w:lang w:val="en-US"/>
        </w:rPr>
        <w:t>low</w:t>
      </w:r>
      <w:proofErr w:type="spellEnd"/>
      <w:r w:rsidR="003F6EBE" w:rsidRPr="003F6EBE">
        <w:rPr>
          <w:vertAlign w:val="subscript"/>
          <w:lang w:val="en-US"/>
        </w:rPr>
        <w:t xml:space="preserve"> </w:t>
      </w:r>
      <w:r w:rsidR="003F6EBE">
        <w:rPr>
          <w:lang w:val="en-US"/>
        </w:rPr>
        <w:t xml:space="preserve"> </w:t>
      </w:r>
      <w:r w:rsidR="003C3942" w:rsidRPr="00A1115A">
        <w:t>–</w:t>
      </w:r>
      <w:proofErr w:type="gramEnd"/>
      <w:r w:rsidR="003F6EBE">
        <w:rPr>
          <w:lang w:val="en-US"/>
        </w:rPr>
        <w:t xml:space="preserve"> 12</w:t>
      </w:r>
      <w:r w:rsidR="008C5FC0">
        <w:rPr>
          <w:lang w:val="en-US"/>
        </w:rPr>
        <w:t xml:space="preserve"> </w:t>
      </w:r>
      <w:r w:rsidR="00EF59DA">
        <w:rPr>
          <w:lang w:val="en-US"/>
        </w:rPr>
        <w:t xml:space="preserve">(600 MHz) </w:t>
      </w:r>
      <w:r w:rsidR="008C5FC0">
        <w:rPr>
          <w:lang w:val="en-US"/>
        </w:rPr>
        <w:t xml:space="preserve">with power level of -22 dBm, while Option 3 proposes a case 5 blocker centered at </w:t>
      </w:r>
      <w:proofErr w:type="spellStart"/>
      <w:r w:rsidR="003051D9">
        <w:rPr>
          <w:lang w:val="en-US"/>
        </w:rPr>
        <w:t>F</w:t>
      </w:r>
      <w:r w:rsidR="003051D9" w:rsidRPr="003F6EBE">
        <w:rPr>
          <w:vertAlign w:val="subscript"/>
          <w:lang w:val="en-US"/>
        </w:rPr>
        <w:t>DL_low</w:t>
      </w:r>
      <w:proofErr w:type="spellEnd"/>
      <w:r w:rsidR="003051D9" w:rsidRPr="003F6EBE">
        <w:rPr>
          <w:vertAlign w:val="subscript"/>
          <w:lang w:val="en-US"/>
        </w:rPr>
        <w:t xml:space="preserve"> </w:t>
      </w:r>
      <w:r w:rsidR="003051D9">
        <w:rPr>
          <w:lang w:val="en-US"/>
        </w:rPr>
        <w:t xml:space="preserve"> </w:t>
      </w:r>
      <w:r w:rsidR="003051D9" w:rsidRPr="00A1115A">
        <w:t>–</w:t>
      </w:r>
      <w:r w:rsidR="003051D9">
        <w:rPr>
          <w:lang w:val="en-US"/>
        </w:rPr>
        <w:t xml:space="preserve"> 7 </w:t>
      </w:r>
      <w:r w:rsidR="00EF59DA">
        <w:rPr>
          <w:lang w:val="en-US"/>
        </w:rPr>
        <w:t>(</w:t>
      </w:r>
      <w:r w:rsidR="003051D9">
        <w:rPr>
          <w:lang w:val="en-US"/>
        </w:rPr>
        <w:t>605 MHz</w:t>
      </w:r>
      <w:r w:rsidR="00EF59DA">
        <w:rPr>
          <w:lang w:val="en-US"/>
        </w:rPr>
        <w:t>)</w:t>
      </w:r>
      <w:r w:rsidR="003051D9">
        <w:rPr>
          <w:lang w:val="en-US"/>
        </w:rPr>
        <w:t xml:space="preserve"> with power level of -22 dBm.  Hence, </w:t>
      </w:r>
      <w:r w:rsidR="00533FEB">
        <w:rPr>
          <w:lang w:val="en-US"/>
        </w:rPr>
        <w:t xml:space="preserve">the difference in the case 5 blocker is its placement at 600 MHz or 605 </w:t>
      </w:r>
      <w:proofErr w:type="spellStart"/>
      <w:r w:rsidR="00533FEB">
        <w:rPr>
          <w:lang w:val="en-US"/>
        </w:rPr>
        <w:t>MHz.</w:t>
      </w:r>
      <w:proofErr w:type="spellEnd"/>
      <w:r w:rsidR="00533FEB">
        <w:rPr>
          <w:lang w:val="en-US"/>
        </w:rPr>
        <w:t xml:space="preserve">  </w:t>
      </w:r>
    </w:p>
    <w:p w14:paraId="044A03DC" w14:textId="1C343DE3" w:rsidR="0054656A" w:rsidRDefault="00610FD7" w:rsidP="00B25F6B">
      <w:pPr>
        <w:rPr>
          <w:lang w:val="en-US"/>
        </w:rPr>
      </w:pPr>
      <w:r>
        <w:rPr>
          <w:lang w:val="en-US"/>
        </w:rPr>
        <w:t xml:space="preserve">Option </w:t>
      </w:r>
      <w:r w:rsidR="009955AA">
        <w:rPr>
          <w:lang w:val="en-US"/>
        </w:rPr>
        <w:t xml:space="preserve">2 </w:t>
      </w:r>
      <w:r>
        <w:rPr>
          <w:lang w:val="en-US"/>
        </w:rPr>
        <w:t xml:space="preserve">specifies a blocker level of -34 dBm centered at </w:t>
      </w:r>
      <w:proofErr w:type="spellStart"/>
      <w:r w:rsidR="009955AA">
        <w:rPr>
          <w:lang w:val="en-US"/>
        </w:rPr>
        <w:t>F</w:t>
      </w:r>
      <w:r w:rsidR="009955AA" w:rsidRPr="003F6EBE">
        <w:rPr>
          <w:vertAlign w:val="subscript"/>
          <w:lang w:val="en-US"/>
        </w:rPr>
        <w:t>DL_</w:t>
      </w:r>
      <w:proofErr w:type="gramStart"/>
      <w:r w:rsidR="009955AA" w:rsidRPr="003F6EBE">
        <w:rPr>
          <w:vertAlign w:val="subscript"/>
          <w:lang w:val="en-US"/>
        </w:rPr>
        <w:t>low</w:t>
      </w:r>
      <w:proofErr w:type="spellEnd"/>
      <w:r w:rsidR="009955AA" w:rsidRPr="003F6EBE">
        <w:rPr>
          <w:vertAlign w:val="subscript"/>
          <w:lang w:val="en-US"/>
        </w:rPr>
        <w:t xml:space="preserve"> </w:t>
      </w:r>
      <w:r w:rsidR="009955AA">
        <w:rPr>
          <w:lang w:val="en-US"/>
        </w:rPr>
        <w:t xml:space="preserve"> </w:t>
      </w:r>
      <w:r w:rsidR="009955AA" w:rsidRPr="00A1115A">
        <w:t>–</w:t>
      </w:r>
      <w:proofErr w:type="gramEnd"/>
      <w:r w:rsidR="009955AA">
        <w:rPr>
          <w:lang w:val="en-US"/>
        </w:rPr>
        <w:t xml:space="preserve"> 7 (605 MHz)</w:t>
      </w:r>
      <w:r>
        <w:rPr>
          <w:lang w:val="en-US"/>
        </w:rPr>
        <w:t xml:space="preserve"> to be implemented as a case 1 blocker</w:t>
      </w:r>
      <w:r w:rsidR="009955AA">
        <w:rPr>
          <w:lang w:val="en-US"/>
        </w:rPr>
        <w:t xml:space="preserve"> for channels overlapping the 612 – 617 MHz frequency range</w:t>
      </w:r>
      <w:r>
        <w:rPr>
          <w:lang w:val="en-US"/>
        </w:rPr>
        <w:t>.</w:t>
      </w:r>
      <w:r w:rsidR="009955AA">
        <w:rPr>
          <w:lang w:val="en-US"/>
        </w:rPr>
        <w:t xml:space="preserve">  Option</w:t>
      </w:r>
      <w:r>
        <w:rPr>
          <w:lang w:val="en-US"/>
        </w:rPr>
        <w:t xml:space="preserve"> </w:t>
      </w:r>
      <w:r w:rsidR="009955AA">
        <w:rPr>
          <w:lang w:val="en-US"/>
        </w:rPr>
        <w:t xml:space="preserve">3 proposes the same -34 dBm blocker at </w:t>
      </w:r>
      <w:proofErr w:type="spellStart"/>
      <w:r w:rsidR="009955AA">
        <w:rPr>
          <w:lang w:val="en-US"/>
        </w:rPr>
        <w:t>F</w:t>
      </w:r>
      <w:r w:rsidR="009955AA" w:rsidRPr="003F6EBE">
        <w:rPr>
          <w:vertAlign w:val="subscript"/>
          <w:lang w:val="en-US"/>
        </w:rPr>
        <w:t>DL_</w:t>
      </w:r>
      <w:proofErr w:type="gramStart"/>
      <w:r w:rsidR="009955AA" w:rsidRPr="003F6EBE">
        <w:rPr>
          <w:vertAlign w:val="subscript"/>
          <w:lang w:val="en-US"/>
        </w:rPr>
        <w:t>low</w:t>
      </w:r>
      <w:proofErr w:type="spellEnd"/>
      <w:r w:rsidR="009955AA" w:rsidRPr="003F6EBE">
        <w:rPr>
          <w:vertAlign w:val="subscript"/>
          <w:lang w:val="en-US"/>
        </w:rPr>
        <w:t xml:space="preserve"> </w:t>
      </w:r>
      <w:r w:rsidR="009955AA">
        <w:rPr>
          <w:lang w:val="en-US"/>
        </w:rPr>
        <w:t xml:space="preserve"> </w:t>
      </w:r>
      <w:r w:rsidR="009955AA" w:rsidRPr="00A1115A">
        <w:t>–</w:t>
      </w:r>
      <w:proofErr w:type="gramEnd"/>
      <w:r w:rsidR="009955AA">
        <w:rPr>
          <w:lang w:val="en-US"/>
        </w:rPr>
        <w:t xml:space="preserve"> 7 (605 MHz)</w:t>
      </w:r>
      <w:r w:rsidR="009955AA" w:rsidRPr="009955AA">
        <w:rPr>
          <w:lang w:val="en-US"/>
        </w:rPr>
        <w:t xml:space="preserve"> </w:t>
      </w:r>
      <w:r w:rsidR="009955AA">
        <w:rPr>
          <w:lang w:val="en-US"/>
        </w:rPr>
        <w:t xml:space="preserve">for channels overlapping the 612 – 617 MHz frequency range, but implements this as a case 5 blocker with a note to relax the value from -22 dBm to -34 dBm for channels overlapping 612 – 617 </w:t>
      </w:r>
      <w:proofErr w:type="spellStart"/>
      <w:r w:rsidR="009955AA">
        <w:rPr>
          <w:lang w:val="en-US"/>
        </w:rPr>
        <w:t>MHz.</w:t>
      </w:r>
      <w:proofErr w:type="spellEnd"/>
    </w:p>
    <w:p w14:paraId="6FBD4230" w14:textId="2E6D3EDC" w:rsidR="005B508E" w:rsidRDefault="009955AA" w:rsidP="00B25F6B">
      <w:pPr>
        <w:rPr>
          <w:lang w:val="en-US"/>
        </w:rPr>
      </w:pPr>
      <w:r>
        <w:rPr>
          <w:lang w:val="en-US"/>
        </w:rPr>
        <w:t xml:space="preserve">Where the two options potentially differ is in the requirements for a channel above the 612 – 617 MHz range.  For the blocker centered at </w:t>
      </w:r>
      <w:proofErr w:type="spellStart"/>
      <w:r>
        <w:rPr>
          <w:lang w:val="en-US"/>
        </w:rPr>
        <w:t>F</w:t>
      </w:r>
      <w:r w:rsidRPr="003F6EBE">
        <w:rPr>
          <w:vertAlign w:val="subscript"/>
          <w:lang w:val="en-US"/>
        </w:rPr>
        <w:t>DL_</w:t>
      </w:r>
      <w:proofErr w:type="gramStart"/>
      <w:r w:rsidRPr="003F6EBE">
        <w:rPr>
          <w:vertAlign w:val="subscript"/>
          <w:lang w:val="en-US"/>
        </w:rPr>
        <w:t>low</w:t>
      </w:r>
      <w:proofErr w:type="spellEnd"/>
      <w:r w:rsidRPr="003F6EBE">
        <w:rPr>
          <w:vertAlign w:val="subscript"/>
          <w:lang w:val="en-US"/>
        </w:rPr>
        <w:t xml:space="preserve"> </w:t>
      </w:r>
      <w:r>
        <w:rPr>
          <w:lang w:val="en-US"/>
        </w:rPr>
        <w:t xml:space="preserve"> </w:t>
      </w:r>
      <w:r w:rsidRPr="00A1115A">
        <w:t>–</w:t>
      </w:r>
      <w:proofErr w:type="gramEnd"/>
      <w:r>
        <w:rPr>
          <w:lang w:val="en-US"/>
        </w:rPr>
        <w:t xml:space="preserve"> 7 (605 MHz), should the blocker level be -22 dBm or -56 dBm?  </w:t>
      </w:r>
      <w:r w:rsidR="005B508E">
        <w:rPr>
          <w:lang w:val="en-US"/>
        </w:rPr>
        <w:t xml:space="preserve">The proposed specification change from [3] </w:t>
      </w:r>
      <w:r w:rsidR="0083654A">
        <w:rPr>
          <w:lang w:val="en-US"/>
        </w:rPr>
        <w:t xml:space="preserve">would not require any blocker at 605 MHz for channels above 617 MHz – only the case 5 blocker at 600 MHz is specified.  This is </w:t>
      </w:r>
      <w:r w:rsidR="003C1D9C">
        <w:rPr>
          <w:lang w:val="en-US"/>
        </w:rPr>
        <w:t xml:space="preserve">not strictly </w:t>
      </w:r>
      <w:r w:rsidR="0083654A">
        <w:rPr>
          <w:lang w:val="en-US"/>
        </w:rPr>
        <w:t>correct since the CH36 DTT blocker protection should still be applicable for channels above 617 MHz</w:t>
      </w:r>
      <w:r w:rsidR="00EA7A67">
        <w:rPr>
          <w:lang w:val="en-US"/>
        </w:rPr>
        <w:t>, although this could be indirectly tested by the edge channel</w:t>
      </w:r>
      <w:r w:rsidR="00655EB4">
        <w:rPr>
          <w:lang w:val="en-US"/>
        </w:rPr>
        <w:t xml:space="preserve"> (rather than the inner channel)</w:t>
      </w:r>
      <w:r w:rsidR="00EA7A67">
        <w:rPr>
          <w:lang w:val="en-US"/>
        </w:rPr>
        <w:t xml:space="preserve"> </w:t>
      </w:r>
      <w:r w:rsidR="00655EB4">
        <w:rPr>
          <w:lang w:val="en-US"/>
        </w:rPr>
        <w:t>with case 5 blocker</w:t>
      </w:r>
      <w:r w:rsidR="00971719">
        <w:rPr>
          <w:lang w:val="en-US"/>
        </w:rPr>
        <w:t>.</w:t>
      </w:r>
      <w:r w:rsidR="0083654A">
        <w:rPr>
          <w:lang w:val="en-US"/>
        </w:rPr>
        <w:t xml:space="preserve">  Moreover, since those channels are now separated by at least 9 MHz, the blocker protection level should not be further relaxed from -22 dBm.</w:t>
      </w:r>
      <w:r w:rsidR="00110568">
        <w:rPr>
          <w:lang w:val="en-US"/>
        </w:rPr>
        <w:t xml:space="preserve">  Thus, </w:t>
      </w:r>
      <w:r w:rsidR="00E76B16">
        <w:rPr>
          <w:lang w:val="en-US"/>
        </w:rPr>
        <w:t>t</w:t>
      </w:r>
      <w:r w:rsidR="00110568">
        <w:rPr>
          <w:lang w:val="en-US"/>
        </w:rPr>
        <w:t xml:space="preserve">o define a case 6 blocker as originally conceived in [3] more accurately </w:t>
      </w:r>
      <w:r w:rsidR="008E4F34">
        <w:rPr>
          <w:lang w:val="en-US"/>
        </w:rPr>
        <w:t>reflects</w:t>
      </w:r>
      <w:r w:rsidR="00110568">
        <w:rPr>
          <w:lang w:val="en-US"/>
        </w:rPr>
        <w:t xml:space="preserve"> the requirement rather than reusing and modifying case 1.</w:t>
      </w:r>
      <w:r w:rsidR="00B73EAF">
        <w:rPr>
          <w:lang w:val="en-US"/>
        </w:rPr>
        <w:t xml:space="preserve">  However, it is then recognized that </w:t>
      </w:r>
      <w:r w:rsidR="003E2370">
        <w:rPr>
          <w:lang w:val="en-US"/>
        </w:rPr>
        <w:t>having both the case 5 and case 6 blockers is somewhat redundant</w:t>
      </w:r>
      <w:r w:rsidR="00DB746D">
        <w:rPr>
          <w:lang w:val="en-US"/>
        </w:rPr>
        <w:t xml:space="preserve"> so they are ultimately collapsed into a case 5 blocker at </w:t>
      </w:r>
      <w:proofErr w:type="spellStart"/>
      <w:r w:rsidR="00DB746D">
        <w:rPr>
          <w:lang w:val="en-US"/>
        </w:rPr>
        <w:t>F</w:t>
      </w:r>
      <w:r w:rsidR="00DB746D" w:rsidRPr="003F6EBE">
        <w:rPr>
          <w:vertAlign w:val="subscript"/>
          <w:lang w:val="en-US"/>
        </w:rPr>
        <w:t>DL_</w:t>
      </w:r>
      <w:proofErr w:type="gramStart"/>
      <w:r w:rsidR="00DB746D" w:rsidRPr="003F6EBE">
        <w:rPr>
          <w:vertAlign w:val="subscript"/>
          <w:lang w:val="en-US"/>
        </w:rPr>
        <w:t>low</w:t>
      </w:r>
      <w:proofErr w:type="spellEnd"/>
      <w:r w:rsidR="00DB746D" w:rsidRPr="003F6EBE">
        <w:rPr>
          <w:vertAlign w:val="subscript"/>
          <w:lang w:val="en-US"/>
        </w:rPr>
        <w:t xml:space="preserve"> </w:t>
      </w:r>
      <w:r w:rsidR="00DB746D">
        <w:rPr>
          <w:lang w:val="en-US"/>
        </w:rPr>
        <w:t xml:space="preserve"> </w:t>
      </w:r>
      <w:r w:rsidR="00DB746D" w:rsidRPr="00A1115A">
        <w:t>–</w:t>
      </w:r>
      <w:proofErr w:type="gramEnd"/>
      <w:r w:rsidR="00DB746D">
        <w:rPr>
          <w:lang w:val="en-US"/>
        </w:rPr>
        <w:t xml:space="preserve"> 7 (605 MHz) with definition as shown below.</w:t>
      </w:r>
    </w:p>
    <w:p w14:paraId="3868AA44" w14:textId="77777777" w:rsidR="00550781" w:rsidRDefault="00550781" w:rsidP="00B25F6B"/>
    <w:p w14:paraId="7846217B" w14:textId="357F56FB" w:rsidR="00550781" w:rsidRDefault="00550781" w:rsidP="00B25F6B"/>
    <w:p w14:paraId="65E1469C" w14:textId="40EFC158" w:rsidR="00550781" w:rsidRDefault="00550781" w:rsidP="00550781">
      <w:pPr>
        <w:pStyle w:val="Caption"/>
        <w:keepNext/>
        <w:jc w:val="center"/>
      </w:pPr>
      <w:r>
        <w:lastRenderedPageBreak/>
        <w:t xml:space="preserve">Table 1: n105 specific </w:t>
      </w:r>
      <w:r w:rsidRPr="00A2217E">
        <w:rPr>
          <w:highlight w:val="yellow"/>
        </w:rPr>
        <w:t xml:space="preserve">case 1 </w:t>
      </w:r>
      <w:r w:rsidRPr="00D4698A">
        <w:rPr>
          <w:highlight w:val="yellow"/>
        </w:rPr>
        <w:t xml:space="preserve">and </w:t>
      </w:r>
      <w:r w:rsidR="00D4698A" w:rsidRPr="00D4698A">
        <w:rPr>
          <w:highlight w:val="yellow"/>
        </w:rPr>
        <w:t>5</w:t>
      </w:r>
      <w:r>
        <w:t xml:space="preserve"> in-band blocking</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170"/>
        <w:gridCol w:w="720"/>
        <w:gridCol w:w="1167"/>
        <w:gridCol w:w="1489"/>
        <w:gridCol w:w="1260"/>
        <w:gridCol w:w="1320"/>
        <w:gridCol w:w="1432"/>
      </w:tblGrid>
      <w:tr w:rsidR="00B53906" w:rsidRPr="00A1115A" w14:paraId="61277202" w14:textId="63F10ACA" w:rsidTr="00D4698A">
        <w:trPr>
          <w:jc w:val="center"/>
        </w:trPr>
        <w:tc>
          <w:tcPr>
            <w:tcW w:w="977" w:type="dxa"/>
            <w:tcBorders>
              <w:bottom w:val="nil"/>
            </w:tcBorders>
            <w:shd w:val="clear" w:color="auto" w:fill="auto"/>
          </w:tcPr>
          <w:p w14:paraId="0E5EBFD1" w14:textId="77777777" w:rsidR="00B53906" w:rsidRPr="00A1115A" w:rsidRDefault="00B53906" w:rsidP="00AA6C64">
            <w:pPr>
              <w:pStyle w:val="TAH"/>
            </w:pPr>
            <w:bookmarkStart w:id="0" w:name="_Hlk115439406"/>
            <w:r w:rsidRPr="00A1115A">
              <w:t>NR band</w:t>
            </w:r>
          </w:p>
        </w:tc>
        <w:tc>
          <w:tcPr>
            <w:tcW w:w="1170" w:type="dxa"/>
            <w:shd w:val="clear" w:color="auto" w:fill="auto"/>
          </w:tcPr>
          <w:p w14:paraId="63F1730A" w14:textId="77777777" w:rsidR="00B53906" w:rsidRPr="00A1115A" w:rsidRDefault="00B53906" w:rsidP="00AA6C64">
            <w:pPr>
              <w:pStyle w:val="TAH"/>
            </w:pPr>
            <w:r w:rsidRPr="00A1115A">
              <w:t>Parameter</w:t>
            </w:r>
          </w:p>
        </w:tc>
        <w:tc>
          <w:tcPr>
            <w:tcW w:w="720" w:type="dxa"/>
          </w:tcPr>
          <w:p w14:paraId="40D736BA" w14:textId="77777777" w:rsidR="00B53906" w:rsidRPr="00A1115A" w:rsidRDefault="00B53906" w:rsidP="00AA6C64">
            <w:pPr>
              <w:pStyle w:val="TAH"/>
            </w:pPr>
            <w:r w:rsidRPr="00A1115A">
              <w:t>Unit</w:t>
            </w:r>
          </w:p>
        </w:tc>
        <w:tc>
          <w:tcPr>
            <w:tcW w:w="1167" w:type="dxa"/>
          </w:tcPr>
          <w:p w14:paraId="1B5B4D39" w14:textId="77777777" w:rsidR="00B53906" w:rsidRPr="00A1115A" w:rsidRDefault="00B53906" w:rsidP="00AA6C64">
            <w:pPr>
              <w:pStyle w:val="TAH"/>
            </w:pPr>
            <w:r w:rsidRPr="00A1115A">
              <w:t>Case 1</w:t>
            </w:r>
          </w:p>
        </w:tc>
        <w:tc>
          <w:tcPr>
            <w:tcW w:w="1489" w:type="dxa"/>
          </w:tcPr>
          <w:p w14:paraId="18AE3A68" w14:textId="77777777" w:rsidR="00B53906" w:rsidRPr="00A1115A" w:rsidRDefault="00B53906" w:rsidP="00AA6C64">
            <w:pPr>
              <w:pStyle w:val="TAH"/>
            </w:pPr>
            <w:r w:rsidRPr="00A1115A">
              <w:t>Case 2</w:t>
            </w:r>
          </w:p>
        </w:tc>
        <w:tc>
          <w:tcPr>
            <w:tcW w:w="1260" w:type="dxa"/>
          </w:tcPr>
          <w:p w14:paraId="6F03722F" w14:textId="77777777" w:rsidR="00B53906" w:rsidRPr="00A2217E" w:rsidRDefault="00B53906" w:rsidP="00AA6C64">
            <w:pPr>
              <w:pStyle w:val="TAH"/>
            </w:pPr>
            <w:r w:rsidRPr="00A2217E">
              <w:t>Case 3</w:t>
            </w:r>
          </w:p>
        </w:tc>
        <w:tc>
          <w:tcPr>
            <w:tcW w:w="1320" w:type="dxa"/>
          </w:tcPr>
          <w:p w14:paraId="72405D12" w14:textId="77777777" w:rsidR="00B53906" w:rsidRPr="00A1115A" w:rsidRDefault="00B53906" w:rsidP="00AA6C64">
            <w:pPr>
              <w:pStyle w:val="TAH"/>
            </w:pPr>
            <w:r w:rsidRPr="00A1115A">
              <w:t>Case 4</w:t>
            </w:r>
          </w:p>
        </w:tc>
        <w:tc>
          <w:tcPr>
            <w:tcW w:w="1432" w:type="dxa"/>
          </w:tcPr>
          <w:p w14:paraId="3137CBB7" w14:textId="135215E7" w:rsidR="00B53906" w:rsidRPr="00A1115A" w:rsidRDefault="00B53906" w:rsidP="00AA6C64">
            <w:pPr>
              <w:pStyle w:val="TAH"/>
            </w:pPr>
            <w:r w:rsidRPr="00A1115A">
              <w:t xml:space="preserve">Case </w:t>
            </w:r>
            <w:r>
              <w:t>5</w:t>
            </w:r>
          </w:p>
        </w:tc>
      </w:tr>
      <w:tr w:rsidR="00B53906" w:rsidRPr="00A1115A" w14:paraId="186FAF05" w14:textId="16EF661B" w:rsidTr="00D4698A">
        <w:trPr>
          <w:jc w:val="center"/>
        </w:trPr>
        <w:tc>
          <w:tcPr>
            <w:tcW w:w="977" w:type="dxa"/>
            <w:tcBorders>
              <w:top w:val="nil"/>
              <w:bottom w:val="nil"/>
            </w:tcBorders>
            <w:shd w:val="clear" w:color="auto" w:fill="auto"/>
          </w:tcPr>
          <w:p w14:paraId="414DAC5D" w14:textId="77777777" w:rsidR="00B53906" w:rsidRPr="00A1115A" w:rsidRDefault="00B53906" w:rsidP="00AA6C64">
            <w:pPr>
              <w:pStyle w:val="TAC"/>
              <w:jc w:val="left"/>
              <w:rPr>
                <w:lang w:val="sv-SE"/>
              </w:rPr>
            </w:pPr>
          </w:p>
        </w:tc>
        <w:tc>
          <w:tcPr>
            <w:tcW w:w="1170" w:type="dxa"/>
            <w:shd w:val="clear" w:color="auto" w:fill="auto"/>
          </w:tcPr>
          <w:p w14:paraId="5BDA4C5E" w14:textId="77777777" w:rsidR="00B53906" w:rsidRPr="00A1115A" w:rsidRDefault="00B53906" w:rsidP="00AA6C64">
            <w:pPr>
              <w:pStyle w:val="TAL"/>
              <w:rPr>
                <w:lang w:val="sv-SE"/>
              </w:rPr>
            </w:pPr>
            <w:r w:rsidRPr="00A1115A">
              <w:rPr>
                <w:lang w:val="sv-SE"/>
              </w:rPr>
              <w:t>P</w:t>
            </w:r>
            <w:r w:rsidRPr="00A1115A">
              <w:rPr>
                <w:vertAlign w:val="subscript"/>
                <w:lang w:val="sv-SE"/>
              </w:rPr>
              <w:t>interferer</w:t>
            </w:r>
          </w:p>
        </w:tc>
        <w:tc>
          <w:tcPr>
            <w:tcW w:w="720" w:type="dxa"/>
          </w:tcPr>
          <w:p w14:paraId="60B09128" w14:textId="77777777" w:rsidR="00B53906" w:rsidRPr="00A1115A" w:rsidRDefault="00B53906" w:rsidP="00AA6C64">
            <w:pPr>
              <w:pStyle w:val="TAC"/>
              <w:rPr>
                <w:lang w:val="sv-SE"/>
              </w:rPr>
            </w:pPr>
            <w:r w:rsidRPr="00A1115A">
              <w:rPr>
                <w:lang w:val="sv-SE"/>
              </w:rPr>
              <w:t>dBm</w:t>
            </w:r>
          </w:p>
        </w:tc>
        <w:tc>
          <w:tcPr>
            <w:tcW w:w="1167" w:type="dxa"/>
            <w:vAlign w:val="center"/>
          </w:tcPr>
          <w:p w14:paraId="70BD91A8" w14:textId="77777777" w:rsidR="00B53906" w:rsidRPr="00A1115A" w:rsidRDefault="00B53906" w:rsidP="00AA6C64">
            <w:pPr>
              <w:pStyle w:val="TAC"/>
            </w:pPr>
            <w:r w:rsidRPr="00A1115A">
              <w:t>-56</w:t>
            </w:r>
          </w:p>
        </w:tc>
        <w:tc>
          <w:tcPr>
            <w:tcW w:w="1489" w:type="dxa"/>
          </w:tcPr>
          <w:p w14:paraId="3389C9FA" w14:textId="77777777" w:rsidR="00B53906" w:rsidRPr="00A1115A" w:rsidRDefault="00B53906" w:rsidP="00AA6C64">
            <w:pPr>
              <w:pStyle w:val="TAC"/>
            </w:pPr>
            <w:r w:rsidRPr="00A1115A">
              <w:t>-44</w:t>
            </w:r>
          </w:p>
        </w:tc>
        <w:tc>
          <w:tcPr>
            <w:tcW w:w="1260" w:type="dxa"/>
          </w:tcPr>
          <w:p w14:paraId="48163DAF" w14:textId="77777777" w:rsidR="00B53906" w:rsidRPr="00A2217E" w:rsidRDefault="00B53906" w:rsidP="00AA6C64">
            <w:pPr>
              <w:pStyle w:val="TAC"/>
            </w:pPr>
            <w:r w:rsidRPr="00A2217E">
              <w:t>-15</w:t>
            </w:r>
          </w:p>
        </w:tc>
        <w:tc>
          <w:tcPr>
            <w:tcW w:w="1320" w:type="dxa"/>
          </w:tcPr>
          <w:p w14:paraId="18492F74" w14:textId="77777777" w:rsidR="00B53906" w:rsidRPr="00A1115A" w:rsidRDefault="00B53906" w:rsidP="00AA6C64">
            <w:pPr>
              <w:pStyle w:val="TAC"/>
            </w:pPr>
            <w:r w:rsidRPr="00A1115A">
              <w:t>-38</w:t>
            </w:r>
          </w:p>
        </w:tc>
        <w:tc>
          <w:tcPr>
            <w:tcW w:w="1432" w:type="dxa"/>
          </w:tcPr>
          <w:p w14:paraId="792CC4E4" w14:textId="56EC4640" w:rsidR="00B53906" w:rsidRPr="00110568" w:rsidRDefault="00B53906" w:rsidP="00AA6C64">
            <w:pPr>
              <w:pStyle w:val="TAC"/>
              <w:rPr>
                <w:highlight w:val="yellow"/>
                <w:vertAlign w:val="superscript"/>
              </w:rPr>
            </w:pPr>
            <w:r w:rsidRPr="00A2217E">
              <w:rPr>
                <w:highlight w:val="yellow"/>
              </w:rPr>
              <w:t>-22</w:t>
            </w:r>
            <w:r>
              <w:rPr>
                <w:highlight w:val="yellow"/>
                <w:vertAlign w:val="superscript"/>
              </w:rPr>
              <w:t>4</w:t>
            </w:r>
          </w:p>
        </w:tc>
      </w:tr>
      <w:tr w:rsidR="00B53906" w:rsidRPr="00A1115A" w14:paraId="59BE98C8" w14:textId="623BEF0E" w:rsidTr="00D4698A">
        <w:trPr>
          <w:jc w:val="center"/>
        </w:trPr>
        <w:tc>
          <w:tcPr>
            <w:tcW w:w="977" w:type="dxa"/>
          </w:tcPr>
          <w:p w14:paraId="0F9A0698" w14:textId="77777777" w:rsidR="00B53906" w:rsidRPr="00A1115A" w:rsidRDefault="00B53906" w:rsidP="00AA6C64">
            <w:pPr>
              <w:pStyle w:val="TAL"/>
            </w:pPr>
            <w:r w:rsidRPr="00A1115A">
              <w:t>n71</w:t>
            </w:r>
          </w:p>
        </w:tc>
        <w:tc>
          <w:tcPr>
            <w:tcW w:w="1170" w:type="dxa"/>
            <w:shd w:val="clear" w:color="auto" w:fill="auto"/>
          </w:tcPr>
          <w:p w14:paraId="22FBBC67" w14:textId="77777777" w:rsidR="00B53906" w:rsidRPr="00A1115A" w:rsidRDefault="00B53906" w:rsidP="00AA6C64">
            <w:pPr>
              <w:pStyle w:val="TAL"/>
              <w:rPr>
                <w:lang w:val="sv-SE"/>
              </w:rPr>
            </w:pPr>
            <w:r w:rsidRPr="00A1115A">
              <w:rPr>
                <w:lang w:val="sv-SE"/>
              </w:rPr>
              <w:t>F</w:t>
            </w:r>
            <w:r w:rsidRPr="00A1115A">
              <w:rPr>
                <w:vertAlign w:val="subscript"/>
                <w:lang w:val="sv-SE"/>
              </w:rPr>
              <w:t>interferer</w:t>
            </w:r>
          </w:p>
        </w:tc>
        <w:tc>
          <w:tcPr>
            <w:tcW w:w="720" w:type="dxa"/>
          </w:tcPr>
          <w:p w14:paraId="2E778453" w14:textId="77777777" w:rsidR="00B53906" w:rsidRPr="00A1115A" w:rsidRDefault="00B53906" w:rsidP="00AA6C64">
            <w:pPr>
              <w:pStyle w:val="TAC"/>
              <w:rPr>
                <w:lang w:val="sv-SE"/>
              </w:rPr>
            </w:pPr>
            <w:r w:rsidRPr="00A1115A">
              <w:rPr>
                <w:lang w:val="sv-SE"/>
              </w:rPr>
              <w:t>MHz</w:t>
            </w:r>
          </w:p>
        </w:tc>
        <w:tc>
          <w:tcPr>
            <w:tcW w:w="1167" w:type="dxa"/>
          </w:tcPr>
          <w:p w14:paraId="3A1C33E0" w14:textId="77777777" w:rsidR="00B53906" w:rsidRPr="00A1115A" w:rsidRDefault="00B53906" w:rsidP="00AA6C64">
            <w:pPr>
              <w:pStyle w:val="TAC"/>
            </w:pPr>
            <w:r w:rsidRPr="00A1115A">
              <w:t>NOTE 2</w:t>
            </w:r>
          </w:p>
        </w:tc>
        <w:tc>
          <w:tcPr>
            <w:tcW w:w="1489" w:type="dxa"/>
          </w:tcPr>
          <w:p w14:paraId="66FEFC67" w14:textId="77777777" w:rsidR="00B53906" w:rsidRPr="00A1115A" w:rsidRDefault="00B53906" w:rsidP="00AA6C64">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260" w:type="dxa"/>
          </w:tcPr>
          <w:p w14:paraId="5F25E810" w14:textId="77777777" w:rsidR="00B53906" w:rsidRPr="00A2217E" w:rsidRDefault="00B53906" w:rsidP="00AA6C64">
            <w:pPr>
              <w:pStyle w:val="TAC"/>
            </w:pPr>
            <w:proofErr w:type="spellStart"/>
            <w:r w:rsidRPr="00A2217E">
              <w:t>F</w:t>
            </w:r>
            <w:r w:rsidRPr="00A2217E">
              <w:rPr>
                <w:vertAlign w:val="subscript"/>
              </w:rPr>
              <w:t>DL_low</w:t>
            </w:r>
            <w:proofErr w:type="spellEnd"/>
            <w:r w:rsidRPr="00A2217E">
              <w:t xml:space="preserve"> – 12</w:t>
            </w:r>
          </w:p>
        </w:tc>
        <w:tc>
          <w:tcPr>
            <w:tcW w:w="1320" w:type="dxa"/>
          </w:tcPr>
          <w:p w14:paraId="4C449630" w14:textId="77777777" w:rsidR="00B53906" w:rsidRPr="00A1115A" w:rsidRDefault="00B53906" w:rsidP="00AA6C64">
            <w:pPr>
              <w:pStyle w:val="TAC"/>
            </w:pPr>
          </w:p>
        </w:tc>
        <w:tc>
          <w:tcPr>
            <w:tcW w:w="1432" w:type="dxa"/>
          </w:tcPr>
          <w:p w14:paraId="304EE0C0" w14:textId="77777777" w:rsidR="00B53906" w:rsidRPr="00A1115A" w:rsidRDefault="00B53906" w:rsidP="00AA6C64">
            <w:pPr>
              <w:pStyle w:val="TAC"/>
            </w:pPr>
          </w:p>
        </w:tc>
      </w:tr>
      <w:tr w:rsidR="00B53906" w:rsidRPr="00A1115A" w14:paraId="65EC2C0C" w14:textId="2D6769D2" w:rsidTr="00D4698A">
        <w:trPr>
          <w:jc w:val="center"/>
        </w:trPr>
        <w:tc>
          <w:tcPr>
            <w:tcW w:w="977" w:type="dxa"/>
          </w:tcPr>
          <w:p w14:paraId="7FF82145" w14:textId="77777777" w:rsidR="00B53906" w:rsidRPr="00A1115A" w:rsidRDefault="00B53906" w:rsidP="00AA6C64">
            <w:pPr>
              <w:pStyle w:val="TAL"/>
            </w:pPr>
            <w:r>
              <w:t>n105</w:t>
            </w:r>
          </w:p>
        </w:tc>
        <w:tc>
          <w:tcPr>
            <w:tcW w:w="1170" w:type="dxa"/>
            <w:shd w:val="clear" w:color="auto" w:fill="auto"/>
          </w:tcPr>
          <w:p w14:paraId="6D21547E" w14:textId="77777777" w:rsidR="00B53906" w:rsidRPr="00A1115A" w:rsidRDefault="00B53906" w:rsidP="00AA6C64">
            <w:pPr>
              <w:pStyle w:val="TAL"/>
              <w:rPr>
                <w:lang w:val="sv-SE"/>
              </w:rPr>
            </w:pPr>
            <w:r w:rsidRPr="00A1115A">
              <w:rPr>
                <w:lang w:val="sv-SE"/>
              </w:rPr>
              <w:t>F</w:t>
            </w:r>
            <w:r w:rsidRPr="00A1115A">
              <w:rPr>
                <w:vertAlign w:val="subscript"/>
                <w:lang w:val="sv-SE"/>
              </w:rPr>
              <w:t>interferer</w:t>
            </w:r>
          </w:p>
        </w:tc>
        <w:tc>
          <w:tcPr>
            <w:tcW w:w="720" w:type="dxa"/>
          </w:tcPr>
          <w:p w14:paraId="32B34C80" w14:textId="77777777" w:rsidR="00B53906" w:rsidRPr="00A1115A" w:rsidRDefault="00B53906" w:rsidP="00AA6C64">
            <w:pPr>
              <w:pStyle w:val="TAC"/>
              <w:rPr>
                <w:lang w:val="sv-SE"/>
              </w:rPr>
            </w:pPr>
            <w:r w:rsidRPr="00A1115A">
              <w:rPr>
                <w:lang w:val="sv-SE"/>
              </w:rPr>
              <w:t>MHz</w:t>
            </w:r>
          </w:p>
        </w:tc>
        <w:tc>
          <w:tcPr>
            <w:tcW w:w="1167" w:type="dxa"/>
          </w:tcPr>
          <w:p w14:paraId="238AA58A" w14:textId="743B128C" w:rsidR="00B53906" w:rsidRPr="00A1115A" w:rsidRDefault="00B53906" w:rsidP="00AA6C64">
            <w:pPr>
              <w:pStyle w:val="TAC"/>
            </w:pPr>
            <w:r w:rsidRPr="00A1115A">
              <w:t xml:space="preserve">NOTE </w:t>
            </w:r>
            <w:r>
              <w:t>2</w:t>
            </w:r>
          </w:p>
        </w:tc>
        <w:tc>
          <w:tcPr>
            <w:tcW w:w="1489" w:type="dxa"/>
          </w:tcPr>
          <w:p w14:paraId="18FD6D36" w14:textId="77777777" w:rsidR="00B53906" w:rsidRPr="00A1115A" w:rsidRDefault="00B53906" w:rsidP="00AA6C64">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260" w:type="dxa"/>
          </w:tcPr>
          <w:p w14:paraId="4D536E6F" w14:textId="77777777" w:rsidR="00B53906" w:rsidRPr="00B2761C" w:rsidRDefault="00B53906" w:rsidP="00AA6C64">
            <w:pPr>
              <w:pStyle w:val="TAC"/>
              <w:rPr>
                <w:highlight w:val="yellow"/>
              </w:rPr>
            </w:pPr>
          </w:p>
        </w:tc>
        <w:tc>
          <w:tcPr>
            <w:tcW w:w="1320" w:type="dxa"/>
          </w:tcPr>
          <w:p w14:paraId="14C06C8C" w14:textId="77777777" w:rsidR="00B53906" w:rsidRPr="00A1115A" w:rsidRDefault="00B53906" w:rsidP="00AA6C64">
            <w:pPr>
              <w:pStyle w:val="TAC"/>
            </w:pPr>
          </w:p>
        </w:tc>
        <w:tc>
          <w:tcPr>
            <w:tcW w:w="1432" w:type="dxa"/>
          </w:tcPr>
          <w:p w14:paraId="73536E6F" w14:textId="21423435" w:rsidR="00B53906" w:rsidRPr="00B2761C" w:rsidRDefault="00B53906" w:rsidP="00AA6C64">
            <w:pPr>
              <w:pStyle w:val="TAC"/>
              <w:rPr>
                <w:highlight w:val="yellow"/>
              </w:rPr>
            </w:pPr>
            <w:proofErr w:type="spellStart"/>
            <w:r w:rsidRPr="00B2761C">
              <w:rPr>
                <w:highlight w:val="yellow"/>
              </w:rPr>
              <w:t>F</w:t>
            </w:r>
            <w:r w:rsidRPr="00B2761C">
              <w:rPr>
                <w:highlight w:val="yellow"/>
                <w:vertAlign w:val="subscript"/>
              </w:rPr>
              <w:t>DL_low</w:t>
            </w:r>
            <w:proofErr w:type="spellEnd"/>
            <w:r w:rsidRPr="00B2761C">
              <w:rPr>
                <w:highlight w:val="yellow"/>
              </w:rPr>
              <w:t xml:space="preserve"> – </w:t>
            </w:r>
            <w:r w:rsidRPr="00163F8C">
              <w:rPr>
                <w:highlight w:val="yellow"/>
              </w:rPr>
              <w:t>7</w:t>
            </w:r>
          </w:p>
        </w:tc>
      </w:tr>
      <w:tr w:rsidR="00110568" w:rsidRPr="00A1115A" w14:paraId="425CD7C5" w14:textId="0984BF78" w:rsidTr="00D4698A">
        <w:trPr>
          <w:jc w:val="center"/>
        </w:trPr>
        <w:tc>
          <w:tcPr>
            <w:tcW w:w="9535" w:type="dxa"/>
            <w:gridSpan w:val="8"/>
          </w:tcPr>
          <w:p w14:paraId="3661D96B" w14:textId="77777777" w:rsidR="00110568" w:rsidRPr="00A1115A" w:rsidRDefault="00110568" w:rsidP="00AA6C64">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28267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75pt;height:11.1pt" o:ole="">
                  <v:imagedata r:id="rId8" o:title=""/>
                </v:shape>
                <o:OLEObject Type="Embed" ProgID="Equation.3" ShapeID="_x0000_i1025" DrawAspect="Content" ObjectID="_1729334265" r:id="rId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62DEBA2E" w14:textId="77777777" w:rsidR="00110568" w:rsidRDefault="00110568" w:rsidP="00AA6C64">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15996E86" w14:textId="77777777" w:rsidR="00110568" w:rsidRDefault="00110568" w:rsidP="00AA6C64">
            <w:pPr>
              <w:pStyle w:val="TAN"/>
            </w:pPr>
            <w:r w:rsidRPr="00A1115A">
              <w:t>NOTE 3:</w:t>
            </w:r>
            <w:r w:rsidRPr="00A1115A">
              <w:tab/>
              <w:t>n48 follows the requirement in this frequency range according to the general requirement defined in Clause 7.1.</w:t>
            </w:r>
          </w:p>
          <w:p w14:paraId="44B2149E" w14:textId="162FE7AB" w:rsidR="00110568" w:rsidRPr="00110568" w:rsidRDefault="00110568" w:rsidP="00AA6C64">
            <w:pPr>
              <w:pStyle w:val="TAN"/>
            </w:pPr>
            <w:r w:rsidRPr="00110568">
              <w:rPr>
                <w:highlight w:val="yellow"/>
              </w:rPr>
              <w:t xml:space="preserve">NOTE 4:  For Band n105 channels overlapping the 612 - 617 MHz frequency range, </w:t>
            </w:r>
            <w:r w:rsidRPr="00110568">
              <w:rPr>
                <w:highlight w:val="yellow"/>
                <w:lang w:val="sv-SE"/>
              </w:rPr>
              <w:t>P</w:t>
            </w:r>
            <w:r w:rsidRPr="00110568">
              <w:rPr>
                <w:highlight w:val="yellow"/>
                <w:vertAlign w:val="subscript"/>
                <w:lang w:val="sv-SE"/>
              </w:rPr>
              <w:t>interferer</w:t>
            </w:r>
            <w:r w:rsidRPr="00110568">
              <w:rPr>
                <w:highlight w:val="yellow"/>
                <w:lang w:val="sv-SE"/>
              </w:rPr>
              <w:t xml:space="preserve"> is modified to -34 dBm.</w:t>
            </w:r>
          </w:p>
        </w:tc>
      </w:tr>
      <w:bookmarkEnd w:id="0"/>
    </w:tbl>
    <w:p w14:paraId="7138B937" w14:textId="77777777" w:rsidR="00550781" w:rsidRPr="00B27FDB" w:rsidRDefault="00550781" w:rsidP="00B25F6B">
      <w:pPr>
        <w:rPr>
          <w:lang w:val="en-US"/>
        </w:rPr>
      </w:pP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39757FCD" w14:textId="087ACD0F" w:rsidR="001F0242" w:rsidRDefault="00110568" w:rsidP="001F0242">
      <w:pPr>
        <w:rPr>
          <w:lang w:val="en-US"/>
        </w:rPr>
      </w:pPr>
      <w:r>
        <w:rPr>
          <w:lang w:val="en-US"/>
        </w:rPr>
        <w:t>In-band blocking for Band n105 is proposed in this contribution to provide protection against DTT blockers below the band.  The proposal in this contribution is a consolidation between proposals from [2] and [3].</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4A2570A6" w14:textId="260A7E5A" w:rsidR="002F11CC" w:rsidRDefault="002F11CC" w:rsidP="00D23312">
      <w:pPr>
        <w:numPr>
          <w:ilvl w:val="0"/>
          <w:numId w:val="2"/>
        </w:numPr>
        <w:tabs>
          <w:tab w:val="left" w:pos="1080"/>
        </w:tabs>
        <w:rPr>
          <w:lang w:val="en-US" w:eastAsia="x-none"/>
        </w:rPr>
      </w:pPr>
      <w:bookmarkStart w:id="1" w:name="_Hlk859252"/>
      <w:r>
        <w:rPr>
          <w:lang w:val="en-US" w:eastAsia="x-none"/>
        </w:rPr>
        <w:t>R4-2217806, “</w:t>
      </w:r>
      <w:r w:rsidR="00F313BF" w:rsidRPr="00F313BF">
        <w:rPr>
          <w:lang w:val="en-US" w:eastAsia="x-none"/>
        </w:rPr>
        <w:t>WF on UE requirements for n105</w:t>
      </w:r>
      <w:r w:rsidR="00F313BF">
        <w:rPr>
          <w:lang w:val="en-US" w:eastAsia="x-none"/>
        </w:rPr>
        <w:t>,” OPPO</w:t>
      </w:r>
    </w:p>
    <w:p w14:paraId="5E7962A4" w14:textId="295C0480" w:rsidR="00AF393E" w:rsidRDefault="00AF393E" w:rsidP="00D23312">
      <w:pPr>
        <w:numPr>
          <w:ilvl w:val="0"/>
          <w:numId w:val="2"/>
        </w:numPr>
        <w:tabs>
          <w:tab w:val="left" w:pos="1080"/>
        </w:tabs>
        <w:rPr>
          <w:lang w:val="en-US" w:eastAsia="x-none"/>
        </w:rPr>
      </w:pPr>
      <w:r>
        <w:rPr>
          <w:lang w:val="en-US" w:eastAsia="x-none"/>
        </w:rPr>
        <w:t>R4</w:t>
      </w:r>
      <w:r w:rsidR="00415B0E">
        <w:rPr>
          <w:lang w:val="en-US" w:eastAsia="x-none"/>
        </w:rPr>
        <w:t>-2216646, “</w:t>
      </w:r>
      <w:r w:rsidR="00D159C2" w:rsidRPr="00D159C2">
        <w:rPr>
          <w:lang w:val="en-US" w:eastAsia="x-none"/>
        </w:rPr>
        <w:t>In band blocking for APT 600</w:t>
      </w:r>
      <w:r w:rsidR="00D159C2">
        <w:rPr>
          <w:lang w:val="en-US" w:eastAsia="x-none"/>
        </w:rPr>
        <w:t>,” Qualcomm Incorporated</w:t>
      </w:r>
    </w:p>
    <w:p w14:paraId="75C5B4EC" w14:textId="0CE36790" w:rsidR="00D159C2" w:rsidRDefault="00277E66" w:rsidP="00D23312">
      <w:pPr>
        <w:numPr>
          <w:ilvl w:val="0"/>
          <w:numId w:val="2"/>
        </w:numPr>
        <w:tabs>
          <w:tab w:val="left" w:pos="1080"/>
        </w:tabs>
        <w:rPr>
          <w:lang w:val="en-US" w:eastAsia="x-none"/>
        </w:rPr>
      </w:pPr>
      <w:r w:rsidRPr="00277E66">
        <w:rPr>
          <w:lang w:val="en-US" w:eastAsia="x-none"/>
        </w:rPr>
        <w:t>R4-2215637</w:t>
      </w:r>
      <w:r>
        <w:rPr>
          <w:lang w:val="en-US" w:eastAsia="x-none"/>
        </w:rPr>
        <w:t>, “</w:t>
      </w:r>
      <w:r w:rsidR="00977755" w:rsidRPr="00977755">
        <w:rPr>
          <w:lang w:val="en-US" w:eastAsia="x-none"/>
        </w:rPr>
        <w:t>REFSENS and Blocking requirement for n105</w:t>
      </w:r>
      <w:r w:rsidR="00977755">
        <w:rPr>
          <w:lang w:val="en-US" w:eastAsia="x-none"/>
        </w:rPr>
        <w:t>,” Skyworks Solutions, Inc.</w:t>
      </w:r>
      <w:bookmarkEnd w:id="1"/>
    </w:p>
    <w:sectPr w:rsidR="00D159C2"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62576" w14:textId="77777777" w:rsidR="00377749" w:rsidRDefault="00377749">
      <w:r>
        <w:separator/>
      </w:r>
    </w:p>
  </w:endnote>
  <w:endnote w:type="continuationSeparator" w:id="0">
    <w:p w14:paraId="2CEEA9D9" w14:textId="77777777" w:rsidR="00377749" w:rsidRDefault="00377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A7EC5" w14:textId="77777777" w:rsidR="00377749" w:rsidRDefault="00377749">
      <w:r>
        <w:separator/>
      </w:r>
    </w:p>
  </w:footnote>
  <w:footnote w:type="continuationSeparator" w:id="0">
    <w:p w14:paraId="336F2C8F" w14:textId="77777777" w:rsidR="00377749" w:rsidRDefault="00377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D4349"/>
    <w:multiLevelType w:val="hybridMultilevel"/>
    <w:tmpl w:val="160E9A0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5"/>
  </w:num>
  <w:num w:numId="2" w16cid:durableId="513963709">
    <w:abstractNumId w:val="28"/>
  </w:num>
  <w:num w:numId="3" w16cid:durableId="30959319">
    <w:abstractNumId w:val="32"/>
  </w:num>
  <w:num w:numId="4" w16cid:durableId="1579515455">
    <w:abstractNumId w:val="35"/>
  </w:num>
  <w:num w:numId="5" w16cid:durableId="1213884486">
    <w:abstractNumId w:val="26"/>
  </w:num>
  <w:num w:numId="6" w16cid:durableId="895549640">
    <w:abstractNumId w:val="11"/>
  </w:num>
  <w:num w:numId="7" w16cid:durableId="1494643654">
    <w:abstractNumId w:val="4"/>
  </w:num>
  <w:num w:numId="8" w16cid:durableId="1777947175">
    <w:abstractNumId w:val="31"/>
  </w:num>
  <w:num w:numId="9" w16cid:durableId="461308997">
    <w:abstractNumId w:val="12"/>
  </w:num>
  <w:num w:numId="10" w16cid:durableId="1624651259">
    <w:abstractNumId w:val="23"/>
  </w:num>
  <w:num w:numId="11" w16cid:durableId="1362783709">
    <w:abstractNumId w:val="37"/>
  </w:num>
  <w:num w:numId="12" w16cid:durableId="1425344883">
    <w:abstractNumId w:val="10"/>
  </w:num>
  <w:num w:numId="13" w16cid:durableId="2073697746">
    <w:abstractNumId w:val="20"/>
  </w:num>
  <w:num w:numId="14" w16cid:durableId="866678966">
    <w:abstractNumId w:val="6"/>
  </w:num>
  <w:num w:numId="15" w16cid:durableId="1666591006">
    <w:abstractNumId w:val="19"/>
  </w:num>
  <w:num w:numId="16" w16cid:durableId="1524439568">
    <w:abstractNumId w:val="36"/>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8"/>
  </w:num>
  <w:num w:numId="19" w16cid:durableId="2009550563">
    <w:abstractNumId w:val="17"/>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4"/>
  </w:num>
  <w:num w:numId="23" w16cid:durableId="2045934884">
    <w:abstractNumId w:val="25"/>
  </w:num>
  <w:num w:numId="24" w16cid:durableId="1658996919">
    <w:abstractNumId w:val="33"/>
  </w:num>
  <w:num w:numId="25" w16cid:durableId="1145976948">
    <w:abstractNumId w:val="34"/>
  </w:num>
  <w:num w:numId="26" w16cid:durableId="1948657783">
    <w:abstractNumId w:val="5"/>
  </w:num>
  <w:num w:numId="27" w16cid:durableId="1612282645">
    <w:abstractNumId w:val="22"/>
  </w:num>
  <w:num w:numId="28" w16cid:durableId="126902088">
    <w:abstractNumId w:val="24"/>
  </w:num>
  <w:num w:numId="29" w16cid:durableId="906383168">
    <w:abstractNumId w:val="29"/>
  </w:num>
  <w:num w:numId="30" w16cid:durableId="1341155545">
    <w:abstractNumId w:val="7"/>
  </w:num>
  <w:num w:numId="31" w16cid:durableId="674380148">
    <w:abstractNumId w:val="13"/>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6"/>
  </w:num>
  <w:num w:numId="36" w16cid:durableId="1071586423">
    <w:abstractNumId w:val="2"/>
  </w:num>
  <w:num w:numId="37" w16cid:durableId="1338195957">
    <w:abstractNumId w:val="30"/>
  </w:num>
  <w:num w:numId="38" w16cid:durableId="1058632768">
    <w:abstractNumId w:val="8"/>
  </w:num>
  <w:num w:numId="39" w16cid:durableId="1014115387">
    <w:abstractNumId w:val="21"/>
  </w:num>
  <w:num w:numId="40" w16cid:durableId="132685769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8"/>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278"/>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3FC6"/>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3F8C"/>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51C"/>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0BE5"/>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A11"/>
    <w:rsid w:val="00275B1A"/>
    <w:rsid w:val="00275C3D"/>
    <w:rsid w:val="00275CFF"/>
    <w:rsid w:val="00276223"/>
    <w:rsid w:val="00276A29"/>
    <w:rsid w:val="00276CC3"/>
    <w:rsid w:val="002778DC"/>
    <w:rsid w:val="00277B68"/>
    <w:rsid w:val="00277BD4"/>
    <w:rsid w:val="00277E66"/>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1CC"/>
    <w:rsid w:val="002F1223"/>
    <w:rsid w:val="002F1791"/>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1D9"/>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3AB"/>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749"/>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A7F32"/>
    <w:rsid w:val="003B0495"/>
    <w:rsid w:val="003B04FC"/>
    <w:rsid w:val="003B0C9D"/>
    <w:rsid w:val="003B0D36"/>
    <w:rsid w:val="003B1819"/>
    <w:rsid w:val="003B1BB6"/>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D9C"/>
    <w:rsid w:val="003C2307"/>
    <w:rsid w:val="003C253D"/>
    <w:rsid w:val="003C2936"/>
    <w:rsid w:val="003C2C65"/>
    <w:rsid w:val="003C2F30"/>
    <w:rsid w:val="003C2F7F"/>
    <w:rsid w:val="003C37C2"/>
    <w:rsid w:val="003C3942"/>
    <w:rsid w:val="003C4226"/>
    <w:rsid w:val="003C4768"/>
    <w:rsid w:val="003C4817"/>
    <w:rsid w:val="003C4A26"/>
    <w:rsid w:val="003C4F69"/>
    <w:rsid w:val="003C5105"/>
    <w:rsid w:val="003C51B6"/>
    <w:rsid w:val="003C5435"/>
    <w:rsid w:val="003C5692"/>
    <w:rsid w:val="003C5E38"/>
    <w:rsid w:val="003C6439"/>
    <w:rsid w:val="003C6596"/>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70"/>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6EBE"/>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0E"/>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3E01"/>
    <w:rsid w:val="00533FE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56A"/>
    <w:rsid w:val="00546C85"/>
    <w:rsid w:val="00546E76"/>
    <w:rsid w:val="0054738D"/>
    <w:rsid w:val="005474E1"/>
    <w:rsid w:val="00547903"/>
    <w:rsid w:val="00547B0A"/>
    <w:rsid w:val="00547B0B"/>
    <w:rsid w:val="00547B57"/>
    <w:rsid w:val="00550135"/>
    <w:rsid w:val="0055072E"/>
    <w:rsid w:val="00550781"/>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08E"/>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03"/>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0FD7"/>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8F5"/>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5EB4"/>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9E4"/>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6BF"/>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0CE"/>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54A"/>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36"/>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5FC0"/>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34"/>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1A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88E"/>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719"/>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755"/>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1E45"/>
    <w:rsid w:val="00992083"/>
    <w:rsid w:val="00992163"/>
    <w:rsid w:val="00992913"/>
    <w:rsid w:val="0099327E"/>
    <w:rsid w:val="00993E0F"/>
    <w:rsid w:val="009947EA"/>
    <w:rsid w:val="00994B6D"/>
    <w:rsid w:val="00995415"/>
    <w:rsid w:val="009955AA"/>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B90"/>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99C"/>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3E"/>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45B"/>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DB"/>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906"/>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EAF"/>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2BE"/>
    <w:rsid w:val="00B877AA"/>
    <w:rsid w:val="00B879AB"/>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1F6C"/>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5DC"/>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9C2"/>
    <w:rsid w:val="00D15C91"/>
    <w:rsid w:val="00D15F88"/>
    <w:rsid w:val="00D16526"/>
    <w:rsid w:val="00D16E4A"/>
    <w:rsid w:val="00D16E66"/>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98A"/>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8B6"/>
    <w:rsid w:val="00D85CD8"/>
    <w:rsid w:val="00D86377"/>
    <w:rsid w:val="00D86A96"/>
    <w:rsid w:val="00D86DB1"/>
    <w:rsid w:val="00D871F0"/>
    <w:rsid w:val="00D8720A"/>
    <w:rsid w:val="00D873C3"/>
    <w:rsid w:val="00D87823"/>
    <w:rsid w:val="00D87956"/>
    <w:rsid w:val="00D90931"/>
    <w:rsid w:val="00D90D9A"/>
    <w:rsid w:val="00D91130"/>
    <w:rsid w:val="00D9152D"/>
    <w:rsid w:val="00D915E9"/>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B746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BE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CBF"/>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16"/>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75"/>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A7A67"/>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9DA"/>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3BF"/>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0EB4"/>
    <w:rsid w:val="00F4288E"/>
    <w:rsid w:val="00F42BC0"/>
    <w:rsid w:val="00F434D7"/>
    <w:rsid w:val="00F437E7"/>
    <w:rsid w:val="00F43ADD"/>
    <w:rsid w:val="00F44A09"/>
    <w:rsid w:val="00F453EE"/>
    <w:rsid w:val="00F45965"/>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4ED3"/>
    <w:rsid w:val="00F550AE"/>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4A1"/>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684</Words>
  <Characters>3901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2022-11-07T21:41:00Z</dcterms:created>
  <dcterms:modified xsi:type="dcterms:W3CDTF">2022-11-07T21:41:00Z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