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34406E31"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384CDA">
        <w:rPr>
          <w:b/>
          <w:noProof/>
          <w:sz w:val="24"/>
        </w:rPr>
        <w:t>4</w:t>
      </w:r>
      <w:r w:rsidR="00195042">
        <w:rPr>
          <w:b/>
          <w:noProof/>
          <w:sz w:val="24"/>
        </w:rPr>
        <w:t>-bis</w:t>
      </w:r>
      <w:r w:rsidR="00546D44">
        <w:rPr>
          <w:b/>
          <w:noProof/>
          <w:sz w:val="24"/>
        </w:rPr>
        <w:t>-</w:t>
      </w:r>
      <w:r w:rsidRPr="003A71A1">
        <w:rPr>
          <w:b/>
          <w:noProof/>
          <w:sz w:val="24"/>
        </w:rPr>
        <w:t xml:space="preserve">e </w:t>
      </w:r>
      <w:r w:rsidR="00B66DD7">
        <w:rPr>
          <w:b/>
          <w:i/>
          <w:noProof/>
          <w:sz w:val="28"/>
        </w:rPr>
        <w:tab/>
      </w:r>
      <w:r w:rsidR="0064670F" w:rsidRPr="0064670F">
        <w:rPr>
          <w:b/>
          <w:i/>
          <w:noProof/>
          <w:sz w:val="28"/>
        </w:rPr>
        <w:t>R4-2216422</w:t>
      </w:r>
    </w:p>
    <w:p w14:paraId="3E512B0B" w14:textId="283027F3"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195042">
        <w:rPr>
          <w:rFonts w:ascii="Arial" w:hAnsi="Arial" w:cs="Arial"/>
          <w:b/>
          <w:sz w:val="24"/>
          <w:szCs w:val="24"/>
        </w:rPr>
        <w:t>October</w:t>
      </w:r>
      <w:r w:rsidRPr="00D544DE">
        <w:rPr>
          <w:rFonts w:ascii="Arial" w:hAnsi="Arial" w:cs="Arial"/>
          <w:b/>
          <w:sz w:val="24"/>
          <w:szCs w:val="24"/>
        </w:rPr>
        <w:t xml:space="preserve"> </w:t>
      </w:r>
      <w:r w:rsidR="00195042">
        <w:rPr>
          <w:rFonts w:ascii="Arial" w:hAnsi="Arial" w:cs="Arial"/>
          <w:b/>
          <w:sz w:val="24"/>
          <w:szCs w:val="24"/>
        </w:rPr>
        <w:t>10</w:t>
      </w:r>
      <w:r w:rsidR="006A6F17">
        <w:rPr>
          <w:rFonts w:ascii="Arial" w:hAnsi="Arial" w:cs="Arial"/>
          <w:b/>
          <w:sz w:val="24"/>
          <w:szCs w:val="24"/>
        </w:rPr>
        <w:t>-</w:t>
      </w:r>
      <w:r w:rsidR="00195042">
        <w:rPr>
          <w:rFonts w:ascii="Arial" w:hAnsi="Arial" w:cs="Arial"/>
          <w:b/>
          <w:sz w:val="24"/>
          <w:szCs w:val="24"/>
        </w:rPr>
        <w:t>19</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2090CDF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0215BA">
        <w:rPr>
          <w:rFonts w:ascii="Arial" w:hAnsi="Arial" w:cs="Arial"/>
          <w:bCs/>
          <w:lang w:val="en-US"/>
        </w:rPr>
        <w:t>R</w:t>
      </w:r>
      <w:r w:rsidR="00827657" w:rsidRPr="00827657">
        <w:rPr>
          <w:rFonts w:ascii="Arial" w:hAnsi="Arial" w:cs="Arial"/>
          <w:bCs/>
          <w:lang w:val="en-US"/>
        </w:rPr>
        <w:t>equirements for DRX case</w:t>
      </w:r>
    </w:p>
    <w:p w14:paraId="710B5126" w14:textId="29CA903F"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0215BA" w:rsidRPr="000215BA">
        <w:rPr>
          <w:rFonts w:ascii="Arial" w:hAnsi="Arial" w:cs="Arial"/>
          <w:bCs/>
          <w:lang w:val="en-US"/>
        </w:rPr>
        <w:t>4.7.1</w:t>
      </w:r>
    </w:p>
    <w:p w14:paraId="5A3522FA" w14:textId="6C1F07CE"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r w:rsidR="000215BA">
        <w:rPr>
          <w:rFonts w:ascii="Arial" w:hAnsi="Arial" w:cs="Arial"/>
          <w:bCs/>
          <w:lang w:val="en-US"/>
        </w:rPr>
        <w:t>A</w:t>
      </w:r>
      <w:r w:rsidRPr="006C1584">
        <w:rPr>
          <w:rFonts w:ascii="Arial" w:hAnsi="Arial" w:cs="Arial"/>
          <w:bCs/>
          <w:lang w:val="en-US"/>
        </w:rPr>
        <w:t>pproval</w:t>
      </w:r>
      <w:bookmarkEnd w:id="0"/>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77C33AD0" w:rsidR="00B93FB3" w:rsidRDefault="00FF43AF" w:rsidP="00B93FB3">
      <w:pPr>
        <w:rPr>
          <w:lang w:val="en-US"/>
        </w:rPr>
      </w:pPr>
      <w:r>
        <w:rPr>
          <w:lang w:val="en-US"/>
        </w:rPr>
        <w:t>In RAN4#104 WF [1] it was agreed to:</w:t>
      </w:r>
    </w:p>
    <w:tbl>
      <w:tblPr>
        <w:tblStyle w:val="TableGrid"/>
        <w:tblW w:w="0" w:type="auto"/>
        <w:tblLook w:val="04A0" w:firstRow="1" w:lastRow="0" w:firstColumn="1" w:lastColumn="0" w:noHBand="0" w:noVBand="1"/>
      </w:tblPr>
      <w:tblGrid>
        <w:gridCol w:w="9631"/>
      </w:tblGrid>
      <w:tr w:rsidR="00FF43AF" w14:paraId="0C36A008" w14:textId="77777777" w:rsidTr="00FF43AF">
        <w:tc>
          <w:tcPr>
            <w:tcW w:w="9631" w:type="dxa"/>
          </w:tcPr>
          <w:p w14:paraId="2D0AD0F6" w14:textId="703DA1AE" w:rsidR="00FF43AF" w:rsidRPr="00FF43AF" w:rsidRDefault="00FF43AF" w:rsidP="00FF43AF">
            <w:pPr>
              <w:rPr>
                <w:lang w:val="en-US"/>
              </w:rPr>
            </w:pPr>
            <w:r>
              <w:rPr>
                <w:lang w:val="en-US"/>
              </w:rPr>
              <w:t>...</w:t>
            </w:r>
            <w:r>
              <w:rPr>
                <w:lang w:val="en-US"/>
              </w:rPr>
              <w:br/>
            </w:r>
            <w:r>
              <w:rPr>
                <w:sz w:val="24"/>
                <w:szCs w:val="24"/>
              </w:rPr>
              <w:t>Sub-topic 1-4</w:t>
            </w:r>
          </w:p>
          <w:p w14:paraId="12FF25DE" w14:textId="77777777" w:rsidR="00FF43AF" w:rsidRPr="006E0F8F" w:rsidRDefault="00FF43AF" w:rsidP="00FF43AF">
            <w:r w:rsidRPr="006E0F8F">
              <w:rPr>
                <w:iCs/>
                <w:lang w:val="en-US"/>
              </w:rPr>
              <w:t>Shall RAN4 define PDC requirements when DRX is in use</w:t>
            </w:r>
            <w:r>
              <w:rPr>
                <w:iCs/>
                <w:lang w:val="en-US"/>
              </w:rPr>
              <w:t>.</w:t>
            </w:r>
          </w:p>
          <w:p w14:paraId="615C6779" w14:textId="77777777" w:rsidR="00FF43AF" w:rsidRDefault="00FF43AF" w:rsidP="00FF43AF">
            <w:pPr>
              <w:spacing w:afterLines="50" w:after="120"/>
              <w:rPr>
                <w:lang w:eastAsia="zh-CN"/>
              </w:rPr>
            </w:pPr>
            <w:r>
              <w:rPr>
                <w:b/>
                <w:lang w:eastAsia="zh-CN"/>
              </w:rPr>
              <w:t>Agreement</w:t>
            </w:r>
            <w:r>
              <w:rPr>
                <w:lang w:eastAsia="zh-CN"/>
              </w:rPr>
              <w:t xml:space="preserve">: </w:t>
            </w:r>
          </w:p>
          <w:p w14:paraId="30FA8525" w14:textId="77777777" w:rsidR="00FF43AF" w:rsidRDefault="00FF43AF" w:rsidP="00FF43AF">
            <w:pPr>
              <w:numPr>
                <w:ilvl w:val="0"/>
                <w:numId w:val="6"/>
              </w:numPr>
              <w:spacing w:afterLines="50" w:after="120"/>
              <w:rPr>
                <w:lang w:eastAsia="zh-CN"/>
              </w:rPr>
            </w:pPr>
            <w:r w:rsidRPr="00D8012A">
              <w:rPr>
                <w:lang w:eastAsia="zh-CN"/>
              </w:rPr>
              <w:t>RAN4 will define PDC requirements when DRX is in use</w:t>
            </w:r>
          </w:p>
          <w:p w14:paraId="15D29D68" w14:textId="77777777" w:rsidR="00FF43AF" w:rsidRDefault="00FF43AF" w:rsidP="00FF43AF">
            <w:pPr>
              <w:spacing w:afterLines="50" w:after="120"/>
              <w:rPr>
                <w:lang w:eastAsia="zh-CN"/>
              </w:rPr>
            </w:pPr>
            <w:r>
              <w:rPr>
                <w:b/>
                <w:lang w:eastAsia="zh-CN"/>
              </w:rPr>
              <w:t>Way Forward</w:t>
            </w:r>
            <w:r>
              <w:rPr>
                <w:lang w:eastAsia="zh-CN"/>
              </w:rPr>
              <w:t xml:space="preserve">: </w:t>
            </w:r>
          </w:p>
          <w:p w14:paraId="4BED64C4" w14:textId="77777777" w:rsidR="00FF43AF" w:rsidRDefault="00FF43AF" w:rsidP="00FF43AF">
            <w:pPr>
              <w:numPr>
                <w:ilvl w:val="0"/>
                <w:numId w:val="6"/>
              </w:numPr>
              <w:spacing w:afterLines="50" w:after="120"/>
              <w:rPr>
                <w:lang w:eastAsia="zh-CN"/>
              </w:rPr>
            </w:pPr>
            <w:r w:rsidRPr="00AB5D8C">
              <w:rPr>
                <w:iCs/>
                <w:lang w:eastAsia="zh-CN"/>
              </w:rPr>
              <w:t>Companies to bring discussion and proposal for next meeting addressing the open issue: How to develop requirements when DRX is in use</w:t>
            </w:r>
          </w:p>
          <w:p w14:paraId="120CB2DE" w14:textId="4D1AC8F9" w:rsidR="00FF43AF" w:rsidRDefault="00FF43AF" w:rsidP="00B93FB3">
            <w:pPr>
              <w:rPr>
                <w:lang w:val="en-US"/>
              </w:rPr>
            </w:pPr>
            <w:r>
              <w:rPr>
                <w:lang w:val="en-US"/>
              </w:rPr>
              <w:t>...</w:t>
            </w:r>
          </w:p>
        </w:tc>
      </w:tr>
    </w:tbl>
    <w:p w14:paraId="17B4280A" w14:textId="0FF40BA2" w:rsidR="00FF43AF" w:rsidRPr="00B93FB3" w:rsidRDefault="00FF43AF" w:rsidP="00B93FB3">
      <w:pPr>
        <w:rPr>
          <w:lang w:val="en-US"/>
        </w:rPr>
      </w:pPr>
      <w:r>
        <w:rPr>
          <w:lang w:val="en-US"/>
        </w:rPr>
        <w:br/>
        <w:t>In this contribution, we share our views on the topic.</w:t>
      </w:r>
    </w:p>
    <w:p w14:paraId="7DE08BE8" w14:textId="7AE63798" w:rsidR="00B93FB3" w:rsidRDefault="00B93FB3" w:rsidP="00B93FB3">
      <w:pPr>
        <w:pStyle w:val="Heading1"/>
        <w:rPr>
          <w:lang w:val="en-US"/>
        </w:rPr>
      </w:pPr>
      <w:r>
        <w:rPr>
          <w:lang w:val="en-US"/>
        </w:rPr>
        <w:t>2</w:t>
      </w:r>
      <w:r>
        <w:rPr>
          <w:lang w:val="en-US"/>
        </w:rPr>
        <w:tab/>
      </w:r>
      <w:r w:rsidR="00FF43AF">
        <w:rPr>
          <w:lang w:val="en-US"/>
        </w:rPr>
        <w:t>Discussion</w:t>
      </w:r>
    </w:p>
    <w:p w14:paraId="36DCE4FC" w14:textId="7969CCCA" w:rsidR="00B16D26" w:rsidRDefault="00B16D26" w:rsidP="005236D6">
      <w:pPr>
        <w:rPr>
          <w:lang w:val="en-US"/>
        </w:rPr>
      </w:pPr>
      <w:r w:rsidRPr="005236D6">
        <w:rPr>
          <w:lang w:val="en-US"/>
        </w:rPr>
        <w:t xml:space="preserve">For integration with TSN networks then periodic delivery of timing packets are expected and accurate 5GS clock is needed for packet residence time compensation. Accurate 5GS timing would require regular connection to </w:t>
      </w:r>
      <w:proofErr w:type="spellStart"/>
      <w:r w:rsidRPr="005236D6">
        <w:rPr>
          <w:lang w:val="en-US"/>
        </w:rPr>
        <w:t>gNB</w:t>
      </w:r>
      <w:proofErr w:type="spellEnd"/>
      <w:r w:rsidRPr="005236D6">
        <w:rPr>
          <w:lang w:val="en-US"/>
        </w:rPr>
        <w:t xml:space="preserve"> for time and frequency stability. </w:t>
      </w:r>
    </w:p>
    <w:p w14:paraId="6AE250E0" w14:textId="2E5422C4" w:rsidR="00B16D26" w:rsidRPr="00722B43" w:rsidRDefault="00B16D26" w:rsidP="005236D6">
      <w:pPr>
        <w:rPr>
          <w:b/>
          <w:bCs/>
          <w:lang w:val="en-US"/>
        </w:rPr>
      </w:pPr>
      <w:r w:rsidRPr="00722B43">
        <w:rPr>
          <w:b/>
          <w:bCs/>
          <w:lang w:val="en-US"/>
        </w:rPr>
        <w:t>Observation 1: As pointed out above, accurate TSN clocks are delivered periodically. Will there be time for DRX sleep?</w:t>
      </w:r>
    </w:p>
    <w:p w14:paraId="6CEFC38B" w14:textId="5C76064F" w:rsidR="005236D6" w:rsidRDefault="005236D6" w:rsidP="005236D6">
      <w:pPr>
        <w:rPr>
          <w:lang w:val="en-US"/>
        </w:rPr>
      </w:pPr>
      <w:r>
        <w:rPr>
          <w:lang w:val="en-US"/>
        </w:rPr>
        <w:t xml:space="preserve">In existing specification </w:t>
      </w:r>
      <w:r w:rsidR="006A78BF">
        <w:rPr>
          <w:lang w:val="en-US"/>
        </w:rPr>
        <w:t xml:space="preserve">[2], </w:t>
      </w:r>
      <w:r>
        <w:rPr>
          <w:lang w:val="en-US"/>
        </w:rPr>
        <w:t>we have the following:</w:t>
      </w:r>
    </w:p>
    <w:tbl>
      <w:tblPr>
        <w:tblStyle w:val="TableGrid"/>
        <w:tblW w:w="0" w:type="auto"/>
        <w:tblLook w:val="04A0" w:firstRow="1" w:lastRow="0" w:firstColumn="1" w:lastColumn="0" w:noHBand="0" w:noVBand="1"/>
      </w:tblPr>
      <w:tblGrid>
        <w:gridCol w:w="9631"/>
      </w:tblGrid>
      <w:tr w:rsidR="005236D6" w14:paraId="157804A8" w14:textId="77777777" w:rsidTr="005236D6">
        <w:tc>
          <w:tcPr>
            <w:tcW w:w="9631" w:type="dxa"/>
          </w:tcPr>
          <w:p w14:paraId="63408025" w14:textId="77777777" w:rsidR="00A969D2" w:rsidRPr="009C5807" w:rsidRDefault="005236D6" w:rsidP="00A969D2">
            <w:pPr>
              <w:pStyle w:val="Heading3"/>
            </w:pPr>
            <w:r>
              <w:rPr>
                <w:lang w:val="en-US"/>
              </w:rPr>
              <w:t>...</w:t>
            </w:r>
            <w:r>
              <w:rPr>
                <w:lang w:val="en-US"/>
              </w:rPr>
              <w:br/>
            </w:r>
            <w:r w:rsidR="00A969D2" w:rsidRPr="009C5807">
              <w:t>7.1.2</w:t>
            </w:r>
            <w:r w:rsidR="00A969D2" w:rsidRPr="009C5807">
              <w:tab/>
              <w:t>Requirements</w:t>
            </w:r>
          </w:p>
          <w:p w14:paraId="3C80F2EB" w14:textId="77777777" w:rsidR="00A969D2" w:rsidRPr="009C5807" w:rsidRDefault="00A969D2" w:rsidP="00A969D2">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39F3F54B" w14:textId="77777777" w:rsidR="00A969D2" w:rsidRDefault="00A969D2" w:rsidP="00A969D2">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5F160281" w14:textId="77777777" w:rsidR="00A969D2" w:rsidRPr="009C5807" w:rsidRDefault="00A969D2" w:rsidP="00A969D2">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3E992D9F" w14:textId="68FA8BE3" w:rsidR="005236D6" w:rsidRDefault="005236D6" w:rsidP="005236D6">
            <w:pPr>
              <w:rPr>
                <w:lang w:val="en-US"/>
              </w:rPr>
            </w:pPr>
            <w:r>
              <w:rPr>
                <w:lang w:val="en-US"/>
              </w:rPr>
              <w:t>...</w:t>
            </w:r>
          </w:p>
        </w:tc>
      </w:tr>
    </w:tbl>
    <w:p w14:paraId="596B38D3" w14:textId="77777777" w:rsidR="005236D6" w:rsidRPr="005236D6" w:rsidRDefault="005236D6" w:rsidP="005236D6">
      <w:pPr>
        <w:rPr>
          <w:lang w:val="en-US"/>
        </w:rPr>
      </w:pPr>
    </w:p>
    <w:p w14:paraId="58A1EF88" w14:textId="6CC67CF0" w:rsidR="005236D6" w:rsidRPr="005236D6" w:rsidRDefault="005236D6" w:rsidP="005236D6">
      <w:pPr>
        <w:rPr>
          <w:lang w:val="en-US"/>
        </w:rPr>
      </w:pPr>
      <w:r w:rsidRPr="005236D6">
        <w:rPr>
          <w:lang w:val="en-US"/>
        </w:rPr>
        <w:lastRenderedPageBreak/>
        <w:t xml:space="preserve">Waking up after DRX is an inaccurate process the </w:t>
      </w:r>
      <w:proofErr w:type="spellStart"/>
      <w:r w:rsidRPr="005236D6">
        <w:rPr>
          <w:lang w:val="en-US"/>
        </w:rPr>
        <w:t>Te</w:t>
      </w:r>
      <w:proofErr w:type="spellEnd"/>
      <w:r w:rsidRPr="005236D6">
        <w:rPr>
          <w:lang w:val="en-US"/>
        </w:rPr>
        <w:t xml:space="preserve"> value alone is much bigger than the whole control-to-control budget of +/- 145-275 ns. For PDC, specifically, it needs to reflect the delay and channel present when the 5GS time was distributed and hence there is a dependency between the 5GS delivery and PDC occasion (when PDC measurement is executed).</w:t>
      </w:r>
    </w:p>
    <w:p w14:paraId="47431A09" w14:textId="10BA4C31" w:rsidR="005236D6" w:rsidRPr="00722B43" w:rsidRDefault="006A78BF" w:rsidP="006A78BF">
      <w:pPr>
        <w:rPr>
          <w:b/>
          <w:bCs/>
          <w:lang w:val="en-US"/>
        </w:rPr>
      </w:pPr>
      <w:r w:rsidRPr="00722B43">
        <w:rPr>
          <w:b/>
          <w:bCs/>
          <w:lang w:val="en-US"/>
        </w:rPr>
        <w:t xml:space="preserve">Observation 2: </w:t>
      </w:r>
      <w:r w:rsidR="005236D6" w:rsidRPr="00722B43">
        <w:rPr>
          <w:b/>
          <w:bCs/>
          <w:lang w:val="en-US"/>
        </w:rPr>
        <w:t>Waking up after DRX is an inaccurate process</w:t>
      </w:r>
      <w:r w:rsidR="00456A6D" w:rsidRPr="00722B43">
        <w:rPr>
          <w:b/>
          <w:bCs/>
          <w:lang w:val="en-US"/>
        </w:rPr>
        <w:t>,</w:t>
      </w:r>
      <w:r w:rsidR="005236D6" w:rsidRPr="00722B43">
        <w:rPr>
          <w:b/>
          <w:bCs/>
          <w:lang w:val="en-US"/>
        </w:rPr>
        <w:t xml:space="preserve"> the </w:t>
      </w:r>
      <w:proofErr w:type="spellStart"/>
      <w:r w:rsidR="005236D6" w:rsidRPr="00722B43">
        <w:rPr>
          <w:b/>
          <w:bCs/>
          <w:lang w:val="en-US"/>
        </w:rPr>
        <w:t>Te</w:t>
      </w:r>
      <w:proofErr w:type="spellEnd"/>
      <w:r w:rsidR="005236D6" w:rsidRPr="00722B43">
        <w:rPr>
          <w:b/>
          <w:bCs/>
          <w:lang w:val="en-US"/>
        </w:rPr>
        <w:t xml:space="preserve"> value alone is much bigger than the whole control-to-control budget of +/- 145-275 ns.</w:t>
      </w:r>
    </w:p>
    <w:p w14:paraId="0B1CFD6D" w14:textId="79B7BACE" w:rsidR="00085A65" w:rsidRDefault="00085A65" w:rsidP="006A78BF">
      <w:pPr>
        <w:rPr>
          <w:lang w:val="en-US"/>
        </w:rPr>
      </w:pPr>
      <w:r>
        <w:rPr>
          <w:lang w:val="en-US"/>
        </w:rPr>
        <w:t>However, if we can make sure that the UE, after waking up after DRX sleep, can acquire the full PRS or TRS bandwidth with the stipulated number of samples, then it is expected that the stipulated minimum performance (without DRX) can be fulfilled.</w:t>
      </w:r>
      <w:r w:rsidR="00456A6D">
        <w:rPr>
          <w:lang w:val="en-US"/>
        </w:rPr>
        <w:t xml:space="preserve"> This is already </w:t>
      </w:r>
      <w:r w:rsidR="000B638C">
        <w:rPr>
          <w:lang w:val="en-US"/>
        </w:rPr>
        <w:t xml:space="preserve">the case for existing positioning requirements for </w:t>
      </w:r>
      <w:r w:rsidR="000B638C" w:rsidRPr="000B638C">
        <w:rPr>
          <w:lang w:val="en-US"/>
        </w:rPr>
        <w:t>UE Rx-Tx time difference</w:t>
      </w:r>
      <w:r w:rsidR="000B638C">
        <w:rPr>
          <w:lang w:val="en-US"/>
        </w:rPr>
        <w:t>:</w:t>
      </w:r>
    </w:p>
    <w:p w14:paraId="0168AAA0" w14:textId="77777777" w:rsidR="000B638C" w:rsidRDefault="000B638C" w:rsidP="000B638C">
      <w:pPr>
        <w:ind w:left="284"/>
      </w:pPr>
      <w:r>
        <w:t>“All measurement requirements specified in clause 9.9.2, 9.9.3 and 9.9.4 shall apply without DRX as well as for any DRX configuration specified in TS 38.331”.</w:t>
      </w:r>
    </w:p>
    <w:p w14:paraId="188667D3" w14:textId="2E6E2341" w:rsidR="000B638C" w:rsidRPr="00722B43" w:rsidRDefault="000B638C" w:rsidP="000B638C">
      <w:pPr>
        <w:rPr>
          <w:b/>
          <w:bCs/>
        </w:rPr>
      </w:pPr>
      <w:r w:rsidRPr="00722B43">
        <w:rPr>
          <w:b/>
          <w:bCs/>
          <w:lang w:val="en-US"/>
        </w:rPr>
        <w:t xml:space="preserve">Observation 3: </w:t>
      </w:r>
      <w:r w:rsidRPr="00722B43">
        <w:rPr>
          <w:b/>
          <w:bCs/>
        </w:rPr>
        <w:t>Existing positioning requirements for UE Rx-Tx time difference apply without DRX as well as for any DRX configuration specified in TS 38.331.</w:t>
      </w:r>
    </w:p>
    <w:p w14:paraId="524B51E6" w14:textId="752FD89F" w:rsidR="000B638C" w:rsidRDefault="000B638C" w:rsidP="000B638C">
      <w:pPr>
        <w:rPr>
          <w:lang w:val="en-US"/>
        </w:rPr>
      </w:pPr>
      <w:r>
        <w:t xml:space="preserve">The same principle can be applied to </w:t>
      </w:r>
      <w:r w:rsidRPr="000B638C">
        <w:t>UE Rx-Tx time difference</w:t>
      </w:r>
      <w:r>
        <w:t xml:space="preserve"> for PDC.</w:t>
      </w:r>
    </w:p>
    <w:p w14:paraId="69E8639C" w14:textId="049DE8E6" w:rsidR="00085A65" w:rsidRPr="00722B43" w:rsidRDefault="00085A65" w:rsidP="006A78BF">
      <w:pPr>
        <w:rPr>
          <w:b/>
          <w:bCs/>
          <w:lang w:val="en-US"/>
        </w:rPr>
      </w:pPr>
      <w:r w:rsidRPr="00722B43">
        <w:rPr>
          <w:b/>
          <w:bCs/>
          <w:lang w:val="en-US"/>
        </w:rPr>
        <w:t xml:space="preserve">Proposal 1: </w:t>
      </w:r>
      <w:r w:rsidR="000B638C" w:rsidRPr="00722B43">
        <w:rPr>
          <w:b/>
          <w:bCs/>
          <w:lang w:val="en-US"/>
        </w:rPr>
        <w:t>Existing PDC accuracy requirements for UE Rx-Tx time difference apply without DRX as well as for any DRX configuration specified in TS 38.331</w:t>
      </w:r>
      <w:r w:rsidR="006B0D59" w:rsidRPr="00722B43">
        <w:rPr>
          <w:b/>
          <w:bCs/>
          <w:lang w:val="en-US"/>
        </w:rPr>
        <w:t>.</w:t>
      </w:r>
    </w:p>
    <w:p w14:paraId="106DE52E" w14:textId="08FA31BE" w:rsidR="00FF43AF" w:rsidRPr="00FF43AF" w:rsidRDefault="00FF43AF" w:rsidP="00FF43AF">
      <w:pPr>
        <w:pStyle w:val="Heading1"/>
        <w:rPr>
          <w:lang w:val="en-US"/>
        </w:rPr>
      </w:pPr>
      <w:r>
        <w:rPr>
          <w:lang w:val="en-US"/>
        </w:rPr>
        <w:t>3</w:t>
      </w:r>
      <w:r>
        <w:rPr>
          <w:lang w:val="en-US"/>
        </w:rPr>
        <w:tab/>
        <w:t>Summary</w:t>
      </w:r>
    </w:p>
    <w:p w14:paraId="0C53C37A" w14:textId="77777777" w:rsidR="006B0D59" w:rsidRPr="00722B43" w:rsidRDefault="006B0D59" w:rsidP="006B0D59">
      <w:pPr>
        <w:rPr>
          <w:b/>
          <w:bCs/>
          <w:lang w:val="en-US"/>
        </w:rPr>
      </w:pPr>
      <w:r w:rsidRPr="00722B43">
        <w:rPr>
          <w:b/>
          <w:bCs/>
          <w:lang w:val="en-US"/>
        </w:rPr>
        <w:t>Observation 1: As pointed out above, accurate TSN clocks are delivered periodically. Will there be time for DRX sleep?</w:t>
      </w:r>
    </w:p>
    <w:p w14:paraId="114703D4" w14:textId="1AE9EA5E" w:rsidR="006B0D59" w:rsidRPr="00722B43" w:rsidRDefault="006B0D59" w:rsidP="006B0D59">
      <w:pPr>
        <w:rPr>
          <w:b/>
          <w:bCs/>
          <w:lang w:val="en-US"/>
        </w:rPr>
      </w:pPr>
      <w:r w:rsidRPr="00722B43">
        <w:rPr>
          <w:b/>
          <w:bCs/>
          <w:lang w:val="en-US"/>
        </w:rPr>
        <w:t xml:space="preserve">Observation 2: Waking up after DRX is an inaccurate process the </w:t>
      </w:r>
      <w:proofErr w:type="spellStart"/>
      <w:r w:rsidRPr="00722B43">
        <w:rPr>
          <w:b/>
          <w:bCs/>
          <w:lang w:val="en-US"/>
        </w:rPr>
        <w:t>Te</w:t>
      </w:r>
      <w:proofErr w:type="spellEnd"/>
      <w:r w:rsidRPr="00722B43">
        <w:rPr>
          <w:b/>
          <w:bCs/>
          <w:lang w:val="en-US"/>
        </w:rPr>
        <w:t xml:space="preserve"> value alone is much bigger than the whole control-to-control budget of +/- 145-275 ns.</w:t>
      </w:r>
    </w:p>
    <w:p w14:paraId="1AD0CEEC" w14:textId="6AF34647" w:rsidR="000B638C" w:rsidRPr="00722B43" w:rsidRDefault="000B638C" w:rsidP="006B0D59">
      <w:pPr>
        <w:rPr>
          <w:b/>
          <w:bCs/>
        </w:rPr>
      </w:pPr>
      <w:r w:rsidRPr="00722B43">
        <w:rPr>
          <w:b/>
          <w:bCs/>
          <w:lang w:val="en-US"/>
        </w:rPr>
        <w:t xml:space="preserve">Observation 3: </w:t>
      </w:r>
      <w:r w:rsidRPr="00722B43">
        <w:rPr>
          <w:b/>
          <w:bCs/>
        </w:rPr>
        <w:t>Existing positioning requirements for UE Rx-Tx time difference apply without DRX as well as for any DRX configuration specified in TS 38.331.</w:t>
      </w:r>
    </w:p>
    <w:p w14:paraId="4614AA9A" w14:textId="77777777" w:rsidR="00722B43" w:rsidRPr="00722B43" w:rsidRDefault="00722B43" w:rsidP="00722B43">
      <w:pPr>
        <w:rPr>
          <w:b/>
          <w:bCs/>
          <w:lang w:val="en-US"/>
        </w:rPr>
      </w:pPr>
      <w:r w:rsidRPr="00722B43">
        <w:rPr>
          <w:b/>
          <w:bCs/>
          <w:lang w:val="en-US"/>
        </w:rPr>
        <w:t>Proposal 1: Existing PDC accuracy requirements for UE Rx-Tx time difference apply without DRX as well as for any DRX configuration specified in TS 38.331.</w:t>
      </w:r>
    </w:p>
    <w:p w14:paraId="42C2E795" w14:textId="1C544FD8" w:rsidR="003D429A" w:rsidRDefault="003D429A" w:rsidP="003D429A">
      <w:pPr>
        <w:pStyle w:val="Heading1"/>
        <w:rPr>
          <w:lang w:val="en-US"/>
        </w:rPr>
      </w:pPr>
      <w:r>
        <w:rPr>
          <w:lang w:val="en-US"/>
        </w:rPr>
        <w:t>References</w:t>
      </w:r>
    </w:p>
    <w:p w14:paraId="1B992A17" w14:textId="28568532" w:rsidR="00CB0749" w:rsidRDefault="00FF43AF" w:rsidP="00CB0749">
      <w:pPr>
        <w:pStyle w:val="ListParagraph"/>
        <w:numPr>
          <w:ilvl w:val="0"/>
          <w:numId w:val="5"/>
        </w:numPr>
        <w:overflowPunct w:val="0"/>
        <w:autoSpaceDE w:val="0"/>
        <w:autoSpaceDN w:val="0"/>
        <w:adjustRightInd w:val="0"/>
        <w:spacing w:after="180" w:line="240" w:lineRule="auto"/>
        <w:contextualSpacing/>
        <w:textAlignment w:val="baseline"/>
      </w:pPr>
      <w:bookmarkStart w:id="3" w:name="_Ref508638450"/>
      <w:bookmarkStart w:id="4" w:name="_Ref3386619"/>
      <w:r w:rsidRPr="00FF43AF">
        <w:t>R4-2214338</w:t>
      </w:r>
      <w:r>
        <w:t xml:space="preserve">, </w:t>
      </w:r>
      <w:r w:rsidRPr="00FF43AF">
        <w:t>WF on NR_IIOT_URLLC_enh</w:t>
      </w:r>
      <w:r>
        <w:t xml:space="preserve">, </w:t>
      </w:r>
      <w:r w:rsidRPr="00FF43AF">
        <w:t>Nokia</w:t>
      </w:r>
    </w:p>
    <w:p w14:paraId="32FC54DF" w14:textId="4660F596" w:rsidR="0083684A" w:rsidRDefault="006A78BF" w:rsidP="00CB0749">
      <w:pPr>
        <w:pStyle w:val="ListParagraph"/>
        <w:numPr>
          <w:ilvl w:val="0"/>
          <w:numId w:val="5"/>
        </w:numPr>
        <w:overflowPunct w:val="0"/>
        <w:autoSpaceDE w:val="0"/>
        <w:autoSpaceDN w:val="0"/>
        <w:adjustRightInd w:val="0"/>
        <w:spacing w:after="180" w:line="240" w:lineRule="auto"/>
        <w:contextualSpacing/>
        <w:textAlignment w:val="baseline"/>
      </w:pPr>
      <w:r>
        <w:t xml:space="preserve">TS 38-133, </w:t>
      </w:r>
      <w:r w:rsidR="00456A6D" w:rsidRPr="00456A6D">
        <w:t>Requirements for support of radio resource management</w:t>
      </w:r>
    </w:p>
    <w:bookmarkEnd w:id="3"/>
    <w:bookmarkEnd w:id="4"/>
    <w:p w14:paraId="406C1D4A" w14:textId="23B5AD04" w:rsidR="003D429A" w:rsidRPr="003D429A" w:rsidRDefault="003D429A" w:rsidP="00B738BC">
      <w:pPr>
        <w:spacing w:after="0"/>
        <w:rPr>
          <w:lang w:val="en-US"/>
        </w:rPr>
      </w:pPr>
    </w:p>
    <w:sectPr w:rsidR="003D429A" w:rsidRPr="003D429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7E1B91"/>
    <w:multiLevelType w:val="hybridMultilevel"/>
    <w:tmpl w:val="66FC63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447287"/>
    <w:multiLevelType w:val="hybridMultilevel"/>
    <w:tmpl w:val="DF9E48DE"/>
    <w:lvl w:ilvl="0" w:tplc="6CA0D6C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FD40E96"/>
    <w:multiLevelType w:val="hybridMultilevel"/>
    <w:tmpl w:val="D4F44990"/>
    <w:lvl w:ilvl="0" w:tplc="6CA0D6C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273A7F"/>
    <w:multiLevelType w:val="hybridMultilevel"/>
    <w:tmpl w:val="3DD2334A"/>
    <w:lvl w:ilvl="0" w:tplc="6CA0D6C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6"/>
  </w:num>
  <w:num w:numId="7">
    <w:abstractNumId w:val="2"/>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BA"/>
    <w:rsid w:val="00033397"/>
    <w:rsid w:val="00040095"/>
    <w:rsid w:val="000455F6"/>
    <w:rsid w:val="00051834"/>
    <w:rsid w:val="00054A22"/>
    <w:rsid w:val="00056A26"/>
    <w:rsid w:val="00062023"/>
    <w:rsid w:val="000655A6"/>
    <w:rsid w:val="00080512"/>
    <w:rsid w:val="00085A65"/>
    <w:rsid w:val="000B638C"/>
    <w:rsid w:val="000C47C3"/>
    <w:rsid w:val="000D58AB"/>
    <w:rsid w:val="00133525"/>
    <w:rsid w:val="00195042"/>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6A6D"/>
    <w:rsid w:val="00465515"/>
    <w:rsid w:val="004D3578"/>
    <w:rsid w:val="004E213A"/>
    <w:rsid w:val="004F0988"/>
    <w:rsid w:val="004F3340"/>
    <w:rsid w:val="005236D6"/>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670F"/>
    <w:rsid w:val="00647114"/>
    <w:rsid w:val="006A323F"/>
    <w:rsid w:val="006A6F17"/>
    <w:rsid w:val="006A78BF"/>
    <w:rsid w:val="006B0D59"/>
    <w:rsid w:val="006B30D0"/>
    <w:rsid w:val="006C1584"/>
    <w:rsid w:val="006C3D95"/>
    <w:rsid w:val="006E5C86"/>
    <w:rsid w:val="006F61D7"/>
    <w:rsid w:val="00701116"/>
    <w:rsid w:val="00713C44"/>
    <w:rsid w:val="00722B43"/>
    <w:rsid w:val="00734A5B"/>
    <w:rsid w:val="0074026F"/>
    <w:rsid w:val="007429F6"/>
    <w:rsid w:val="00743C79"/>
    <w:rsid w:val="00744E76"/>
    <w:rsid w:val="00774DA4"/>
    <w:rsid w:val="00781F0F"/>
    <w:rsid w:val="007B600E"/>
    <w:rsid w:val="007F0F4A"/>
    <w:rsid w:val="008028A4"/>
    <w:rsid w:val="00827657"/>
    <w:rsid w:val="00830747"/>
    <w:rsid w:val="0083684A"/>
    <w:rsid w:val="008768CA"/>
    <w:rsid w:val="00885367"/>
    <w:rsid w:val="008A6463"/>
    <w:rsid w:val="008C384C"/>
    <w:rsid w:val="0090271F"/>
    <w:rsid w:val="00902E23"/>
    <w:rsid w:val="009114D7"/>
    <w:rsid w:val="0091348E"/>
    <w:rsid w:val="00917CCB"/>
    <w:rsid w:val="00942EC2"/>
    <w:rsid w:val="00973023"/>
    <w:rsid w:val="00985F99"/>
    <w:rsid w:val="009C3E5A"/>
    <w:rsid w:val="009F37B7"/>
    <w:rsid w:val="00A10F02"/>
    <w:rsid w:val="00A164B4"/>
    <w:rsid w:val="00A26956"/>
    <w:rsid w:val="00A27486"/>
    <w:rsid w:val="00A53724"/>
    <w:rsid w:val="00A56066"/>
    <w:rsid w:val="00A73129"/>
    <w:rsid w:val="00A82346"/>
    <w:rsid w:val="00A92BA1"/>
    <w:rsid w:val="00A969D2"/>
    <w:rsid w:val="00AC6BC6"/>
    <w:rsid w:val="00AE65E2"/>
    <w:rsid w:val="00B15449"/>
    <w:rsid w:val="00B16D26"/>
    <w:rsid w:val="00B66DD7"/>
    <w:rsid w:val="00B738BC"/>
    <w:rsid w:val="00B93086"/>
    <w:rsid w:val="00B93FB3"/>
    <w:rsid w:val="00BA19ED"/>
    <w:rsid w:val="00BA4B8D"/>
    <w:rsid w:val="00BB080C"/>
    <w:rsid w:val="00BC0F7D"/>
    <w:rsid w:val="00BD7D31"/>
    <w:rsid w:val="00BE3255"/>
    <w:rsid w:val="00BF128E"/>
    <w:rsid w:val="00C074DD"/>
    <w:rsid w:val="00C1496A"/>
    <w:rsid w:val="00C33079"/>
    <w:rsid w:val="00C41F2A"/>
    <w:rsid w:val="00C45231"/>
    <w:rsid w:val="00C72833"/>
    <w:rsid w:val="00C80F1D"/>
    <w:rsid w:val="00C93F40"/>
    <w:rsid w:val="00CA3D0C"/>
    <w:rsid w:val="00CB0749"/>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9008D"/>
    <w:rsid w:val="00FA1266"/>
    <w:rsid w:val="00FC1192"/>
    <w:rsid w:val="00FF43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B1Char">
    <w:name w:val="B1 Char"/>
    <w:link w:val="B1"/>
    <w:qFormat/>
    <w:rsid w:val="00A969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771D0-D20A-4D85-A117-272BAF8D565D}">
  <ds:schemaRefs>
    <ds:schemaRef ds:uri="http://schemas.microsoft.com/sharepoint/v3/contenttype/forms"/>
  </ds:schemaRefs>
</ds:datastoreItem>
</file>

<file path=customXml/itemProps2.xml><?xml version="1.0" encoding="utf-8"?>
<ds:datastoreItem xmlns:ds="http://schemas.openxmlformats.org/officeDocument/2006/customXml" ds:itemID="{EEE257C4-33A3-414F-94E8-B9E9AC87BBBD}">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microsoft.com/office/2006/documentManagement/types"/>
    <ds:schemaRef ds:uri="http://schemas.openxmlformats.org/package/2006/metadata/core-properties"/>
    <ds:schemaRef ds:uri="http://purl.org/dc/dcmitype/"/>
    <ds:schemaRef ds:uri="d8762117-8292-4133-b1c7-eab5c6487cfd"/>
    <ds:schemaRef ds:uri="2f282d3b-eb4a-4b09-b61f-b9593442e286"/>
    <ds:schemaRef ds:uri="http://www.w3.org/XML/1998/namespac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5A794CD4-0BE1-4782-A5BE-F4F7B8190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599</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23</cp:revision>
  <cp:lastPrinted>2019-02-25T14:05:00Z</cp:lastPrinted>
  <dcterms:created xsi:type="dcterms:W3CDTF">2020-12-08T14:50:00Z</dcterms:created>
  <dcterms:modified xsi:type="dcterms:W3CDTF">2022-09-30T13:13:00Z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