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85B0E" w14:textId="6F314699" w:rsidR="00BB6877" w:rsidRPr="00C7181F" w:rsidRDefault="00BB6877" w:rsidP="00BB6877">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w:t>
      </w:r>
      <w:r>
        <w:rPr>
          <w:rFonts w:ascii="Arial" w:eastAsia="MS Mincho" w:hAnsi="Arial" w:cs="Arial"/>
          <w:b/>
          <w:sz w:val="24"/>
          <w:szCs w:val="24"/>
        </w:rPr>
        <w:t>bis</w:t>
      </w:r>
      <w:r w:rsidRPr="00C7181F">
        <w:rPr>
          <w:rFonts w:ascii="Arial" w:eastAsia="MS Mincho" w:hAnsi="Arial" w:cs="Arial"/>
          <w:b/>
          <w:sz w:val="24"/>
          <w:szCs w:val="24"/>
        </w:rPr>
        <w:t>-e</w:t>
      </w:r>
      <w:r w:rsidRPr="00C7181F">
        <w:rPr>
          <w:rFonts w:ascii="Arial" w:eastAsia="MS Mincho" w:hAnsi="Arial" w:cs="Arial"/>
          <w:b/>
          <w:sz w:val="24"/>
          <w:szCs w:val="24"/>
        </w:rPr>
        <w:tab/>
      </w:r>
      <w:r w:rsidR="008718CE" w:rsidRPr="008718CE">
        <w:rPr>
          <w:rFonts w:ascii="Arial" w:eastAsia="MS Mincho" w:hAnsi="Arial" w:cs="Arial"/>
          <w:b/>
          <w:sz w:val="24"/>
          <w:szCs w:val="24"/>
        </w:rPr>
        <w:t>R4-2215593</w:t>
      </w:r>
    </w:p>
    <w:p w14:paraId="345A024D" w14:textId="77777777" w:rsidR="00BB6877" w:rsidRPr="00C7181F" w:rsidRDefault="00BB6877" w:rsidP="00BB6877">
      <w:pPr>
        <w:tabs>
          <w:tab w:val="right" w:pos="9781"/>
          <w:tab w:val="right" w:pos="13323"/>
        </w:tabs>
        <w:spacing w:after="6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 xml:space="preserve">Electronic Meeting, </w:t>
      </w:r>
      <w:r w:rsidRPr="00E13633">
        <w:rPr>
          <w:rFonts w:ascii="Arial" w:eastAsia="SimSun" w:hAnsi="Arial" w:cs="Arial"/>
          <w:b/>
          <w:sz w:val="24"/>
          <w:szCs w:val="24"/>
          <w:lang w:eastAsia="zh-CN"/>
        </w:rPr>
        <w:t>October 10 – October 19, 2022</w:t>
      </w:r>
    </w:p>
    <w:p w14:paraId="2305CEA3" w14:textId="035802BC" w:rsidR="009F52D7" w:rsidRPr="00303915" w:rsidRDefault="009F52D7" w:rsidP="009F52D7">
      <w:pPr>
        <w:pStyle w:val="CH"/>
        <w:rPr>
          <w:sz w:val="24"/>
          <w:szCs w:val="24"/>
        </w:rPr>
      </w:pPr>
      <w:r w:rsidRPr="00303915">
        <w:rPr>
          <w:sz w:val="24"/>
          <w:szCs w:val="24"/>
        </w:rPr>
        <w:t>Agenda item:</w:t>
      </w:r>
      <w:r w:rsidRPr="00303915">
        <w:rPr>
          <w:sz w:val="24"/>
          <w:szCs w:val="24"/>
        </w:rPr>
        <w:tab/>
      </w:r>
      <w:r w:rsidR="00BB6877">
        <w:rPr>
          <w:sz w:val="24"/>
          <w:szCs w:val="24"/>
        </w:rPr>
        <w:t>4.5.1</w:t>
      </w:r>
      <w:r w:rsidR="003955A2" w:rsidRPr="003955A2">
        <w:rPr>
          <w:sz w:val="24"/>
          <w:szCs w:val="24"/>
        </w:rPr>
        <w:t>.2</w:t>
      </w:r>
    </w:p>
    <w:p w14:paraId="30D50B86" w14:textId="4E306394"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42B8CDF1"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EE16B7" w:rsidRPr="00EE16B7">
        <w:rPr>
          <w:sz w:val="24"/>
          <w:szCs w:val="24"/>
        </w:rPr>
        <w:t xml:space="preserve">On </w:t>
      </w:r>
      <w:r w:rsidR="00EA6CB7">
        <w:rPr>
          <w:sz w:val="24"/>
          <w:szCs w:val="24"/>
        </w:rPr>
        <w:t>R</w:t>
      </w:r>
      <w:r w:rsidR="00EE16B7" w:rsidRPr="00EE16B7">
        <w:rPr>
          <w:sz w:val="24"/>
          <w:szCs w:val="24"/>
        </w:rPr>
        <w:t xml:space="preserve">emaining </w:t>
      </w:r>
      <w:r w:rsidR="00EA6CB7">
        <w:rPr>
          <w:sz w:val="24"/>
          <w:szCs w:val="24"/>
        </w:rPr>
        <w:t>I</w:t>
      </w:r>
      <w:r w:rsidR="00EE16B7" w:rsidRPr="00EE16B7">
        <w:rPr>
          <w:sz w:val="24"/>
          <w:szCs w:val="24"/>
        </w:rPr>
        <w:t xml:space="preserve">ssues for </w:t>
      </w:r>
      <w:r w:rsidR="00EA6CB7">
        <w:rPr>
          <w:sz w:val="24"/>
          <w:szCs w:val="24"/>
        </w:rPr>
        <w:t>I</w:t>
      </w:r>
      <w:r w:rsidR="00EE16B7" w:rsidRPr="00EE16B7">
        <w:rPr>
          <w:sz w:val="24"/>
          <w:szCs w:val="24"/>
        </w:rPr>
        <w:t xml:space="preserve">nter-cell </w:t>
      </w:r>
      <w:r w:rsidR="00EA6CB7">
        <w:rPr>
          <w:sz w:val="24"/>
          <w:szCs w:val="24"/>
        </w:rPr>
        <w:t>B</w:t>
      </w:r>
      <w:r w:rsidR="00EE16B7" w:rsidRPr="00EE16B7">
        <w:rPr>
          <w:sz w:val="24"/>
          <w:szCs w:val="24"/>
        </w:rPr>
        <w:t xml:space="preserve">eam </w:t>
      </w:r>
      <w:r w:rsidR="00EA6CB7">
        <w:rPr>
          <w:sz w:val="24"/>
          <w:szCs w:val="24"/>
        </w:rPr>
        <w:t>M</w:t>
      </w:r>
      <w:r w:rsidR="00EE16B7" w:rsidRPr="00EE16B7">
        <w:rPr>
          <w:sz w:val="24"/>
          <w:szCs w:val="24"/>
        </w:rPr>
        <w:t>anagement</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F2D2F93" w:rsidR="00C94AC7" w:rsidRPr="00316E46" w:rsidRDefault="000A6ED6" w:rsidP="00C94AC7">
      <w:pPr>
        <w:spacing w:after="120"/>
        <w:rPr>
          <w:sz w:val="20"/>
          <w:szCs w:val="20"/>
        </w:rPr>
      </w:pPr>
      <w:r w:rsidRPr="005B3E77">
        <w:rPr>
          <w:sz w:val="20"/>
          <w:szCs w:val="20"/>
        </w:rPr>
        <w:t>In RAN4#10</w:t>
      </w:r>
      <w:r w:rsidR="00BB6877">
        <w:rPr>
          <w:sz w:val="20"/>
          <w:szCs w:val="20"/>
        </w:rPr>
        <w:t>4</w:t>
      </w:r>
      <w:r w:rsidRPr="005B3E77">
        <w:rPr>
          <w:sz w:val="20"/>
          <w:szCs w:val="20"/>
        </w:rPr>
        <w:t xml:space="preserve">-e requirements for intercell beam management 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w:t>
      </w:r>
      <w:r w:rsidR="00651D5D">
        <w:rPr>
          <w:sz w:val="20"/>
          <w:szCs w:val="20"/>
        </w:rPr>
        <w:t>the remaining open issues</w:t>
      </w:r>
      <w:r w:rsidRPr="005B3E77">
        <w:rPr>
          <w:sz w:val="20"/>
          <w:szCs w:val="20"/>
        </w:rPr>
        <w:t xml:space="preserve"> for intercell beam management</w:t>
      </w:r>
      <w:r>
        <w:rPr>
          <w:sz w:val="20"/>
          <w:szCs w:val="20"/>
        </w:rPr>
        <w:t xml:space="preserve">. </w:t>
      </w:r>
      <w:r w:rsidR="00C94AC7" w:rsidRPr="00316E46">
        <w:rPr>
          <w:sz w:val="20"/>
          <w:szCs w:val="20"/>
        </w:rPr>
        <w:t xml:space="preserve">  </w:t>
      </w:r>
    </w:p>
    <w:p w14:paraId="4EAFA8EB" w14:textId="10095E9E" w:rsidR="009F52D7" w:rsidRDefault="009F52D7" w:rsidP="009F52D7">
      <w:pPr>
        <w:pStyle w:val="Heading1"/>
      </w:pPr>
      <w:r>
        <w:t>2. Discussion</w:t>
      </w:r>
    </w:p>
    <w:p w14:paraId="527F8167" w14:textId="00943A7E" w:rsidR="00676EAC" w:rsidRDefault="00676EAC" w:rsidP="00676EAC">
      <w:pPr>
        <w:rPr>
          <w:lang w:val="en-GB"/>
        </w:rPr>
      </w:pPr>
    </w:p>
    <w:p w14:paraId="4DE6FF2D" w14:textId="3ACF6CE8" w:rsidR="00676EAC" w:rsidRDefault="00676EAC" w:rsidP="00676EAC">
      <w:pPr>
        <w:spacing w:after="120"/>
        <w:rPr>
          <w:lang w:val="en-GB"/>
        </w:rPr>
      </w:pPr>
      <w:r w:rsidRPr="00EE08F2">
        <w:rPr>
          <w:lang w:val="en-GB"/>
        </w:rPr>
        <w:t xml:space="preserve">The open issues related to </w:t>
      </w:r>
      <w:r>
        <w:rPr>
          <w:lang w:val="en-GB"/>
        </w:rPr>
        <w:t>requirements for inter-cell beam management are:</w:t>
      </w:r>
    </w:p>
    <w:p w14:paraId="6FD14FC9" w14:textId="77777777" w:rsidR="00676EAC" w:rsidRDefault="00676EAC" w:rsidP="00676EAC">
      <w:pPr>
        <w:numPr>
          <w:ilvl w:val="1"/>
          <w:numId w:val="9"/>
        </w:numPr>
        <w:spacing w:after="120"/>
        <w:rPr>
          <w:lang w:val="en-GB"/>
        </w:rPr>
      </w:pPr>
      <w:r w:rsidRPr="00171812">
        <w:rPr>
          <w:lang w:val="en-GB"/>
        </w:rPr>
        <w:t>Sharing factors design</w:t>
      </w:r>
    </w:p>
    <w:p w14:paraId="4BEEC602" w14:textId="77777777" w:rsidR="00676EAC" w:rsidRDefault="00676EAC" w:rsidP="00676EAC">
      <w:pPr>
        <w:numPr>
          <w:ilvl w:val="1"/>
          <w:numId w:val="9"/>
        </w:numPr>
        <w:spacing w:after="120"/>
        <w:rPr>
          <w:lang w:val="en-GB"/>
        </w:rPr>
      </w:pPr>
      <w:r w:rsidRPr="00171812">
        <w:rPr>
          <w:lang w:val="en-GB"/>
        </w:rPr>
        <w:t>Scheduling restriction for dynamic TDD</w:t>
      </w:r>
    </w:p>
    <w:p w14:paraId="222F1B76" w14:textId="77777777" w:rsidR="00676EAC" w:rsidRDefault="00676EAC" w:rsidP="00676EAC">
      <w:pPr>
        <w:numPr>
          <w:ilvl w:val="1"/>
          <w:numId w:val="9"/>
        </w:numPr>
        <w:spacing w:after="120"/>
        <w:rPr>
          <w:lang w:val="en-GB"/>
        </w:rPr>
      </w:pPr>
      <w:r>
        <w:rPr>
          <w:lang w:val="en-GB"/>
        </w:rPr>
        <w:t>S</w:t>
      </w:r>
      <w:r w:rsidRPr="00171812">
        <w:rPr>
          <w:lang w:val="en-GB"/>
        </w:rPr>
        <w:t>cheduling restriction for non-serving cell</w:t>
      </w:r>
    </w:p>
    <w:p w14:paraId="043D4474" w14:textId="77777777" w:rsidR="00676EAC" w:rsidRDefault="00676EAC" w:rsidP="00676EAC">
      <w:pPr>
        <w:numPr>
          <w:ilvl w:val="1"/>
          <w:numId w:val="9"/>
        </w:numPr>
        <w:spacing w:after="120"/>
        <w:rPr>
          <w:lang w:val="en-GB"/>
        </w:rPr>
      </w:pPr>
      <w:r w:rsidRPr="00171812">
        <w:rPr>
          <w:lang w:val="en-GB"/>
        </w:rPr>
        <w:t>Applicability of ICBM feature</w:t>
      </w:r>
    </w:p>
    <w:p w14:paraId="5194A0BB" w14:textId="77777777" w:rsidR="00676EAC" w:rsidRPr="00676EAC" w:rsidRDefault="00676EAC" w:rsidP="00676EAC">
      <w:pPr>
        <w:rPr>
          <w:lang w:val="en-GB"/>
        </w:rPr>
      </w:pPr>
    </w:p>
    <w:p w14:paraId="43F01072" w14:textId="18322680" w:rsidR="009F52D7" w:rsidRPr="00A26A8A" w:rsidRDefault="00651D5D" w:rsidP="00A26A8A">
      <w:pPr>
        <w:pStyle w:val="Heading2"/>
        <w:numPr>
          <w:ilvl w:val="0"/>
          <w:numId w:val="0"/>
        </w:numPr>
        <w:ind w:left="720" w:hanging="720"/>
        <w:rPr>
          <w:rFonts w:ascii="Times New Roman" w:hAnsi="Times New Roman" w:cs="Times New Roman"/>
          <w:b/>
          <w:bCs/>
          <w:sz w:val="24"/>
          <w:szCs w:val="16"/>
        </w:rPr>
      </w:pPr>
      <w:r w:rsidRPr="00A26A8A">
        <w:rPr>
          <w:rFonts w:ascii="Times New Roman" w:hAnsi="Times New Roman" w:cs="Times New Roman"/>
          <w:b/>
          <w:bCs/>
          <w:sz w:val="24"/>
          <w:szCs w:val="16"/>
        </w:rPr>
        <w:t>Sharing factors</w:t>
      </w:r>
    </w:p>
    <w:p w14:paraId="36EA7045" w14:textId="77777777" w:rsidR="00A26A8A" w:rsidRDefault="00B749F7" w:rsidP="005B410D">
      <w:pPr>
        <w:spacing w:after="120"/>
        <w:rPr>
          <w:rFonts w:eastAsia="SimSun"/>
          <w:sz w:val="20"/>
          <w:szCs w:val="20"/>
          <w:lang w:val="en-GB" w:eastAsia="en-GB"/>
        </w:rPr>
      </w:pPr>
      <w:r>
        <w:rPr>
          <w:rFonts w:eastAsia="SimSun"/>
          <w:sz w:val="20"/>
          <w:szCs w:val="20"/>
          <w:lang w:val="en-GB" w:eastAsia="en-GB"/>
        </w:rPr>
        <w:t>In RAN4#10</w:t>
      </w:r>
      <w:r w:rsidR="00A26A8A">
        <w:rPr>
          <w:rFonts w:eastAsia="SimSun"/>
          <w:sz w:val="20"/>
          <w:szCs w:val="20"/>
          <w:lang w:val="en-GB" w:eastAsia="en-GB"/>
        </w:rPr>
        <w:t>4</w:t>
      </w:r>
      <w:r>
        <w:rPr>
          <w:rFonts w:eastAsia="SimSun"/>
          <w:sz w:val="20"/>
          <w:szCs w:val="20"/>
          <w:lang w:val="en-GB" w:eastAsia="en-GB"/>
        </w:rPr>
        <w:t xml:space="preserve">-e, </w:t>
      </w:r>
      <w:r w:rsidR="00A26A8A">
        <w:rPr>
          <w:rFonts w:eastAsia="SimSun"/>
          <w:sz w:val="20"/>
          <w:szCs w:val="20"/>
          <w:lang w:val="en-GB" w:eastAsia="en-GB"/>
        </w:rPr>
        <w:t>the principle for defining sharing factors was agreed:</w:t>
      </w:r>
    </w:p>
    <w:tbl>
      <w:tblPr>
        <w:tblStyle w:val="TableGrid"/>
        <w:tblW w:w="0" w:type="auto"/>
        <w:tblLook w:val="04A0" w:firstRow="1" w:lastRow="0" w:firstColumn="1" w:lastColumn="0" w:noHBand="0" w:noVBand="1"/>
      </w:tblPr>
      <w:tblGrid>
        <w:gridCol w:w="9350"/>
      </w:tblGrid>
      <w:tr w:rsidR="00A26A8A" w14:paraId="6D13C0FF" w14:textId="77777777" w:rsidTr="00A26A8A">
        <w:tc>
          <w:tcPr>
            <w:tcW w:w="9350" w:type="dxa"/>
          </w:tcPr>
          <w:p w14:paraId="611701B9" w14:textId="77777777" w:rsidR="00A26A8A" w:rsidRDefault="00A26A8A" w:rsidP="00A26A8A">
            <w:pPr>
              <w:spacing w:after="120"/>
              <w:rPr>
                <w:rFonts w:eastAsiaTheme="minorEastAsia"/>
                <w:b/>
                <w:u w:val="single"/>
                <w:lang w:eastAsia="zh-CN"/>
              </w:rPr>
            </w:pPr>
            <w:r>
              <w:rPr>
                <w:rFonts w:eastAsiaTheme="minorEastAsia"/>
                <w:b/>
                <w:u w:val="single"/>
                <w:lang w:eastAsia="zh-CN"/>
              </w:rPr>
              <w:t>Issue 2-3-4 Sharing factors design</w:t>
            </w:r>
          </w:p>
          <w:p w14:paraId="4AAA0BB2" w14:textId="77777777" w:rsidR="00A26A8A" w:rsidRDefault="00A26A8A" w:rsidP="00A26A8A">
            <w:pPr>
              <w:numPr>
                <w:ilvl w:val="0"/>
                <w:numId w:val="3"/>
              </w:numPr>
              <w:spacing w:after="120"/>
              <w:ind w:left="720"/>
              <w:rPr>
                <w:rFonts w:eastAsiaTheme="minorEastAsia"/>
                <w:lang w:val="sv-SE" w:eastAsia="zh-CN"/>
              </w:rPr>
            </w:pPr>
            <w:r>
              <w:rPr>
                <w:rFonts w:eastAsiaTheme="minorEastAsia"/>
                <w:lang w:eastAsia="zh-CN"/>
              </w:rPr>
              <w:t>Principles of Design</w:t>
            </w:r>
            <w:r>
              <w:rPr>
                <w:rFonts w:eastAsiaTheme="minorEastAsia"/>
                <w:lang w:val="sv-SE" w:eastAsia="zh-CN"/>
              </w:rPr>
              <w:t>:</w:t>
            </w:r>
          </w:p>
          <w:p w14:paraId="788F7E4F" w14:textId="77777777" w:rsidR="00A26A8A" w:rsidRDefault="00A26A8A" w:rsidP="00A26A8A">
            <w:pPr>
              <w:numPr>
                <w:ilvl w:val="1"/>
                <w:numId w:val="3"/>
              </w:numPr>
              <w:spacing w:after="120"/>
              <w:ind w:left="1440"/>
            </w:pPr>
            <w:r>
              <w:rPr>
                <w:bCs/>
                <w:szCs w:val="24"/>
              </w:rPr>
              <w:t xml:space="preserve">The </w:t>
            </w:r>
            <w:r>
              <w:rPr>
                <w:rFonts w:eastAsiaTheme="minorEastAsia"/>
                <w:bCs/>
                <w:lang w:eastAsia="zh-CN"/>
              </w:rPr>
              <w:t>sharing factors P</w:t>
            </w:r>
            <w:r>
              <w:rPr>
                <w:rFonts w:eastAsiaTheme="minorEastAsia"/>
                <w:bCs/>
                <w:vertAlign w:val="subscript"/>
                <w:lang w:eastAsia="zh-CN"/>
              </w:rPr>
              <w:t>SC</w:t>
            </w:r>
            <w:r>
              <w:rPr>
                <w:rFonts w:eastAsiaTheme="minorEastAsia"/>
                <w:bCs/>
                <w:lang w:eastAsia="zh-CN"/>
              </w:rPr>
              <w:t xml:space="preserve"> and P</w:t>
            </w:r>
            <w:r>
              <w:rPr>
                <w:rFonts w:eastAsiaTheme="minorEastAsia"/>
                <w:bCs/>
                <w:vertAlign w:val="subscript"/>
                <w:lang w:eastAsia="zh-CN"/>
              </w:rPr>
              <w:t>CDP</w:t>
            </w:r>
            <w:r>
              <w:rPr>
                <w:bCs/>
                <w:szCs w:val="24"/>
              </w:rPr>
              <w:t xml:space="preserve"> </w:t>
            </w:r>
            <w:r>
              <w:rPr>
                <w:rFonts w:eastAsiaTheme="minorEastAsia"/>
                <w:bCs/>
                <w:lang w:eastAsia="zh-CN"/>
              </w:rPr>
              <w:t xml:space="preserve">between </w:t>
            </w:r>
            <w:r>
              <w:rPr>
                <w:bCs/>
                <w:szCs w:val="24"/>
              </w:rPr>
              <w:t xml:space="preserve">SSB of SC and SSB of CDP for inter-cell BM are introduced without any impacts on the </w:t>
            </w:r>
            <w:r>
              <w:rPr>
                <w:rFonts w:eastAsiaTheme="minorEastAsia"/>
                <w:lang w:eastAsia="zh-CN"/>
              </w:rPr>
              <w:t>existing L3 measurements</w:t>
            </w:r>
            <w:r>
              <w:rPr>
                <w:bCs/>
                <w:szCs w:val="24"/>
              </w:rPr>
              <w:t xml:space="preserve"> </w:t>
            </w:r>
          </w:p>
          <w:p w14:paraId="4BD60893" w14:textId="77777777" w:rsidR="00A26A8A" w:rsidRDefault="00A26A8A" w:rsidP="005B410D">
            <w:pPr>
              <w:spacing w:after="120"/>
              <w:rPr>
                <w:rFonts w:eastAsia="SimSun"/>
                <w:sz w:val="20"/>
                <w:szCs w:val="20"/>
                <w:lang w:val="en-GB" w:eastAsia="en-GB"/>
              </w:rPr>
            </w:pPr>
          </w:p>
        </w:tc>
      </w:tr>
    </w:tbl>
    <w:p w14:paraId="236A5964" w14:textId="5975E904" w:rsidR="00A26A8A" w:rsidRDefault="00A26A8A" w:rsidP="005B410D">
      <w:pPr>
        <w:spacing w:after="120"/>
        <w:rPr>
          <w:rFonts w:eastAsia="SimSun"/>
          <w:sz w:val="20"/>
          <w:szCs w:val="20"/>
          <w:lang w:val="en-GB" w:eastAsia="en-GB"/>
        </w:rPr>
      </w:pPr>
    </w:p>
    <w:p w14:paraId="1B7931FF" w14:textId="68BA7EB8" w:rsidR="00A26A8A" w:rsidRDefault="00A26A8A" w:rsidP="005B410D">
      <w:pPr>
        <w:spacing w:after="120"/>
        <w:rPr>
          <w:rFonts w:eastAsia="SimSun"/>
          <w:sz w:val="20"/>
          <w:szCs w:val="20"/>
          <w:lang w:val="en-GB" w:eastAsia="en-GB"/>
        </w:rPr>
      </w:pPr>
      <w:r>
        <w:rPr>
          <w:rFonts w:eastAsia="SimSun"/>
          <w:sz w:val="20"/>
          <w:szCs w:val="20"/>
          <w:lang w:val="en-GB" w:eastAsia="en-GB"/>
        </w:rPr>
        <w:t>The following options were discussed for sharing factors design:</w:t>
      </w:r>
    </w:p>
    <w:p w14:paraId="776DCC27" w14:textId="77777777" w:rsidR="008B7113" w:rsidRDefault="008B7113" w:rsidP="008B7113">
      <w:pPr>
        <w:numPr>
          <w:ilvl w:val="0"/>
          <w:numId w:val="3"/>
        </w:numPr>
        <w:spacing w:after="120"/>
        <w:ind w:left="720"/>
      </w:pPr>
      <w:r>
        <w:rPr>
          <w:rFonts w:eastAsiaTheme="minorEastAsia" w:hint="eastAsia"/>
          <w:lang w:eastAsia="zh-CN"/>
        </w:rPr>
        <w:t>B</w:t>
      </w:r>
      <w:r>
        <w:rPr>
          <w:rFonts w:eastAsiaTheme="minorEastAsia"/>
          <w:lang w:eastAsia="zh-CN"/>
        </w:rPr>
        <w:t xml:space="preserve">ased on the remaining L1-RSRP measurement opportunities after punctured by L3 measurements, further study the </w:t>
      </w:r>
      <w:r>
        <w:rPr>
          <w:rFonts w:eastAsiaTheme="minorEastAsia"/>
          <w:bCs/>
          <w:lang w:eastAsia="zh-CN"/>
        </w:rPr>
        <w:t xml:space="preserve">sharing factor between </w:t>
      </w:r>
      <w:r>
        <w:rPr>
          <w:bCs/>
          <w:szCs w:val="24"/>
        </w:rPr>
        <w:t>SSB of SC and SSB of CDP.</w:t>
      </w:r>
    </w:p>
    <w:p w14:paraId="4A3DEADB" w14:textId="77777777" w:rsidR="008B7113" w:rsidRDefault="008B7113" w:rsidP="008B7113">
      <w:pPr>
        <w:numPr>
          <w:ilvl w:val="1"/>
          <w:numId w:val="3"/>
        </w:numPr>
        <w:spacing w:after="120"/>
        <w:ind w:left="1440"/>
        <w:jc w:val="left"/>
      </w:pPr>
      <w:r>
        <w:rPr>
          <w:bCs/>
          <w:szCs w:val="24"/>
        </w:rPr>
        <w:t xml:space="preserve">Option 1: </w:t>
      </w:r>
    </w:p>
    <w:tbl>
      <w:tblPr>
        <w:tblStyle w:val="TableGrid1"/>
        <w:tblW w:w="0" w:type="auto"/>
        <w:jc w:val="center"/>
        <w:tblLook w:val="04A0" w:firstRow="1" w:lastRow="0" w:firstColumn="1" w:lastColumn="0" w:noHBand="0" w:noVBand="1"/>
      </w:tblPr>
      <w:tblGrid>
        <w:gridCol w:w="900"/>
        <w:gridCol w:w="1890"/>
        <w:gridCol w:w="1366"/>
        <w:gridCol w:w="1404"/>
      </w:tblGrid>
      <w:tr w:rsidR="008B7113" w14:paraId="6503C3D5" w14:textId="77777777" w:rsidTr="00036EC8">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4467A29C" w14:textId="77777777" w:rsidR="008B7113" w:rsidRDefault="008B7113" w:rsidP="00036EC8">
            <w:pPr>
              <w:spacing w:after="120"/>
              <w:rPr>
                <w:lang w:eastAsia="en-GB"/>
              </w:rPr>
            </w:pPr>
            <w:r>
              <w:rPr>
                <w:lang w:eastAsia="en-GB"/>
              </w:rPr>
              <w:t>#</w:t>
            </w:r>
          </w:p>
        </w:tc>
        <w:tc>
          <w:tcPr>
            <w:tcW w:w="1890" w:type="dxa"/>
            <w:tcBorders>
              <w:top w:val="single" w:sz="4" w:space="0" w:color="auto"/>
              <w:left w:val="single" w:sz="4" w:space="0" w:color="auto"/>
              <w:bottom w:val="single" w:sz="4" w:space="0" w:color="auto"/>
              <w:right w:val="single" w:sz="4" w:space="0" w:color="auto"/>
            </w:tcBorders>
          </w:tcPr>
          <w:p w14:paraId="56D60659" w14:textId="77777777" w:rsidR="008B7113" w:rsidRDefault="008B7113" w:rsidP="00036EC8">
            <w:pPr>
              <w:spacing w:after="120"/>
              <w:rPr>
                <w:lang w:eastAsia="en-GB"/>
              </w:rPr>
            </w:pPr>
            <w:r>
              <w:rPr>
                <w:lang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6BBE6FB4" w14:textId="77777777" w:rsidR="008B7113" w:rsidRDefault="008B7113" w:rsidP="00036EC8">
            <w:pPr>
              <w:spacing w:after="120"/>
              <w:rPr>
                <w:lang w:eastAsia="en-GB"/>
              </w:rPr>
            </w:pPr>
            <w:r>
              <w:rPr>
                <w:lang w:eastAsia="en-GB"/>
              </w:rPr>
              <w:t>P</w:t>
            </w:r>
            <w:r>
              <w:rPr>
                <w:vertAlign w:val="subscript"/>
                <w:lang w:eastAsia="en-GB"/>
              </w:rPr>
              <w:t>SC</w:t>
            </w:r>
          </w:p>
        </w:tc>
        <w:tc>
          <w:tcPr>
            <w:tcW w:w="1404" w:type="dxa"/>
            <w:tcBorders>
              <w:top w:val="single" w:sz="4" w:space="0" w:color="auto"/>
              <w:left w:val="single" w:sz="4" w:space="0" w:color="auto"/>
              <w:bottom w:val="single" w:sz="4" w:space="0" w:color="auto"/>
              <w:right w:val="single" w:sz="4" w:space="0" w:color="auto"/>
            </w:tcBorders>
          </w:tcPr>
          <w:p w14:paraId="03D03166" w14:textId="77777777" w:rsidR="008B7113" w:rsidRDefault="008B7113" w:rsidP="00036EC8">
            <w:pPr>
              <w:spacing w:after="120"/>
              <w:rPr>
                <w:lang w:eastAsia="en-GB"/>
              </w:rPr>
            </w:pPr>
            <w:r>
              <w:rPr>
                <w:lang w:eastAsia="en-GB"/>
              </w:rPr>
              <w:t>P</w:t>
            </w:r>
            <w:r>
              <w:rPr>
                <w:vertAlign w:val="subscript"/>
                <w:lang w:eastAsia="en-GB"/>
              </w:rPr>
              <w:t>CDP</w:t>
            </w:r>
          </w:p>
        </w:tc>
      </w:tr>
      <w:tr w:rsidR="008B7113" w14:paraId="2DF18B06" w14:textId="77777777" w:rsidTr="00036EC8">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CC1E8" w14:textId="77777777" w:rsidR="008B7113" w:rsidRDefault="008B7113" w:rsidP="00036EC8">
            <w:pPr>
              <w:spacing w:after="120"/>
              <w:rPr>
                <w:lang w:eastAsia="en-GB"/>
              </w:rPr>
            </w:pPr>
            <w:r>
              <w:rPr>
                <w:lang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3927C0F7" w14:textId="77777777" w:rsidR="008B7113" w:rsidRDefault="008B7113" w:rsidP="00036EC8">
            <w:pPr>
              <w:spacing w:after="120"/>
              <w:rPr>
                <w:lang w:eastAsia="en-GB"/>
              </w:rPr>
            </w:pPr>
            <w:r>
              <w:rPr>
                <w:lang w:eastAsia="en-GB"/>
              </w:rPr>
              <w:t>T’</w:t>
            </w:r>
            <w:r>
              <w:rPr>
                <w:vertAlign w:val="subscript"/>
                <w:lang w:eastAsia="en-GB"/>
              </w:rPr>
              <w:t>SSB,SC</w:t>
            </w:r>
            <w:r>
              <w:rPr>
                <w:lang w:eastAsia="en-GB"/>
              </w:rPr>
              <w:t xml:space="preserve"> = T’</w:t>
            </w:r>
            <w:r>
              <w:rPr>
                <w:vertAlign w:val="subscript"/>
                <w:lang w:eastAsia="en-GB"/>
              </w:rPr>
              <w:t>SSB,CDP</w:t>
            </w:r>
            <w:r>
              <w:rPr>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45229BD9" w14:textId="77777777" w:rsidR="008B7113" w:rsidRDefault="008B7113" w:rsidP="00036EC8">
            <w:pPr>
              <w:spacing w:after="120"/>
              <w:rPr>
                <w:lang w:eastAsia="en-GB"/>
              </w:rPr>
            </w:pPr>
            <w:r>
              <w:rPr>
                <w:lang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5BC19EAF" w14:textId="77777777" w:rsidR="008B7113" w:rsidRDefault="008B7113" w:rsidP="00036EC8">
            <w:pPr>
              <w:spacing w:after="120"/>
              <w:rPr>
                <w:lang w:eastAsia="en-GB"/>
              </w:rPr>
            </w:pPr>
            <w:r>
              <w:rPr>
                <w:lang w:eastAsia="en-GB"/>
              </w:rPr>
              <w:t>2</w:t>
            </w:r>
          </w:p>
        </w:tc>
      </w:tr>
      <w:tr w:rsidR="008B7113" w14:paraId="20FE9F4E" w14:textId="77777777" w:rsidTr="00036EC8">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266F2ACA" w14:textId="77777777" w:rsidR="008B7113" w:rsidRDefault="008B7113" w:rsidP="00036EC8">
            <w:pPr>
              <w:spacing w:after="120"/>
              <w:rPr>
                <w:lang w:eastAsia="en-GB"/>
              </w:rPr>
            </w:pPr>
            <w:r>
              <w:rPr>
                <w:lang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11C95769" w14:textId="77777777" w:rsidR="008B7113" w:rsidRDefault="008B7113" w:rsidP="00036EC8">
            <w:pPr>
              <w:spacing w:after="120"/>
              <w:rPr>
                <w:lang w:eastAsia="en-GB"/>
              </w:rPr>
            </w:pPr>
            <w:r>
              <w:rPr>
                <w:lang w:eastAsia="en-GB"/>
              </w:rPr>
              <w:t>T’</w:t>
            </w:r>
            <w:r>
              <w:rPr>
                <w:vertAlign w:val="subscript"/>
                <w:lang w:eastAsia="en-GB"/>
              </w:rPr>
              <w:t>SSB,SC</w:t>
            </w:r>
            <w:r>
              <w:rPr>
                <w:lang w:eastAsia="en-GB"/>
              </w:rPr>
              <w:t xml:space="preserve"> &lt; T’</w:t>
            </w:r>
            <w:r>
              <w:rPr>
                <w:vertAlign w:val="subscript"/>
                <w:lang w:eastAsia="en-GB"/>
              </w:rPr>
              <w:t>SSB,CDP</w:t>
            </w:r>
            <w:r>
              <w:rPr>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742B0A51" w14:textId="77777777" w:rsidR="008B7113" w:rsidRDefault="00000000" w:rsidP="00036EC8">
            <w:pPr>
              <w:spacing w:after="120"/>
              <w:rPr>
                <w:lang w:eastAsia="en-GB"/>
              </w:rPr>
            </w:pPr>
            <m:oMathPara>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3237C7F4" w14:textId="77777777" w:rsidR="008B7113" w:rsidRDefault="008B7113" w:rsidP="00036EC8">
            <w:pPr>
              <w:spacing w:after="120"/>
              <w:rPr>
                <w:lang w:eastAsia="en-GB"/>
              </w:rPr>
            </w:pPr>
            <w:r>
              <w:rPr>
                <w:lang w:eastAsia="en-GB"/>
              </w:rPr>
              <w:t>1</w:t>
            </w:r>
          </w:p>
        </w:tc>
      </w:tr>
      <w:tr w:rsidR="008B7113" w14:paraId="54CCEF92" w14:textId="77777777" w:rsidTr="00036EC8">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633227A2" w14:textId="77777777" w:rsidR="008B7113" w:rsidRDefault="008B7113" w:rsidP="00036EC8">
            <w:pPr>
              <w:spacing w:after="120"/>
              <w:rPr>
                <w:lang w:eastAsia="en-GB"/>
              </w:rPr>
            </w:pPr>
            <w:r>
              <w:rPr>
                <w:lang w:eastAsia="en-GB"/>
              </w:rPr>
              <w:lastRenderedPageBreak/>
              <w:t>3</w:t>
            </w:r>
          </w:p>
        </w:tc>
        <w:tc>
          <w:tcPr>
            <w:tcW w:w="1890" w:type="dxa"/>
            <w:tcBorders>
              <w:top w:val="single" w:sz="4" w:space="0" w:color="auto"/>
              <w:left w:val="single" w:sz="4" w:space="0" w:color="auto"/>
              <w:bottom w:val="single" w:sz="4" w:space="0" w:color="auto"/>
              <w:right w:val="single" w:sz="4" w:space="0" w:color="auto"/>
            </w:tcBorders>
            <w:vAlign w:val="center"/>
          </w:tcPr>
          <w:p w14:paraId="162769D1" w14:textId="77777777" w:rsidR="008B7113" w:rsidRDefault="008B7113" w:rsidP="00036EC8">
            <w:pPr>
              <w:spacing w:after="120"/>
              <w:rPr>
                <w:lang w:eastAsia="en-GB"/>
              </w:rPr>
            </w:pPr>
            <w:r>
              <w:rPr>
                <w:lang w:eastAsia="en-GB"/>
              </w:rPr>
              <w:t>T’</w:t>
            </w:r>
            <w:r>
              <w:rPr>
                <w:vertAlign w:val="subscript"/>
                <w:lang w:eastAsia="en-GB"/>
              </w:rPr>
              <w:t>SSB,CDP</w:t>
            </w:r>
            <w:r>
              <w:rPr>
                <w:lang w:eastAsia="en-GB"/>
              </w:rPr>
              <w:t xml:space="preserve"> &lt; T’</w:t>
            </w:r>
            <w:r>
              <w:rPr>
                <w:vertAlign w:val="subscript"/>
                <w:lang w:eastAsia="en-GB"/>
              </w:rPr>
              <w:t>SSB,SC</w:t>
            </w:r>
            <w:r>
              <w:rPr>
                <w:lang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011322FD" w14:textId="77777777" w:rsidR="008B7113" w:rsidRDefault="008B7113" w:rsidP="00036EC8">
            <w:pPr>
              <w:spacing w:after="120"/>
              <w:rPr>
                <w:lang w:eastAsia="en-GB"/>
              </w:rPr>
            </w:pPr>
            <w:r>
              <w:rPr>
                <w:lang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5631EFE4" w14:textId="77777777" w:rsidR="008B7113" w:rsidRDefault="00000000" w:rsidP="00036EC8">
            <w:pPr>
              <w:spacing w:after="120"/>
              <w:rPr>
                <w:lang w:eastAsia="en-GB"/>
              </w:rPr>
            </w:pPr>
            <m:oMathPara>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SSB,CDP</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SSB,SC</m:t>
                            </m:r>
                          </m:sub>
                        </m:sSub>
                      </m:den>
                    </m:f>
                  </m:den>
                </m:f>
              </m:oMath>
            </m:oMathPara>
          </w:p>
        </w:tc>
      </w:tr>
    </w:tbl>
    <w:p w14:paraId="550F8F00" w14:textId="77777777" w:rsidR="008B7113" w:rsidRDefault="008B7113" w:rsidP="008B7113">
      <w:pPr>
        <w:spacing w:after="120"/>
        <w:ind w:left="2016"/>
      </w:pPr>
    </w:p>
    <w:p w14:paraId="50EDE078" w14:textId="77777777" w:rsidR="008B7113" w:rsidRDefault="008B7113" w:rsidP="008B7113">
      <w:pPr>
        <w:numPr>
          <w:ilvl w:val="1"/>
          <w:numId w:val="3"/>
        </w:numPr>
        <w:spacing w:after="120"/>
        <w:ind w:left="1440"/>
        <w:jc w:val="left"/>
      </w:pPr>
      <w:r>
        <w:rPr>
          <w:bCs/>
          <w:szCs w:val="24"/>
        </w:rPr>
        <w:t>Option 2:</w:t>
      </w:r>
    </w:p>
    <w:tbl>
      <w:tblPr>
        <w:tblStyle w:val="11"/>
        <w:tblW w:w="0" w:type="auto"/>
        <w:jc w:val="center"/>
        <w:tblLook w:val="04A0" w:firstRow="1" w:lastRow="0" w:firstColumn="1" w:lastColumn="0" w:noHBand="0" w:noVBand="1"/>
      </w:tblPr>
      <w:tblGrid>
        <w:gridCol w:w="810"/>
        <w:gridCol w:w="2610"/>
        <w:gridCol w:w="1530"/>
        <w:gridCol w:w="1139"/>
      </w:tblGrid>
      <w:tr w:rsidR="008B7113" w14:paraId="55BAF59C" w14:textId="77777777" w:rsidTr="00036EC8">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50C943E5" w14:textId="77777777" w:rsidR="008B7113" w:rsidRDefault="008B7113" w:rsidP="00036EC8">
            <w:pPr>
              <w:snapToGrid w:val="0"/>
              <w:spacing w:after="0"/>
              <w:jc w:val="center"/>
              <w:rPr>
                <w:rFonts w:eastAsia="DengXian"/>
                <w:b/>
              </w:rPr>
            </w:pPr>
            <w:r>
              <w:rPr>
                <w:rFonts w:eastAsia="DengXian"/>
                <w:b/>
              </w:rPr>
              <w:t>#</w:t>
            </w:r>
          </w:p>
        </w:tc>
        <w:tc>
          <w:tcPr>
            <w:tcW w:w="2610" w:type="dxa"/>
            <w:tcBorders>
              <w:top w:val="single" w:sz="4" w:space="0" w:color="auto"/>
              <w:left w:val="single" w:sz="4" w:space="0" w:color="auto"/>
              <w:bottom w:val="single" w:sz="4" w:space="0" w:color="auto"/>
              <w:right w:val="single" w:sz="4" w:space="0" w:color="auto"/>
            </w:tcBorders>
          </w:tcPr>
          <w:p w14:paraId="543E7C09" w14:textId="77777777" w:rsidR="008B7113" w:rsidRDefault="008B7113" w:rsidP="00036EC8">
            <w:pPr>
              <w:snapToGrid w:val="0"/>
              <w:spacing w:after="0"/>
              <w:jc w:val="center"/>
              <w:rPr>
                <w:rFonts w:eastAsia="DengXian"/>
                <w:b/>
              </w:rPr>
            </w:pPr>
            <w:r>
              <w:rPr>
                <w:rFonts w:eastAsia="DengXian"/>
                <w:b/>
              </w:rPr>
              <w:t>Scenario</w:t>
            </w:r>
          </w:p>
        </w:tc>
        <w:tc>
          <w:tcPr>
            <w:tcW w:w="1530" w:type="dxa"/>
            <w:tcBorders>
              <w:top w:val="single" w:sz="4" w:space="0" w:color="auto"/>
              <w:left w:val="single" w:sz="4" w:space="0" w:color="auto"/>
              <w:bottom w:val="single" w:sz="4" w:space="0" w:color="auto"/>
              <w:right w:val="single" w:sz="4" w:space="0" w:color="auto"/>
            </w:tcBorders>
          </w:tcPr>
          <w:p w14:paraId="7C2948EC" w14:textId="77777777" w:rsidR="008B7113" w:rsidRDefault="008B7113" w:rsidP="00036EC8">
            <w:pPr>
              <w:snapToGrid w:val="0"/>
              <w:spacing w:after="0"/>
              <w:jc w:val="center"/>
              <w:rPr>
                <w:rFonts w:eastAsia="DengXian"/>
                <w:b/>
              </w:rPr>
            </w:pPr>
            <w:r>
              <w:rPr>
                <w:rFonts w:eastAsia="DengXian"/>
                <w:b/>
              </w:rPr>
              <w:t>P</w:t>
            </w:r>
            <w:r>
              <w:rPr>
                <w:rFonts w:eastAsia="DengXian"/>
                <w:b/>
                <w:vertAlign w:val="subscript"/>
              </w:rPr>
              <w:t>SC</w:t>
            </w:r>
          </w:p>
        </w:tc>
        <w:tc>
          <w:tcPr>
            <w:tcW w:w="1139" w:type="dxa"/>
            <w:tcBorders>
              <w:top w:val="single" w:sz="4" w:space="0" w:color="auto"/>
              <w:left w:val="single" w:sz="4" w:space="0" w:color="auto"/>
              <w:bottom w:val="single" w:sz="4" w:space="0" w:color="auto"/>
              <w:right w:val="single" w:sz="4" w:space="0" w:color="auto"/>
            </w:tcBorders>
          </w:tcPr>
          <w:p w14:paraId="56DF75E7" w14:textId="77777777" w:rsidR="008B7113" w:rsidRDefault="008B7113" w:rsidP="00036EC8">
            <w:pPr>
              <w:snapToGrid w:val="0"/>
              <w:spacing w:after="0"/>
              <w:jc w:val="center"/>
              <w:rPr>
                <w:rFonts w:eastAsia="DengXian"/>
                <w:b/>
              </w:rPr>
            </w:pPr>
            <w:r>
              <w:rPr>
                <w:rFonts w:eastAsia="DengXian"/>
                <w:b/>
              </w:rPr>
              <w:t>P</w:t>
            </w:r>
            <w:r>
              <w:rPr>
                <w:rFonts w:eastAsia="DengXian"/>
                <w:b/>
                <w:vertAlign w:val="subscript"/>
              </w:rPr>
              <w:t>CDP</w:t>
            </w:r>
          </w:p>
        </w:tc>
      </w:tr>
      <w:tr w:rsidR="008B7113" w14:paraId="00F26AA0" w14:textId="77777777" w:rsidTr="00036EC8">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06D4196" w14:textId="77777777" w:rsidR="008B7113" w:rsidRDefault="008B7113" w:rsidP="00036EC8">
            <w:pPr>
              <w:snapToGrid w:val="0"/>
              <w:spacing w:after="0"/>
              <w:jc w:val="center"/>
              <w:rPr>
                <w:rFonts w:eastAsia="DengXian"/>
              </w:rPr>
            </w:pPr>
            <w:r>
              <w:rPr>
                <w:rFonts w:eastAsia="DengXian"/>
              </w:rPr>
              <w:t>A</w:t>
            </w:r>
          </w:p>
        </w:tc>
        <w:tc>
          <w:tcPr>
            <w:tcW w:w="2610" w:type="dxa"/>
            <w:tcBorders>
              <w:top w:val="single" w:sz="4" w:space="0" w:color="auto"/>
              <w:left w:val="single" w:sz="4" w:space="0" w:color="auto"/>
              <w:bottom w:val="single" w:sz="4" w:space="0" w:color="auto"/>
              <w:right w:val="single" w:sz="4" w:space="0" w:color="auto"/>
            </w:tcBorders>
            <w:vAlign w:val="center"/>
          </w:tcPr>
          <w:p w14:paraId="7A79B7C8" w14:textId="77777777" w:rsidR="008B7113" w:rsidRDefault="008B7113" w:rsidP="00036EC8">
            <w:pPr>
              <w:snapToGrid w:val="0"/>
              <w:spacing w:after="0"/>
              <w:rPr>
                <w:rFonts w:eastAsia="DengXian"/>
              </w:rPr>
            </w:pPr>
            <w:r>
              <w:rPr>
                <w:rFonts w:eastAsia="DengXia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2A8C7EE0" w14:textId="77777777" w:rsidR="008B7113" w:rsidRDefault="008B7113" w:rsidP="00036EC8">
            <w:pPr>
              <w:snapToGrid w:val="0"/>
              <w:spacing w:after="0"/>
              <w:jc w:val="center"/>
              <w:rPr>
                <w:rFonts w:eastAsia="DengXian"/>
              </w:rPr>
            </w:pPr>
            <w:r>
              <w:rPr>
                <w:rFonts w:eastAsia="DengXian"/>
              </w:rPr>
              <w:t>2</w:t>
            </w:r>
          </w:p>
        </w:tc>
        <w:tc>
          <w:tcPr>
            <w:tcW w:w="1139" w:type="dxa"/>
            <w:tcBorders>
              <w:top w:val="single" w:sz="4" w:space="0" w:color="auto"/>
              <w:left w:val="single" w:sz="4" w:space="0" w:color="auto"/>
              <w:bottom w:val="single" w:sz="4" w:space="0" w:color="auto"/>
              <w:right w:val="single" w:sz="4" w:space="0" w:color="auto"/>
            </w:tcBorders>
            <w:vAlign w:val="center"/>
          </w:tcPr>
          <w:p w14:paraId="6AEC291F" w14:textId="77777777" w:rsidR="008B7113" w:rsidRDefault="008B7113" w:rsidP="00036EC8">
            <w:pPr>
              <w:snapToGrid w:val="0"/>
              <w:spacing w:after="0"/>
              <w:jc w:val="center"/>
              <w:rPr>
                <w:rFonts w:eastAsia="DengXian"/>
              </w:rPr>
            </w:pPr>
            <w:r>
              <w:rPr>
                <w:rFonts w:eastAsia="DengXian"/>
              </w:rPr>
              <w:t>2</w:t>
            </w:r>
          </w:p>
        </w:tc>
      </w:tr>
      <w:tr w:rsidR="008B7113" w14:paraId="614FD7FC" w14:textId="77777777" w:rsidTr="00036EC8">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6EF12003" w14:textId="77777777" w:rsidR="008B7113" w:rsidRDefault="008B7113" w:rsidP="00036EC8">
            <w:pPr>
              <w:snapToGrid w:val="0"/>
              <w:spacing w:after="0"/>
              <w:jc w:val="center"/>
              <w:rPr>
                <w:rFonts w:eastAsia="DengXian"/>
              </w:rPr>
            </w:pPr>
            <w:r>
              <w:rPr>
                <w:rFonts w:eastAsia="DengXian"/>
              </w:rPr>
              <w:t>B</w:t>
            </w:r>
          </w:p>
        </w:tc>
        <w:tc>
          <w:tcPr>
            <w:tcW w:w="2610" w:type="dxa"/>
            <w:tcBorders>
              <w:top w:val="single" w:sz="4" w:space="0" w:color="auto"/>
              <w:left w:val="single" w:sz="4" w:space="0" w:color="auto"/>
              <w:bottom w:val="single" w:sz="4" w:space="0" w:color="auto"/>
              <w:right w:val="single" w:sz="4" w:space="0" w:color="auto"/>
            </w:tcBorders>
            <w:vAlign w:val="center"/>
          </w:tcPr>
          <w:p w14:paraId="33661385" w14:textId="77777777" w:rsidR="008B7113" w:rsidRDefault="008B7113" w:rsidP="00036EC8">
            <w:pPr>
              <w:snapToGrid w:val="0"/>
              <w:spacing w:after="0"/>
              <w:rPr>
                <w:rFonts w:eastAsia="DengXian"/>
              </w:rPr>
            </w:pPr>
            <w:r>
              <w:rPr>
                <w:rFonts w:eastAsia="DengXia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E07A111" w14:textId="77777777" w:rsidR="008B7113" w:rsidRDefault="008B7113" w:rsidP="00036EC8">
            <w:pPr>
              <w:snapToGrid w:val="0"/>
              <w:spacing w:after="0"/>
              <w:jc w:val="center"/>
              <w:rPr>
                <w:rFonts w:eastAsia="DengXian"/>
              </w:rPr>
            </w:pPr>
            <w:r>
              <w:rPr>
                <w:rFonts w:eastAsia="DengXian"/>
              </w:rPr>
              <w:t>2</w:t>
            </w:r>
          </w:p>
        </w:tc>
        <w:tc>
          <w:tcPr>
            <w:tcW w:w="1139" w:type="dxa"/>
            <w:tcBorders>
              <w:top w:val="single" w:sz="4" w:space="0" w:color="auto"/>
              <w:left w:val="single" w:sz="4" w:space="0" w:color="auto"/>
              <w:bottom w:val="single" w:sz="4" w:space="0" w:color="auto"/>
              <w:right w:val="single" w:sz="4" w:space="0" w:color="auto"/>
            </w:tcBorders>
            <w:vAlign w:val="center"/>
          </w:tcPr>
          <w:p w14:paraId="35BAFB84" w14:textId="77777777" w:rsidR="008B7113" w:rsidRDefault="008B7113" w:rsidP="00036EC8">
            <w:pPr>
              <w:snapToGrid w:val="0"/>
              <w:spacing w:after="0"/>
              <w:jc w:val="center"/>
              <w:rPr>
                <w:rFonts w:eastAsia="DengXian"/>
              </w:rPr>
            </w:pPr>
            <w:r>
              <w:rPr>
                <w:rFonts w:eastAsia="DengXian"/>
              </w:rPr>
              <w:t>1</w:t>
            </w:r>
          </w:p>
        </w:tc>
      </w:tr>
      <w:tr w:rsidR="008B7113" w14:paraId="2CE86C08" w14:textId="77777777" w:rsidTr="00036EC8">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4F1DC101" w14:textId="77777777" w:rsidR="008B7113" w:rsidRDefault="008B7113" w:rsidP="00036EC8">
            <w:pPr>
              <w:snapToGrid w:val="0"/>
              <w:spacing w:after="0"/>
              <w:jc w:val="center"/>
              <w:rPr>
                <w:rFonts w:eastAsia="DengXian"/>
              </w:rPr>
            </w:pPr>
            <w:r>
              <w:rPr>
                <w:rFonts w:eastAsia="DengXian"/>
              </w:rPr>
              <w:t>C</w:t>
            </w:r>
          </w:p>
        </w:tc>
        <w:tc>
          <w:tcPr>
            <w:tcW w:w="2610" w:type="dxa"/>
            <w:tcBorders>
              <w:top w:val="single" w:sz="4" w:space="0" w:color="auto"/>
              <w:left w:val="single" w:sz="4" w:space="0" w:color="auto"/>
              <w:bottom w:val="single" w:sz="4" w:space="0" w:color="auto"/>
              <w:right w:val="single" w:sz="4" w:space="0" w:color="auto"/>
            </w:tcBorders>
            <w:vAlign w:val="center"/>
          </w:tcPr>
          <w:p w14:paraId="438210C4" w14:textId="77777777" w:rsidR="008B7113" w:rsidRDefault="008B7113" w:rsidP="00036EC8">
            <w:pPr>
              <w:snapToGrid w:val="0"/>
              <w:spacing w:after="0"/>
              <w:rPr>
                <w:rFonts w:eastAsia="DengXian"/>
              </w:rPr>
            </w:pPr>
            <w:r>
              <w:rPr>
                <w:rFonts w:eastAsia="DengXia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FC9FB07" w14:textId="77777777" w:rsidR="008B7113" w:rsidRDefault="008B7113" w:rsidP="00036EC8">
            <w:pPr>
              <w:snapToGrid w:val="0"/>
              <w:spacing w:after="0"/>
              <w:jc w:val="center"/>
              <w:rPr>
                <w:rFonts w:eastAsia="DengXian"/>
              </w:rPr>
            </w:pPr>
            <w:r>
              <w:rPr>
                <w:rFonts w:eastAsia="DengXian"/>
              </w:rPr>
              <w:t>1</w:t>
            </w:r>
          </w:p>
        </w:tc>
        <w:tc>
          <w:tcPr>
            <w:tcW w:w="1139" w:type="dxa"/>
            <w:tcBorders>
              <w:top w:val="single" w:sz="4" w:space="0" w:color="auto"/>
              <w:left w:val="single" w:sz="4" w:space="0" w:color="auto"/>
              <w:bottom w:val="single" w:sz="4" w:space="0" w:color="auto"/>
              <w:right w:val="single" w:sz="4" w:space="0" w:color="auto"/>
            </w:tcBorders>
            <w:vAlign w:val="center"/>
          </w:tcPr>
          <w:p w14:paraId="32B034DA" w14:textId="77777777" w:rsidR="008B7113" w:rsidRDefault="008B7113" w:rsidP="00036EC8">
            <w:pPr>
              <w:snapToGrid w:val="0"/>
              <w:spacing w:after="0"/>
              <w:jc w:val="center"/>
              <w:rPr>
                <w:rFonts w:eastAsia="DengXian"/>
              </w:rPr>
            </w:pPr>
            <w:r>
              <w:rPr>
                <w:rFonts w:eastAsia="DengXian"/>
              </w:rPr>
              <w:t>2</w:t>
            </w:r>
          </w:p>
        </w:tc>
      </w:tr>
    </w:tbl>
    <w:p w14:paraId="6B854AC4" w14:textId="77777777" w:rsidR="008B7113" w:rsidRDefault="008B7113" w:rsidP="008B7113">
      <w:pPr>
        <w:spacing w:after="120"/>
        <w:ind w:left="2016"/>
      </w:pPr>
    </w:p>
    <w:p w14:paraId="73923590" w14:textId="77777777" w:rsidR="008B7113" w:rsidRPr="00897C6F" w:rsidRDefault="008B7113" w:rsidP="008B7113">
      <w:pPr>
        <w:numPr>
          <w:ilvl w:val="1"/>
          <w:numId w:val="3"/>
        </w:numPr>
        <w:spacing w:after="120"/>
        <w:ind w:left="1440"/>
        <w:jc w:val="left"/>
      </w:pPr>
      <w:r>
        <w:rPr>
          <w:rFonts w:eastAsiaTheme="minorEastAsia"/>
          <w:lang w:eastAsia="zh-CN"/>
        </w:rPr>
        <w:t>Option 3: (vivo)</w:t>
      </w:r>
    </w:p>
    <w:p w14:paraId="4B1DD8F6" w14:textId="77777777" w:rsidR="008B7113" w:rsidRPr="001377A4" w:rsidRDefault="008B7113" w:rsidP="008B7113">
      <w:pPr>
        <w:numPr>
          <w:ilvl w:val="2"/>
          <w:numId w:val="3"/>
        </w:numPr>
        <w:spacing w:after="120"/>
        <w:ind w:left="2376"/>
        <w:jc w:val="left"/>
      </w:pPr>
      <w:r w:rsidRPr="00E033AB">
        <w:rPr>
          <w:bCs/>
          <w:szCs w:val="24"/>
        </w:rPr>
        <w:t xml:space="preserve">The </w:t>
      </w:r>
      <w:r w:rsidRPr="00E033AB">
        <w:rPr>
          <w:rFonts w:eastAsiaTheme="minorEastAsia"/>
          <w:bCs/>
          <w:lang w:eastAsia="zh-CN"/>
        </w:rPr>
        <w:t>sharing factors P</w:t>
      </w:r>
      <w:r w:rsidRPr="00E033AB">
        <w:rPr>
          <w:rFonts w:eastAsiaTheme="minorEastAsia"/>
          <w:bCs/>
          <w:vertAlign w:val="subscript"/>
          <w:lang w:eastAsia="zh-CN"/>
        </w:rPr>
        <w:t>SC</w:t>
      </w:r>
      <w:r w:rsidRPr="00E033AB">
        <w:rPr>
          <w:rFonts w:eastAsiaTheme="minorEastAsia"/>
          <w:bCs/>
          <w:lang w:eastAsia="zh-CN"/>
        </w:rPr>
        <w:t xml:space="preserve"> and P</w:t>
      </w:r>
      <w:r w:rsidRPr="00E033AB">
        <w:rPr>
          <w:rFonts w:eastAsiaTheme="minorEastAsia"/>
          <w:bCs/>
          <w:vertAlign w:val="subscript"/>
          <w:lang w:eastAsia="zh-CN"/>
        </w:rPr>
        <w:t>CDP</w:t>
      </w:r>
      <w:r w:rsidRPr="00E033AB">
        <w:rPr>
          <w:bCs/>
          <w:szCs w:val="24"/>
        </w:rPr>
        <w:t xml:space="preserve"> for inter-cell BM are introduced without impacting the definition of existing </w:t>
      </w:r>
      <w:r w:rsidRPr="00E033AB">
        <w:rPr>
          <w:rFonts w:eastAsiaTheme="minorEastAsia"/>
          <w:bCs/>
          <w:lang w:eastAsia="zh-CN"/>
        </w:rPr>
        <w:t xml:space="preserve">sharing </w:t>
      </w:r>
      <w:r w:rsidRPr="00E033AB">
        <w:rPr>
          <w:bCs/>
          <w:szCs w:val="24"/>
        </w:rPr>
        <w:t xml:space="preserve">factor </w:t>
      </w:r>
      <w:proofErr w:type="spellStart"/>
      <w:r w:rsidRPr="00897C6F">
        <w:rPr>
          <w:rFonts w:eastAsia="Times New Roman"/>
          <w:lang w:eastAsia="en-GB"/>
        </w:rPr>
        <w:t>P</w:t>
      </w:r>
      <w:r w:rsidRPr="00897C6F">
        <w:rPr>
          <w:rFonts w:eastAsia="Times New Roman"/>
          <w:vertAlign w:val="subscript"/>
          <w:lang w:eastAsia="en-GB"/>
        </w:rPr>
        <w:t>sharing</w:t>
      </w:r>
      <w:proofErr w:type="spellEnd"/>
      <w:r w:rsidRPr="00897C6F">
        <w:rPr>
          <w:rFonts w:eastAsia="Times New Roman"/>
          <w:vertAlign w:val="subscript"/>
          <w:lang w:eastAsia="en-GB"/>
        </w:rPr>
        <w:t xml:space="preserve"> factor</w:t>
      </w:r>
      <w:r w:rsidRPr="00E033AB">
        <w:rPr>
          <w:bCs/>
          <w:szCs w:val="24"/>
        </w:rPr>
        <w:t xml:space="preserve">, where </w:t>
      </w:r>
      <w:proofErr w:type="spellStart"/>
      <w:r w:rsidRPr="00897C6F">
        <w:rPr>
          <w:rFonts w:eastAsia="Times New Roman"/>
          <w:lang w:eastAsia="en-GB"/>
        </w:rPr>
        <w:t>P</w:t>
      </w:r>
      <w:r w:rsidRPr="00897C6F">
        <w:rPr>
          <w:rFonts w:eastAsia="Times New Roman"/>
          <w:vertAlign w:val="subscript"/>
          <w:lang w:eastAsia="en-GB"/>
        </w:rPr>
        <w:t>sharing</w:t>
      </w:r>
      <w:proofErr w:type="spellEnd"/>
      <w:r w:rsidRPr="00897C6F">
        <w:rPr>
          <w:rFonts w:eastAsia="Times New Roman"/>
          <w:vertAlign w:val="subscript"/>
          <w:lang w:eastAsia="en-GB"/>
        </w:rPr>
        <w:t xml:space="preserve"> factor</w:t>
      </w:r>
      <w:r w:rsidRPr="00E033AB">
        <w:rPr>
          <w:bCs/>
          <w:szCs w:val="24"/>
        </w:rPr>
        <w:t xml:space="preserve"> is defined for the </w:t>
      </w:r>
      <w:r w:rsidRPr="001377A4">
        <w:rPr>
          <w:rFonts w:eastAsiaTheme="minorEastAsia"/>
          <w:bCs/>
          <w:lang w:eastAsia="zh-CN"/>
        </w:rPr>
        <w:t xml:space="preserve">sharing </w:t>
      </w:r>
      <w:r w:rsidRPr="001377A4">
        <w:rPr>
          <w:bCs/>
          <w:szCs w:val="24"/>
        </w:rPr>
        <w:t xml:space="preserve">factor between </w:t>
      </w:r>
      <w:r w:rsidRPr="00897C6F">
        <w:rPr>
          <w:bCs/>
          <w:szCs w:val="24"/>
        </w:rPr>
        <w:t>serving cell</w:t>
      </w:r>
      <w:r w:rsidRPr="00E033AB">
        <w:rPr>
          <w:bCs/>
          <w:szCs w:val="24"/>
        </w:rPr>
        <w:t xml:space="preserve"> L1-RSRP measurements and L3 measurements.</w:t>
      </w:r>
    </w:p>
    <w:p w14:paraId="531934C0" w14:textId="77777777" w:rsidR="008B7113" w:rsidRPr="00B67205" w:rsidRDefault="008B7113" w:rsidP="008B7113">
      <w:pPr>
        <w:numPr>
          <w:ilvl w:val="3"/>
          <w:numId w:val="3"/>
        </w:numPr>
        <w:spacing w:after="120"/>
        <w:ind w:left="3096"/>
        <w:jc w:val="left"/>
      </w:pPr>
      <w:r>
        <w:rPr>
          <w:rFonts w:eastAsiaTheme="minorEastAsia"/>
          <w:lang w:eastAsia="zh-CN"/>
        </w:rPr>
        <w:t>No impacts on the existing L3 measurements.</w:t>
      </w:r>
    </w:p>
    <w:p w14:paraId="09098C5C" w14:textId="77777777" w:rsidR="008B7113" w:rsidRPr="00897C6F" w:rsidRDefault="008B7113" w:rsidP="008B7113">
      <w:pPr>
        <w:numPr>
          <w:ilvl w:val="2"/>
          <w:numId w:val="3"/>
        </w:numPr>
        <w:spacing w:after="120"/>
        <w:ind w:left="2376"/>
        <w:jc w:val="left"/>
      </w:pPr>
      <w:r w:rsidRPr="00897C6F">
        <w:rPr>
          <w:bCs/>
          <w:szCs w:val="24"/>
        </w:rPr>
        <w:t xml:space="preserve">The </w:t>
      </w:r>
      <w:r w:rsidRPr="00897C6F">
        <w:rPr>
          <w:rFonts w:eastAsiaTheme="minorEastAsia"/>
          <w:bCs/>
          <w:lang w:eastAsia="zh-CN"/>
        </w:rPr>
        <w:t>sharing factors P</w:t>
      </w:r>
      <w:r w:rsidRPr="00897C6F">
        <w:rPr>
          <w:bCs/>
          <w:vertAlign w:val="subscript"/>
        </w:rPr>
        <w:t>SC</w:t>
      </w:r>
      <w:r w:rsidRPr="00897C6F">
        <w:rPr>
          <w:bCs/>
        </w:rPr>
        <w:t xml:space="preserve"> or </w:t>
      </w:r>
      <w:r w:rsidRPr="00897C6F">
        <w:rPr>
          <w:rFonts w:eastAsiaTheme="minorEastAsia"/>
          <w:bCs/>
          <w:lang w:eastAsia="zh-CN"/>
        </w:rPr>
        <w:t>P</w:t>
      </w:r>
      <w:r w:rsidRPr="00897C6F">
        <w:rPr>
          <w:rFonts w:eastAsiaTheme="minorEastAsia"/>
          <w:bCs/>
          <w:vertAlign w:val="subscript"/>
          <w:lang w:eastAsia="zh-CN"/>
        </w:rPr>
        <w:t>CDP</w:t>
      </w:r>
      <w:r w:rsidRPr="00897C6F">
        <w:rPr>
          <w:rFonts w:hint="eastAsia"/>
          <w:bCs/>
        </w:rPr>
        <w:t xml:space="preserve"> </w:t>
      </w:r>
      <w:r w:rsidRPr="00897C6F">
        <w:rPr>
          <w:rFonts w:hint="eastAsia"/>
          <w:bCs/>
          <w:lang w:eastAsia="zh-CN"/>
        </w:rPr>
        <w:t>is</w:t>
      </w:r>
      <w:r w:rsidRPr="00897C6F">
        <w:rPr>
          <w:bCs/>
        </w:rPr>
        <w:t xml:space="preserve"> determined in the same way as R15, i.e</w:t>
      </w:r>
      <w:r w:rsidRPr="00897C6F">
        <w:rPr>
          <w:rFonts w:hint="eastAsia"/>
          <w:bCs/>
        </w:rPr>
        <w:t>.</w:t>
      </w:r>
      <w:r w:rsidRPr="00897C6F">
        <w:rPr>
          <w:bCs/>
        </w:rPr>
        <w:t xml:space="preserve"> by puncturing both SMTC and measurement gaps. </w:t>
      </w:r>
      <w:r w:rsidRPr="00897C6F">
        <w:rPr>
          <w:rFonts w:eastAsiaTheme="minorEastAsia"/>
          <w:bCs/>
          <w:lang w:eastAsia="zh-CN"/>
        </w:rPr>
        <w:t>P</w:t>
      </w:r>
      <w:r w:rsidRPr="00897C6F">
        <w:rPr>
          <w:bCs/>
          <w:vertAlign w:val="subscript"/>
        </w:rPr>
        <w:t>SC</w:t>
      </w:r>
      <w:r w:rsidRPr="00897C6F">
        <w:rPr>
          <w:bCs/>
        </w:rPr>
        <w:t xml:space="preserve"> or </w:t>
      </w:r>
      <w:r w:rsidRPr="00897C6F">
        <w:rPr>
          <w:rFonts w:eastAsiaTheme="minorEastAsia"/>
          <w:bCs/>
          <w:lang w:eastAsia="zh-CN"/>
        </w:rPr>
        <w:t>P</w:t>
      </w:r>
      <w:r w:rsidRPr="00897C6F">
        <w:rPr>
          <w:rFonts w:eastAsiaTheme="minorEastAsia"/>
          <w:bCs/>
          <w:vertAlign w:val="subscript"/>
          <w:lang w:eastAsia="zh-CN"/>
        </w:rPr>
        <w:t>CDP</w:t>
      </w:r>
      <w:r w:rsidRPr="00897C6F">
        <w:rPr>
          <w:bCs/>
        </w:rPr>
        <w:t xml:space="preserve"> is valid if there are remaining SSB occasions after this puncturing in the corresponding cell.</w:t>
      </w:r>
    </w:p>
    <w:p w14:paraId="4E5A5A65" w14:textId="77777777" w:rsidR="008B7113" w:rsidRPr="00897C6F" w:rsidRDefault="008B7113" w:rsidP="008B7113">
      <w:pPr>
        <w:numPr>
          <w:ilvl w:val="3"/>
          <w:numId w:val="3"/>
        </w:numPr>
        <w:spacing w:after="120"/>
        <w:ind w:left="3096"/>
        <w:jc w:val="left"/>
      </w:pPr>
      <w:r w:rsidRPr="00897C6F">
        <w:t>W</w:t>
      </w:r>
      <w:r w:rsidRPr="00897C6F">
        <w:rPr>
          <w:rFonts w:eastAsiaTheme="minorEastAsia"/>
          <w:lang w:eastAsia="zh-CN"/>
        </w:rPr>
        <w:t>hen puncturing, the max periodicity between SMTC and measurement gap</w:t>
      </w:r>
      <w:r w:rsidRPr="00897C6F">
        <w:t>, i.e. max(MGRP, T</w:t>
      </w:r>
      <w:r w:rsidRPr="00897C6F">
        <w:rPr>
          <w:vertAlign w:val="subscript"/>
        </w:rPr>
        <w:t>SMTC</w:t>
      </w:r>
      <w:r w:rsidRPr="00897C6F">
        <w:t>),</w:t>
      </w:r>
      <w:r w:rsidRPr="00897C6F">
        <w:rPr>
          <w:rFonts w:eastAsiaTheme="minorEastAsia"/>
          <w:lang w:eastAsia="zh-CN"/>
        </w:rPr>
        <w:t xml:space="preserve"> should be considered</w:t>
      </w:r>
    </w:p>
    <w:p w14:paraId="7B4ABEA3" w14:textId="77777777" w:rsidR="008B7113" w:rsidRPr="00897C6F" w:rsidRDefault="008B7113" w:rsidP="008B7113">
      <w:pPr>
        <w:numPr>
          <w:ilvl w:val="2"/>
          <w:numId w:val="3"/>
        </w:numPr>
        <w:spacing w:after="120"/>
        <w:ind w:left="2376"/>
        <w:jc w:val="left"/>
      </w:pPr>
      <w:r w:rsidRPr="00897C6F">
        <w:t>1/P should be the ratio of remaining SSB occasions in total SSB occasions after puncturing. P here can be either P</w:t>
      </w:r>
      <w:r w:rsidRPr="00897C6F">
        <w:rPr>
          <w:vertAlign w:val="subscript"/>
        </w:rPr>
        <w:t>SC</w:t>
      </w:r>
      <w:r w:rsidRPr="00897C6F">
        <w:t xml:space="preserve"> or P</w:t>
      </w:r>
      <w:r w:rsidRPr="00897C6F">
        <w:rPr>
          <w:vertAlign w:val="subscript"/>
        </w:rPr>
        <w:t>CDP</w:t>
      </w:r>
      <w:r w:rsidRPr="00897C6F">
        <w:t>, which is derived based on R15 mechanism.</w:t>
      </w:r>
    </w:p>
    <w:p w14:paraId="7D806D45" w14:textId="77777777" w:rsidR="008B7113" w:rsidRPr="00897C6F" w:rsidRDefault="008B7113" w:rsidP="008B7113">
      <w:pPr>
        <w:numPr>
          <w:ilvl w:val="2"/>
          <w:numId w:val="3"/>
        </w:numPr>
        <w:spacing w:after="120"/>
        <w:ind w:left="2376"/>
        <w:jc w:val="left"/>
      </w:pPr>
      <w:r w:rsidRPr="00897C6F">
        <w:t>max(MGRP, T</w:t>
      </w:r>
      <w:r w:rsidRPr="00897C6F">
        <w:rPr>
          <w:vertAlign w:val="subscript"/>
        </w:rPr>
        <w:t>SMTC</w:t>
      </w:r>
      <w:r w:rsidRPr="00897C6F">
        <w:t>)/T</w:t>
      </w:r>
      <w:r w:rsidRPr="00897C6F">
        <w:rPr>
          <w:vertAlign w:val="subscript"/>
        </w:rPr>
        <w:t>SSB</w:t>
      </w:r>
      <w:r w:rsidRPr="00897C6F">
        <w:t xml:space="preserve"> is the total number of SSB occasions within the max(MGRP, T</w:t>
      </w:r>
      <w:r w:rsidRPr="00897C6F">
        <w:rPr>
          <w:vertAlign w:val="subscript"/>
        </w:rPr>
        <w:t>SMTC</w:t>
      </w:r>
      <w:r w:rsidRPr="00897C6F">
        <w:t>)</w:t>
      </w:r>
    </w:p>
    <w:p w14:paraId="42ECEC39" w14:textId="77777777" w:rsidR="008B7113" w:rsidRPr="00897C6F" w:rsidRDefault="008B7113" w:rsidP="008B7113">
      <w:pPr>
        <w:numPr>
          <w:ilvl w:val="2"/>
          <w:numId w:val="3"/>
        </w:numPr>
        <w:spacing w:after="120"/>
        <w:ind w:left="2376"/>
        <w:jc w:val="left"/>
      </w:pPr>
      <w:r w:rsidRPr="00897C6F">
        <w:t>1/P * max(MGRP, T</w:t>
      </w:r>
      <w:r w:rsidRPr="00897C6F">
        <w:rPr>
          <w:vertAlign w:val="subscript"/>
        </w:rPr>
        <w:t>SMTC</w:t>
      </w:r>
      <w:r w:rsidRPr="00897C6F">
        <w:t>)/T</w:t>
      </w:r>
      <w:r w:rsidRPr="00897C6F">
        <w:rPr>
          <w:vertAlign w:val="subscript"/>
        </w:rPr>
        <w:t xml:space="preserve">SSB </w:t>
      </w:r>
      <w:r w:rsidRPr="00897C6F">
        <w:t xml:space="preserve"> is the total number of left SSB occasions. </w:t>
      </w:r>
    </w:p>
    <w:p w14:paraId="162F1FCD" w14:textId="77777777" w:rsidR="008B7113" w:rsidRPr="00897C6F" w:rsidRDefault="008B7113" w:rsidP="008B7113">
      <w:pPr>
        <w:numPr>
          <w:ilvl w:val="2"/>
          <w:numId w:val="3"/>
        </w:numPr>
        <w:spacing w:after="120"/>
        <w:ind w:left="2376"/>
        <w:jc w:val="left"/>
      </w:pPr>
      <w:r w:rsidRPr="00897C6F">
        <w:t xml:space="preserve">Since </w:t>
      </w:r>
      <w:proofErr w:type="spellStart"/>
      <w:r w:rsidRPr="00897C6F">
        <w:t>SFNoffset</w:t>
      </w:r>
      <w:proofErr w:type="spellEnd"/>
      <w:r w:rsidRPr="00897C6F">
        <w:t xml:space="preserve"> for SSB of SC and SSB of CDP is the same, the SSB with less remaining occasions will be fully overlapped by the other SSB, and therefore should be prioritized. Using SC as example:</w:t>
      </w:r>
    </w:p>
    <w:p w14:paraId="28E3ADD4" w14:textId="77777777" w:rsidR="008B7113" w:rsidRPr="00897C6F" w:rsidRDefault="008B7113" w:rsidP="008B7113">
      <w:pPr>
        <w:pStyle w:val="B2"/>
        <w:numPr>
          <w:ilvl w:val="3"/>
          <w:numId w:val="3"/>
        </w:numPr>
        <w:ind w:left="3096"/>
        <w:rPr>
          <w:sz w:val="18"/>
        </w:rPr>
      </w:pPr>
      <w:r w:rsidRPr="00897C6F">
        <w:rPr>
          <w:sz w:val="18"/>
        </w:rPr>
        <w:t xml:space="preserve">P = </w:t>
      </w:r>
      <m:oMath>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CDP</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sidRPr="00897C6F">
        <w:rPr>
          <w:sz w:val="18"/>
        </w:rPr>
        <w:t xml:space="preserve"> ,   if P</w:t>
      </w:r>
      <w:r w:rsidRPr="00897C6F">
        <w:rPr>
          <w:sz w:val="18"/>
          <w:vertAlign w:val="subscript"/>
        </w:rPr>
        <w:t>SC</w:t>
      </w:r>
      <w:r w:rsidRPr="00897C6F">
        <w:rPr>
          <w:sz w:val="18"/>
        </w:rPr>
        <w:t>*T</w:t>
      </w:r>
      <w:r w:rsidRPr="00897C6F">
        <w:rPr>
          <w:sz w:val="18"/>
          <w:vertAlign w:val="subscript"/>
        </w:rPr>
        <w:t>SSB</w:t>
      </w:r>
      <w:r w:rsidRPr="00897C6F">
        <w:rPr>
          <w:sz w:val="18"/>
        </w:rPr>
        <w:t xml:space="preserve"> &lt; P</w:t>
      </w:r>
      <w:r w:rsidRPr="00897C6F">
        <w:rPr>
          <w:sz w:val="18"/>
          <w:vertAlign w:val="subscript"/>
        </w:rPr>
        <w:t>CDP</w:t>
      </w:r>
      <w:r w:rsidRPr="00897C6F">
        <w:rPr>
          <w:sz w:val="18"/>
        </w:rPr>
        <w:t>*T</w:t>
      </w:r>
      <w:r w:rsidRPr="00897C6F">
        <w:rPr>
          <w:sz w:val="18"/>
          <w:vertAlign w:val="subscript"/>
        </w:rPr>
        <w:t>SSB_CDP</w:t>
      </w:r>
      <w:r w:rsidRPr="00897C6F">
        <w:rPr>
          <w:sz w:val="18"/>
        </w:rPr>
        <w:t>. (i.e. 1/P</w:t>
      </w:r>
      <w:r w:rsidRPr="00897C6F">
        <w:rPr>
          <w:sz w:val="18"/>
          <w:vertAlign w:val="subscript"/>
        </w:rPr>
        <w:t>SC</w:t>
      </w:r>
      <w:r w:rsidRPr="00897C6F">
        <w:rPr>
          <w:sz w:val="18"/>
        </w:rPr>
        <w:t xml:space="preserve"> * max(MGRP, SMTC)/T</w:t>
      </w:r>
      <w:r w:rsidRPr="00897C6F">
        <w:rPr>
          <w:sz w:val="18"/>
          <w:vertAlign w:val="subscript"/>
        </w:rPr>
        <w:t>SSB_SC</w:t>
      </w:r>
      <w:r w:rsidRPr="00897C6F">
        <w:rPr>
          <w:sz w:val="18"/>
        </w:rPr>
        <w:t xml:space="preserve"> &gt; 1/P</w:t>
      </w:r>
      <w:r w:rsidRPr="00897C6F">
        <w:rPr>
          <w:sz w:val="18"/>
          <w:vertAlign w:val="subscript"/>
        </w:rPr>
        <w:t>CDP</w:t>
      </w:r>
      <w:r w:rsidRPr="00897C6F">
        <w:rPr>
          <w:sz w:val="18"/>
        </w:rPr>
        <w:t xml:space="preserve"> * max(MGRP, SMTC)/T</w:t>
      </w:r>
      <w:r w:rsidRPr="00897C6F">
        <w:rPr>
          <w:sz w:val="18"/>
          <w:vertAlign w:val="subscript"/>
        </w:rPr>
        <w:t>SSB_CDP</w:t>
      </w:r>
      <w:r w:rsidRPr="00897C6F">
        <w:rPr>
          <w:sz w:val="18"/>
        </w:rPr>
        <w:t>, more SSB samples are left after puncturing for SC)</w:t>
      </w:r>
    </w:p>
    <w:p w14:paraId="419053E4" w14:textId="77777777" w:rsidR="008B7113" w:rsidRPr="00B67205" w:rsidRDefault="008B7113" w:rsidP="008B7113">
      <w:pPr>
        <w:pStyle w:val="B2"/>
        <w:numPr>
          <w:ilvl w:val="3"/>
          <w:numId w:val="3"/>
        </w:numPr>
        <w:ind w:left="3096"/>
        <w:rPr>
          <w:rFonts w:ascii="Times New Roman" w:hAnsi="Times New Roman"/>
          <w:sz w:val="18"/>
        </w:rPr>
      </w:pPr>
      <w:r w:rsidRPr="00B67205">
        <w:rPr>
          <w:rFonts w:ascii="Times New Roman" w:hAnsi="Times New Roman"/>
          <w:sz w:val="18"/>
        </w:rPr>
        <w:t xml:space="preserve">P = </w:t>
      </w:r>
      <w:r w:rsidRPr="00B67205">
        <w:rPr>
          <w:sz w:val="18"/>
        </w:rPr>
        <w:t>P</w:t>
      </w:r>
      <w:r>
        <w:rPr>
          <w:sz w:val="18"/>
          <w:vertAlign w:val="subscript"/>
        </w:rPr>
        <w:t>SC</w:t>
      </w:r>
      <w:r w:rsidRPr="00B67205">
        <w:rPr>
          <w:rFonts w:ascii="Times New Roman" w:hAnsi="Times New Roman"/>
          <w:sz w:val="18"/>
        </w:rPr>
        <w:t xml:space="preserve">, if </w:t>
      </w:r>
      <w:r w:rsidRPr="00B67205">
        <w:rPr>
          <w:sz w:val="18"/>
        </w:rPr>
        <w:t>P</w:t>
      </w:r>
      <w:r>
        <w:rPr>
          <w:sz w:val="18"/>
          <w:vertAlign w:val="subscript"/>
        </w:rPr>
        <w:t>SC</w:t>
      </w:r>
      <w:r w:rsidRPr="00B67205">
        <w:rPr>
          <w:sz w:val="18"/>
        </w:rPr>
        <w:t xml:space="preserve"> </w:t>
      </w:r>
      <w:r w:rsidRPr="00B67205">
        <w:rPr>
          <w:rFonts w:ascii="Times New Roman" w:hAnsi="Times New Roman"/>
          <w:sz w:val="18"/>
        </w:rPr>
        <w:t>*T</w:t>
      </w:r>
      <w:r w:rsidRPr="00B67205">
        <w:rPr>
          <w:rFonts w:ascii="Times New Roman" w:hAnsi="Times New Roman"/>
          <w:sz w:val="18"/>
          <w:vertAlign w:val="subscript"/>
        </w:rPr>
        <w:t>SSB</w:t>
      </w:r>
      <w:r w:rsidRPr="00B67205">
        <w:rPr>
          <w:rFonts w:ascii="Times New Roman" w:hAnsi="Times New Roman"/>
          <w:sz w:val="18"/>
        </w:rPr>
        <w:t xml:space="preserve"> &gt; </w:t>
      </w:r>
      <w:r w:rsidRPr="00B67205">
        <w:rPr>
          <w:sz w:val="18"/>
        </w:rPr>
        <w:t>P</w:t>
      </w:r>
      <w:r>
        <w:rPr>
          <w:sz w:val="18"/>
          <w:vertAlign w:val="subscript"/>
        </w:rPr>
        <w:t>CDP</w:t>
      </w:r>
      <w:r w:rsidRPr="00B67205">
        <w:rPr>
          <w:sz w:val="18"/>
        </w:rPr>
        <w:t xml:space="preserve"> </w:t>
      </w:r>
      <w:r w:rsidRPr="00B67205">
        <w:rPr>
          <w:rFonts w:ascii="Times New Roman" w:hAnsi="Times New Roman"/>
          <w:sz w:val="18"/>
        </w:rPr>
        <w:t>*T</w:t>
      </w:r>
      <w:r w:rsidRPr="00B67205">
        <w:rPr>
          <w:rFonts w:ascii="Times New Roman" w:hAnsi="Times New Roman"/>
          <w:sz w:val="18"/>
          <w:vertAlign w:val="subscript"/>
        </w:rPr>
        <w:t>SSB_CDP</w:t>
      </w:r>
      <w:r w:rsidRPr="00B67205">
        <w:rPr>
          <w:rFonts w:ascii="Times New Roman" w:hAnsi="Times New Roman"/>
          <w:sz w:val="18"/>
        </w:rPr>
        <w:t>.</w:t>
      </w:r>
    </w:p>
    <w:p w14:paraId="58EF1C4E" w14:textId="77777777" w:rsidR="008B7113" w:rsidRPr="00113619" w:rsidRDefault="008B7113" w:rsidP="008B7113">
      <w:pPr>
        <w:pStyle w:val="B2"/>
        <w:numPr>
          <w:ilvl w:val="3"/>
          <w:numId w:val="3"/>
        </w:numPr>
        <w:ind w:left="3096"/>
        <w:rPr>
          <w:b/>
          <w:bCs/>
          <w:sz w:val="18"/>
        </w:rPr>
      </w:pPr>
      <w:r w:rsidRPr="00B67205">
        <w:rPr>
          <w:sz w:val="18"/>
        </w:rPr>
        <w:lastRenderedPageBreak/>
        <w:t>P = 2</w:t>
      </w:r>
      <w:r>
        <w:rPr>
          <w:sz w:val="18"/>
        </w:rPr>
        <w:t>*</w:t>
      </w:r>
      <w:r w:rsidRPr="00B67205">
        <w:rPr>
          <w:sz w:val="18"/>
        </w:rPr>
        <w:t xml:space="preserve"> P</w:t>
      </w:r>
      <w:r>
        <w:rPr>
          <w:sz w:val="18"/>
          <w:vertAlign w:val="subscript"/>
        </w:rPr>
        <w:t>SC</w:t>
      </w:r>
      <w:r w:rsidRPr="00B67205">
        <w:rPr>
          <w:sz w:val="18"/>
        </w:rPr>
        <w:t>, if P</w:t>
      </w:r>
      <w:r>
        <w:rPr>
          <w:sz w:val="18"/>
          <w:vertAlign w:val="subscript"/>
        </w:rPr>
        <w:t>SC</w:t>
      </w:r>
      <w:r w:rsidRPr="00B67205">
        <w:rPr>
          <w:sz w:val="18"/>
        </w:rPr>
        <w:t xml:space="preserve"> *T</w:t>
      </w:r>
      <w:r w:rsidRPr="00B67205">
        <w:rPr>
          <w:sz w:val="18"/>
          <w:vertAlign w:val="subscript"/>
        </w:rPr>
        <w:t xml:space="preserve">SSB </w:t>
      </w:r>
      <w:r w:rsidRPr="00B67205">
        <w:rPr>
          <w:sz w:val="18"/>
        </w:rPr>
        <w:t>= P</w:t>
      </w:r>
      <w:r>
        <w:rPr>
          <w:sz w:val="18"/>
          <w:vertAlign w:val="subscript"/>
        </w:rPr>
        <w:t>CDP</w:t>
      </w:r>
      <w:r w:rsidRPr="00B67205">
        <w:rPr>
          <w:sz w:val="18"/>
        </w:rPr>
        <w:t xml:space="preserve"> *T</w:t>
      </w:r>
      <w:r w:rsidRPr="00B67205">
        <w:rPr>
          <w:sz w:val="18"/>
          <w:vertAlign w:val="subscript"/>
        </w:rPr>
        <w:t>SSB_CDP</w:t>
      </w:r>
      <w:r w:rsidRPr="00B67205">
        <w:rPr>
          <w:sz w:val="18"/>
        </w:rPr>
        <w:t>.</w:t>
      </w:r>
    </w:p>
    <w:p w14:paraId="681DCB4D" w14:textId="77777777" w:rsidR="008B7113" w:rsidRPr="00897C6F" w:rsidRDefault="008B7113" w:rsidP="008B7113">
      <w:pPr>
        <w:pStyle w:val="B2"/>
        <w:numPr>
          <w:ilvl w:val="3"/>
          <w:numId w:val="3"/>
        </w:numPr>
        <w:ind w:left="3096"/>
        <w:rPr>
          <w:b/>
          <w:bCs/>
          <w:sz w:val="18"/>
        </w:rPr>
      </w:pPr>
      <w:r w:rsidRPr="00B67205">
        <w:rPr>
          <w:sz w:val="18"/>
        </w:rPr>
        <w:t>P = P</w:t>
      </w:r>
      <w:r>
        <w:rPr>
          <w:sz w:val="18"/>
          <w:vertAlign w:val="subscript"/>
        </w:rPr>
        <w:t>SC</w:t>
      </w:r>
      <w:r w:rsidRPr="00B67205">
        <w:rPr>
          <w:sz w:val="18"/>
        </w:rPr>
        <w:t>,</w:t>
      </w:r>
      <w:r>
        <w:rPr>
          <w:sz w:val="18"/>
        </w:rPr>
        <w:t xml:space="preserve"> if </w:t>
      </w:r>
      <w:r w:rsidRPr="00B67205">
        <w:rPr>
          <w:sz w:val="18"/>
        </w:rPr>
        <w:t>P</w:t>
      </w:r>
      <w:r>
        <w:rPr>
          <w:sz w:val="18"/>
          <w:vertAlign w:val="subscript"/>
        </w:rPr>
        <w:t>CDP</w:t>
      </w:r>
      <w:r>
        <w:rPr>
          <w:sz w:val="18"/>
        </w:rPr>
        <w:t xml:space="preserve"> is not valid.</w:t>
      </w:r>
    </w:p>
    <w:p w14:paraId="5A0D498C" w14:textId="77777777" w:rsidR="008B7113" w:rsidRDefault="008B7113" w:rsidP="008B7113">
      <w:pPr>
        <w:numPr>
          <w:ilvl w:val="1"/>
          <w:numId w:val="3"/>
        </w:numPr>
        <w:spacing w:after="120"/>
        <w:ind w:left="1440"/>
        <w:jc w:val="left"/>
      </w:pPr>
      <w:r>
        <w:rPr>
          <w:bCs/>
          <w:szCs w:val="24"/>
        </w:rPr>
        <w:t>Other options are not precluded.</w:t>
      </w:r>
    </w:p>
    <w:p w14:paraId="559C5779" w14:textId="6F42C971" w:rsidR="00A26A8A" w:rsidRDefault="00A26A8A" w:rsidP="005B410D">
      <w:pPr>
        <w:spacing w:after="120"/>
        <w:rPr>
          <w:rFonts w:eastAsia="SimSun"/>
          <w:sz w:val="20"/>
          <w:szCs w:val="20"/>
          <w:lang w:val="en-GB" w:eastAsia="en-GB"/>
        </w:rPr>
      </w:pPr>
    </w:p>
    <w:p w14:paraId="41FD0E12" w14:textId="57C554B5" w:rsidR="007D30BD" w:rsidRDefault="008B7113" w:rsidP="005B410D">
      <w:pPr>
        <w:spacing w:after="120"/>
        <w:rPr>
          <w:rFonts w:eastAsia="SimSun"/>
          <w:sz w:val="20"/>
          <w:szCs w:val="20"/>
          <w:lang w:val="en-GB" w:eastAsia="en-GB"/>
        </w:rPr>
      </w:pPr>
      <w:r>
        <w:rPr>
          <w:rFonts w:eastAsia="SimSun"/>
          <w:sz w:val="20"/>
          <w:szCs w:val="20"/>
          <w:lang w:val="en-GB" w:eastAsia="en-GB"/>
        </w:rPr>
        <w:t>From the above options, Option 3 was tentatively agreed as the way forward to define the sharing factor</w:t>
      </w:r>
      <w:r w:rsidR="007D30BD">
        <w:rPr>
          <w:rFonts w:eastAsia="SimSun"/>
          <w:sz w:val="20"/>
          <w:szCs w:val="20"/>
          <w:lang w:val="en-GB" w:eastAsia="en-GB"/>
        </w:rPr>
        <w:t xml:space="preserve"> and captured in the approved CR.  With option 3 above, the L3 measurements are not impacted and is considering the remaining occasions after accounting for SMTC and/or MG. </w:t>
      </w:r>
    </w:p>
    <w:p w14:paraId="06AB9FD3" w14:textId="750E096B" w:rsidR="007D30BD" w:rsidRDefault="007D30BD"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The tentatively agreed sharing factor design doesn’t impact existing L3 measurements and </w:t>
      </w:r>
      <w:r w:rsidR="005467CC">
        <w:rPr>
          <w:rFonts w:eastAsia="SimSun"/>
          <w:i/>
          <w:iCs/>
          <w:sz w:val="20"/>
          <w:szCs w:val="20"/>
          <w:lang w:val="en-GB" w:eastAsia="en-GB"/>
        </w:rPr>
        <w:t>considers</w:t>
      </w:r>
      <w:r>
        <w:rPr>
          <w:rFonts w:eastAsia="SimSun"/>
          <w:i/>
          <w:iCs/>
          <w:sz w:val="20"/>
          <w:szCs w:val="20"/>
          <w:lang w:val="en-GB" w:eastAsia="en-GB"/>
        </w:rPr>
        <w:t xml:space="preserve"> the occasions after considering SMTC and MG into account. </w:t>
      </w:r>
    </w:p>
    <w:p w14:paraId="7036EC02" w14:textId="466A89FD" w:rsidR="008B7113" w:rsidRDefault="008B7113" w:rsidP="005B410D">
      <w:pPr>
        <w:spacing w:after="120"/>
        <w:rPr>
          <w:rFonts w:eastAsia="SimSun"/>
          <w:sz w:val="20"/>
          <w:szCs w:val="20"/>
          <w:lang w:val="en-GB" w:eastAsia="en-GB"/>
        </w:rPr>
      </w:pPr>
    </w:p>
    <w:p w14:paraId="66A17527" w14:textId="6792A955" w:rsidR="007D30BD" w:rsidRDefault="007D30BD" w:rsidP="005B410D">
      <w:pPr>
        <w:spacing w:after="120"/>
        <w:rPr>
          <w:rFonts w:eastAsia="SimSun"/>
          <w:sz w:val="20"/>
          <w:szCs w:val="20"/>
          <w:lang w:val="en-GB" w:eastAsia="en-GB"/>
        </w:rPr>
      </w:pPr>
      <w:r>
        <w:rPr>
          <w:rFonts w:eastAsia="SimSun"/>
          <w:sz w:val="20"/>
          <w:szCs w:val="20"/>
          <w:lang w:val="en-GB" w:eastAsia="en-GB"/>
        </w:rPr>
        <w:t xml:space="preserve">Another alternate solution is to </w:t>
      </w:r>
      <w:r w:rsidR="005467CC">
        <w:rPr>
          <w:rFonts w:eastAsia="SimSun"/>
          <w:sz w:val="20"/>
          <w:szCs w:val="20"/>
          <w:lang w:val="en-GB" w:eastAsia="en-GB"/>
        </w:rPr>
        <w:t>count</w:t>
      </w:r>
      <w:r>
        <w:rPr>
          <w:rFonts w:eastAsia="SimSun"/>
          <w:sz w:val="20"/>
          <w:szCs w:val="20"/>
          <w:lang w:val="en-GB" w:eastAsia="en-GB"/>
        </w:rPr>
        <w:t xml:space="preserve"> the number of </w:t>
      </w:r>
      <w:r w:rsidR="005467CC">
        <w:rPr>
          <w:rFonts w:eastAsia="SimSun"/>
          <w:sz w:val="20"/>
          <w:szCs w:val="20"/>
          <w:lang w:val="en-GB" w:eastAsia="en-GB"/>
        </w:rPr>
        <w:t>available measurement occasions to define the final sharing factor.</w:t>
      </w:r>
      <w:r w:rsidR="00865B64">
        <w:rPr>
          <w:rFonts w:eastAsia="SimSun"/>
          <w:sz w:val="20"/>
          <w:szCs w:val="20"/>
          <w:lang w:val="en-GB" w:eastAsia="en-GB"/>
        </w:rPr>
        <w:t xml:space="preserve"> In the table below we have an alternate solution for the sharing factor design: </w:t>
      </w:r>
    </w:p>
    <w:p w14:paraId="5AD1B0DB" w14:textId="397A9C26" w:rsidR="00865B64" w:rsidRDefault="00865B64" w:rsidP="005B410D">
      <w:pPr>
        <w:spacing w:after="120"/>
        <w:rPr>
          <w:rFonts w:eastAsia="SimSun"/>
          <w:sz w:val="20"/>
          <w:szCs w:val="20"/>
          <w:lang w:val="en-GB" w:eastAsia="en-GB"/>
        </w:rPr>
      </w:pPr>
    </w:p>
    <w:tbl>
      <w:tblPr>
        <w:tblStyle w:val="TableGrid"/>
        <w:tblW w:w="0" w:type="auto"/>
        <w:jc w:val="center"/>
        <w:tblLook w:val="04A0" w:firstRow="1" w:lastRow="0" w:firstColumn="1" w:lastColumn="0" w:noHBand="0" w:noVBand="1"/>
      </w:tblPr>
      <w:tblGrid>
        <w:gridCol w:w="449"/>
        <w:gridCol w:w="2500"/>
        <w:gridCol w:w="3305"/>
        <w:gridCol w:w="3096"/>
      </w:tblGrid>
      <w:tr w:rsidR="00865B64" w14:paraId="39DC96C0" w14:textId="77777777" w:rsidTr="00036EC8">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39AD00DE" w14:textId="77777777" w:rsidR="00865B64" w:rsidRDefault="00865B64" w:rsidP="00036EC8">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3D07169F" w14:textId="77777777" w:rsidR="00865B64" w:rsidRDefault="00865B64" w:rsidP="00036EC8">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53FBA0A9" w14:textId="77777777" w:rsidR="00865B64" w:rsidRDefault="00865B64" w:rsidP="00036EC8">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774F577F" w14:textId="77777777" w:rsidR="00865B64" w:rsidRDefault="00865B64" w:rsidP="00036EC8">
            <w:pPr>
              <w:spacing w:after="120"/>
              <w:jc w:val="center"/>
              <w:rPr>
                <w:b/>
                <w:color w:val="000000" w:themeColor="text1"/>
                <w:lang w:eastAsia="en-GB"/>
              </w:rPr>
            </w:pPr>
            <w:r>
              <w:rPr>
                <w:b/>
                <w:color w:val="000000" w:themeColor="text1"/>
                <w:lang w:eastAsia="en-GB"/>
              </w:rPr>
              <w:t>P for cell with different PCI</w:t>
            </w:r>
          </w:p>
        </w:tc>
      </w:tr>
      <w:tr w:rsidR="00865B64" w14:paraId="64F17416" w14:textId="77777777" w:rsidTr="00036EC8">
        <w:trPr>
          <w:jc w:val="center"/>
        </w:trPr>
        <w:tc>
          <w:tcPr>
            <w:tcW w:w="449" w:type="dxa"/>
            <w:vAlign w:val="center"/>
          </w:tcPr>
          <w:p w14:paraId="5E902814" w14:textId="77777777" w:rsidR="00865B64" w:rsidRDefault="00865B64" w:rsidP="00036EC8">
            <w:pPr>
              <w:rPr>
                <w:color w:val="000000" w:themeColor="text1"/>
              </w:rPr>
            </w:pPr>
            <w:r>
              <w:rPr>
                <w:color w:val="000000" w:themeColor="text1"/>
                <w:lang w:eastAsia="en-GB"/>
              </w:rPr>
              <w:t>1</w:t>
            </w:r>
          </w:p>
        </w:tc>
        <w:tc>
          <w:tcPr>
            <w:tcW w:w="2500" w:type="dxa"/>
            <w:vAlign w:val="center"/>
          </w:tcPr>
          <w:p w14:paraId="5B5E696C" w14:textId="77777777" w:rsidR="00865B64" w:rsidRDefault="00865B64"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4FFF2C20" w14:textId="77777777" w:rsidR="00865B64" w:rsidRDefault="00865B64" w:rsidP="00036EC8">
            <w:pPr>
              <w:rPr>
                <w:color w:val="000000" w:themeColor="text1"/>
              </w:rPr>
            </w:pPr>
          </w:p>
        </w:tc>
        <w:tc>
          <w:tcPr>
            <w:tcW w:w="3305" w:type="dxa"/>
          </w:tcPr>
          <w:p w14:paraId="0B4CA3F1" w14:textId="77777777" w:rsidR="00865B64" w:rsidRDefault="00865B64"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639FFA3" w14:textId="77777777" w:rsidR="00865B64" w:rsidRDefault="00865B64" w:rsidP="00036EC8">
            <w:pPr>
              <w:rPr>
                <w:color w:val="000000" w:themeColor="text1"/>
              </w:rPr>
            </w:pPr>
          </w:p>
        </w:tc>
        <w:tc>
          <w:tcPr>
            <w:tcW w:w="3096" w:type="dxa"/>
          </w:tcPr>
          <w:p w14:paraId="4A10D4B3" w14:textId="77777777" w:rsidR="00865B64" w:rsidRDefault="00865B64"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02BCB19F" w14:textId="77777777" w:rsidR="00865B64" w:rsidRDefault="00865B64" w:rsidP="00036EC8">
            <w:pPr>
              <w:rPr>
                <w:color w:val="000000" w:themeColor="text1"/>
              </w:rPr>
            </w:pPr>
          </w:p>
          <w:p w14:paraId="1BF6C508" w14:textId="77777777" w:rsidR="00865B64" w:rsidRDefault="00865B64" w:rsidP="00036EC8">
            <w:pPr>
              <w:rPr>
                <w:color w:val="000000" w:themeColor="text1"/>
              </w:rPr>
            </w:pPr>
          </w:p>
        </w:tc>
      </w:tr>
      <w:tr w:rsidR="00865B64" w14:paraId="4AB0D697" w14:textId="77777777" w:rsidTr="00036EC8">
        <w:trPr>
          <w:jc w:val="center"/>
        </w:trPr>
        <w:tc>
          <w:tcPr>
            <w:tcW w:w="449" w:type="dxa"/>
          </w:tcPr>
          <w:p w14:paraId="6CB462E8" w14:textId="77777777" w:rsidR="00865B64" w:rsidRDefault="00865B64" w:rsidP="00036EC8">
            <w:pPr>
              <w:rPr>
                <w:color w:val="000000" w:themeColor="text1"/>
              </w:rPr>
            </w:pPr>
            <w:r>
              <w:rPr>
                <w:color w:val="000000" w:themeColor="text1"/>
              </w:rPr>
              <w:t>2</w:t>
            </w:r>
          </w:p>
        </w:tc>
        <w:tc>
          <w:tcPr>
            <w:tcW w:w="2500" w:type="dxa"/>
          </w:tcPr>
          <w:p w14:paraId="5F43424F" w14:textId="77777777" w:rsidR="00865B64" w:rsidRDefault="00865B64"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3253BD6C" w14:textId="77777777" w:rsidR="00865B64" w:rsidRDefault="00865B64" w:rsidP="00036EC8">
            <w:pPr>
              <w:rPr>
                <w:color w:val="000000" w:themeColor="text1"/>
              </w:rPr>
            </w:pPr>
            <w:r>
              <w:rPr>
                <w:color w:val="000000" w:themeColor="text1"/>
              </w:rPr>
              <w:t>All occasions of SSB of SC collide with CDP, MG and/or SMTC</w:t>
            </w:r>
          </w:p>
        </w:tc>
        <w:tc>
          <w:tcPr>
            <w:tcW w:w="3305" w:type="dxa"/>
          </w:tcPr>
          <w:p w14:paraId="5196A137" w14:textId="77777777" w:rsidR="00865B64" w:rsidRDefault="00865B64"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AB391AD" w14:textId="77777777" w:rsidR="00865B64" w:rsidRDefault="00865B64" w:rsidP="00036EC8">
            <w:pPr>
              <w:rPr>
                <w:color w:val="000000" w:themeColor="text1"/>
              </w:rPr>
            </w:pPr>
          </w:p>
        </w:tc>
        <w:tc>
          <w:tcPr>
            <w:tcW w:w="3096" w:type="dxa"/>
          </w:tcPr>
          <w:p w14:paraId="75E85364" w14:textId="77777777" w:rsidR="00865B64" w:rsidRDefault="00865B64"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6CD41059" w14:textId="77777777" w:rsidR="00865B64" w:rsidRDefault="00865B64" w:rsidP="00036EC8">
            <w:pPr>
              <w:rPr>
                <w:color w:val="000000" w:themeColor="text1"/>
              </w:rPr>
            </w:pPr>
          </w:p>
          <w:p w14:paraId="1E840B43" w14:textId="77777777" w:rsidR="00865B64" w:rsidRDefault="00865B64" w:rsidP="00036EC8">
            <w:pPr>
              <w:rPr>
                <w:color w:val="000000" w:themeColor="text1"/>
              </w:rPr>
            </w:pPr>
          </w:p>
        </w:tc>
      </w:tr>
      <w:tr w:rsidR="00865B64" w14:paraId="1B2FC4A7" w14:textId="77777777" w:rsidTr="00036EC8">
        <w:trPr>
          <w:jc w:val="center"/>
        </w:trPr>
        <w:tc>
          <w:tcPr>
            <w:tcW w:w="449" w:type="dxa"/>
          </w:tcPr>
          <w:p w14:paraId="51F63D69" w14:textId="77777777" w:rsidR="00865B64" w:rsidRDefault="00865B64" w:rsidP="00036EC8">
            <w:pPr>
              <w:rPr>
                <w:color w:val="000000" w:themeColor="text1"/>
              </w:rPr>
            </w:pPr>
            <w:r>
              <w:rPr>
                <w:color w:val="000000" w:themeColor="text1"/>
              </w:rPr>
              <w:t>3</w:t>
            </w:r>
          </w:p>
        </w:tc>
        <w:tc>
          <w:tcPr>
            <w:tcW w:w="2500" w:type="dxa"/>
          </w:tcPr>
          <w:p w14:paraId="6E9EBADC" w14:textId="77777777" w:rsidR="00865B64" w:rsidRDefault="00865B64"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5A738255" w14:textId="77777777" w:rsidR="00865B64" w:rsidRDefault="00865B64" w:rsidP="00036EC8">
            <w:pPr>
              <w:rPr>
                <w:color w:val="000000" w:themeColor="text1"/>
              </w:rPr>
            </w:pPr>
            <w:r>
              <w:rPr>
                <w:color w:val="000000" w:themeColor="text1"/>
              </w:rPr>
              <w:t>All occasions of SSB of SC collide with CDP, MG and/or SMTC</w:t>
            </w:r>
          </w:p>
        </w:tc>
        <w:tc>
          <w:tcPr>
            <w:tcW w:w="3305" w:type="dxa"/>
          </w:tcPr>
          <w:p w14:paraId="1C5BCCD3" w14:textId="77777777" w:rsidR="00865B64" w:rsidRDefault="00865B64"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8CD7B3F" w14:textId="77777777" w:rsidR="00865B64" w:rsidRDefault="00865B64" w:rsidP="00036EC8">
            <w:pPr>
              <w:rPr>
                <w:color w:val="000000" w:themeColor="text1"/>
              </w:rPr>
            </w:pPr>
          </w:p>
        </w:tc>
        <w:tc>
          <w:tcPr>
            <w:tcW w:w="3096" w:type="dxa"/>
          </w:tcPr>
          <w:p w14:paraId="4DFDC307" w14:textId="77777777" w:rsidR="00865B64" w:rsidRDefault="00865B64" w:rsidP="00036EC8">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865B64" w14:paraId="2A44BA8D" w14:textId="77777777" w:rsidTr="00036EC8">
        <w:trPr>
          <w:jc w:val="center"/>
        </w:trPr>
        <w:tc>
          <w:tcPr>
            <w:tcW w:w="449" w:type="dxa"/>
          </w:tcPr>
          <w:p w14:paraId="1297FDBB" w14:textId="77777777" w:rsidR="00865B64" w:rsidRDefault="00865B64" w:rsidP="00036EC8">
            <w:pPr>
              <w:rPr>
                <w:color w:val="000000" w:themeColor="text1"/>
              </w:rPr>
            </w:pPr>
            <w:r>
              <w:rPr>
                <w:color w:val="000000" w:themeColor="text1"/>
              </w:rPr>
              <w:t>4</w:t>
            </w:r>
          </w:p>
        </w:tc>
        <w:tc>
          <w:tcPr>
            <w:tcW w:w="2500" w:type="dxa"/>
          </w:tcPr>
          <w:p w14:paraId="6BEDB836" w14:textId="77777777" w:rsidR="00865B64" w:rsidRDefault="00865B64"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19C0E22F" w14:textId="77777777" w:rsidR="00865B64" w:rsidRDefault="00865B64" w:rsidP="00036EC8">
            <w:pPr>
              <w:rPr>
                <w:color w:val="000000" w:themeColor="text1"/>
              </w:rPr>
            </w:pPr>
            <w:r>
              <w:rPr>
                <w:color w:val="000000" w:themeColor="text1"/>
              </w:rPr>
              <w:t>Not all occasions of SSB of SC collide with CDP, MG and/or SMTC</w:t>
            </w:r>
          </w:p>
        </w:tc>
        <w:tc>
          <w:tcPr>
            <w:tcW w:w="3305" w:type="dxa"/>
          </w:tcPr>
          <w:p w14:paraId="17B1F493" w14:textId="77777777" w:rsidR="00865B64"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21007A87" w14:textId="77777777" w:rsidR="00865B64" w:rsidRDefault="00865B64" w:rsidP="00036EC8">
            <w:pPr>
              <w:rPr>
                <w:color w:val="000000" w:themeColor="text1"/>
              </w:rPr>
            </w:pPr>
          </w:p>
        </w:tc>
        <w:tc>
          <w:tcPr>
            <w:tcW w:w="3096" w:type="dxa"/>
          </w:tcPr>
          <w:p w14:paraId="2A695FB1" w14:textId="77777777" w:rsidR="00865B64"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2788CA31" w14:textId="77777777" w:rsidR="00865B64" w:rsidRDefault="00865B64" w:rsidP="00036EC8">
            <w:pPr>
              <w:rPr>
                <w:color w:val="000000" w:themeColor="text1"/>
              </w:rPr>
            </w:pPr>
          </w:p>
          <w:p w14:paraId="45C178D1" w14:textId="77777777" w:rsidR="00865B64" w:rsidRDefault="00865B64" w:rsidP="00036EC8">
            <w:pPr>
              <w:rPr>
                <w:color w:val="000000" w:themeColor="text1"/>
              </w:rPr>
            </w:pPr>
          </w:p>
        </w:tc>
      </w:tr>
      <w:tr w:rsidR="00865B64" w14:paraId="1F76A282" w14:textId="77777777" w:rsidTr="00036EC8">
        <w:trPr>
          <w:jc w:val="center"/>
        </w:trPr>
        <w:tc>
          <w:tcPr>
            <w:tcW w:w="449" w:type="dxa"/>
          </w:tcPr>
          <w:p w14:paraId="0C017CC8" w14:textId="77777777" w:rsidR="00865B64" w:rsidRDefault="00865B64" w:rsidP="00036EC8">
            <w:pPr>
              <w:rPr>
                <w:color w:val="000000" w:themeColor="text1"/>
              </w:rPr>
            </w:pPr>
            <w:r>
              <w:rPr>
                <w:color w:val="000000" w:themeColor="text1"/>
              </w:rPr>
              <w:t>5</w:t>
            </w:r>
          </w:p>
        </w:tc>
        <w:tc>
          <w:tcPr>
            <w:tcW w:w="2500" w:type="dxa"/>
          </w:tcPr>
          <w:p w14:paraId="301CB9C8" w14:textId="77777777" w:rsidR="00865B64" w:rsidRDefault="00865B64"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590FFF2D" w14:textId="77777777" w:rsidR="00865B64" w:rsidRDefault="00865B64" w:rsidP="00036EC8">
            <w:pPr>
              <w:rPr>
                <w:color w:val="000000" w:themeColor="text1"/>
              </w:rPr>
            </w:pPr>
            <w:r>
              <w:rPr>
                <w:color w:val="000000" w:themeColor="text1"/>
              </w:rPr>
              <w:t>Not all occasions of SSB of CDP collide with SC, MG and/or SMTC</w:t>
            </w:r>
          </w:p>
        </w:tc>
        <w:tc>
          <w:tcPr>
            <w:tcW w:w="3305" w:type="dxa"/>
          </w:tcPr>
          <w:p w14:paraId="55BD532A" w14:textId="77777777" w:rsidR="00865B64"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5B2C48B9" w14:textId="77777777" w:rsidR="00865B64" w:rsidRDefault="00865B64" w:rsidP="00036EC8">
            <w:pPr>
              <w:rPr>
                <w:color w:val="000000" w:themeColor="text1"/>
              </w:rPr>
            </w:pPr>
          </w:p>
        </w:tc>
        <w:tc>
          <w:tcPr>
            <w:tcW w:w="3096" w:type="dxa"/>
          </w:tcPr>
          <w:p w14:paraId="4CEED293" w14:textId="77777777" w:rsidR="00865B64"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0111246D" w14:textId="77777777" w:rsidR="00865B64" w:rsidRDefault="00865B64" w:rsidP="00036EC8">
            <w:pPr>
              <w:rPr>
                <w:color w:val="000000" w:themeColor="text1"/>
              </w:rPr>
            </w:pPr>
          </w:p>
          <w:p w14:paraId="09AF26F8" w14:textId="77777777" w:rsidR="00865B64" w:rsidRDefault="00865B64" w:rsidP="00036EC8">
            <w:pPr>
              <w:rPr>
                <w:color w:val="000000" w:themeColor="text1"/>
              </w:rPr>
            </w:pPr>
          </w:p>
        </w:tc>
      </w:tr>
      <w:tr w:rsidR="00865B64" w14:paraId="2605F9C6" w14:textId="77777777" w:rsidTr="00036EC8">
        <w:trPr>
          <w:jc w:val="center"/>
        </w:trPr>
        <w:tc>
          <w:tcPr>
            <w:tcW w:w="9350" w:type="dxa"/>
            <w:gridSpan w:val="4"/>
          </w:tcPr>
          <w:p w14:paraId="2165BF31" w14:textId="77777777" w:rsidR="00865B64" w:rsidRDefault="00865B64" w:rsidP="00036EC8">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57646DD3" w14:textId="77777777" w:rsidR="00865B64" w:rsidRDefault="00865B64" w:rsidP="00036EC8">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42D62C3E" w14:textId="77777777" w:rsidR="00865B64" w:rsidRDefault="00865B64" w:rsidP="00036EC8">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2D6C1247" w14:textId="77777777" w:rsidR="00865B64" w:rsidRDefault="00865B64" w:rsidP="00036EC8">
            <w:pPr>
              <w:rPr>
                <w:color w:val="000000" w:themeColor="text1"/>
              </w:rPr>
            </w:pPr>
            <w:r>
              <w:rPr>
                <w:color w:val="000000" w:themeColor="text1"/>
              </w:rPr>
              <w:lastRenderedPageBreak/>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2FC5286F" w14:textId="77777777" w:rsidR="00865B64" w:rsidRDefault="00865B64" w:rsidP="005B410D">
      <w:pPr>
        <w:spacing w:after="120"/>
        <w:rPr>
          <w:rFonts w:eastAsia="SimSun"/>
          <w:sz w:val="20"/>
          <w:szCs w:val="20"/>
          <w:lang w:val="en-GB" w:eastAsia="en-GB"/>
        </w:rPr>
      </w:pPr>
    </w:p>
    <w:p w14:paraId="31F317D2" w14:textId="552BA598" w:rsidR="005467CC" w:rsidRDefault="00652C69" w:rsidP="005B410D">
      <w:pPr>
        <w:spacing w:after="120"/>
        <w:rPr>
          <w:rFonts w:eastAsia="SimSun"/>
          <w:sz w:val="20"/>
          <w:szCs w:val="20"/>
          <w:lang w:val="en-GB" w:eastAsia="en-GB"/>
        </w:rPr>
      </w:pPr>
      <w:r>
        <w:rPr>
          <w:rFonts w:eastAsia="SimSun"/>
          <w:sz w:val="20"/>
          <w:szCs w:val="20"/>
          <w:lang w:val="en-GB" w:eastAsia="en-GB"/>
        </w:rPr>
        <w:t xml:space="preserve">If there is a need to re-visit the sharing factors tentatively agreed in the last meeting, we propose to consider the alternative method of counting the number of measurement occasions, as proposed in the table above. </w:t>
      </w:r>
    </w:p>
    <w:p w14:paraId="067CA7B7" w14:textId="373CFA97" w:rsidR="00652C69" w:rsidRDefault="00652C69" w:rsidP="005B410D">
      <w:pPr>
        <w:spacing w:after="120"/>
        <w:rPr>
          <w:rFonts w:eastAsia="SimSun"/>
          <w:b/>
          <w:bCs/>
          <w:sz w:val="20"/>
          <w:szCs w:val="20"/>
          <w:lang w:val="en-GB" w:eastAsia="en-GB"/>
        </w:rPr>
      </w:pPr>
      <w:r>
        <w:rPr>
          <w:rFonts w:eastAsia="SimSun"/>
          <w:b/>
          <w:bCs/>
          <w:sz w:val="20"/>
          <w:szCs w:val="20"/>
          <w:lang w:val="en-GB" w:eastAsia="en-GB"/>
        </w:rPr>
        <w:t>Proposal #1: 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449"/>
        <w:gridCol w:w="2500"/>
        <w:gridCol w:w="3305"/>
        <w:gridCol w:w="3096"/>
      </w:tblGrid>
      <w:tr w:rsidR="00652C69" w14:paraId="7BBE6FFC" w14:textId="77777777" w:rsidTr="00036EC8">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70AF4903" w14:textId="77777777" w:rsidR="00652C69" w:rsidRDefault="00652C69" w:rsidP="00036EC8">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0F90DE12" w14:textId="77777777" w:rsidR="00652C69" w:rsidRDefault="00652C69" w:rsidP="00036EC8">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43A41442" w14:textId="77777777" w:rsidR="00652C69" w:rsidRDefault="00652C69" w:rsidP="00036EC8">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08A9F8E7" w14:textId="77777777" w:rsidR="00652C69" w:rsidRDefault="00652C69" w:rsidP="00036EC8">
            <w:pPr>
              <w:spacing w:after="120"/>
              <w:jc w:val="center"/>
              <w:rPr>
                <w:b/>
                <w:color w:val="000000" w:themeColor="text1"/>
                <w:lang w:eastAsia="en-GB"/>
              </w:rPr>
            </w:pPr>
            <w:r>
              <w:rPr>
                <w:b/>
                <w:color w:val="000000" w:themeColor="text1"/>
                <w:lang w:eastAsia="en-GB"/>
              </w:rPr>
              <w:t>P for cell with different PCI</w:t>
            </w:r>
          </w:p>
        </w:tc>
      </w:tr>
      <w:tr w:rsidR="00652C69" w14:paraId="10B6D092" w14:textId="77777777" w:rsidTr="00036EC8">
        <w:trPr>
          <w:jc w:val="center"/>
        </w:trPr>
        <w:tc>
          <w:tcPr>
            <w:tcW w:w="449" w:type="dxa"/>
            <w:vAlign w:val="center"/>
          </w:tcPr>
          <w:p w14:paraId="53DB0DFB" w14:textId="77777777" w:rsidR="00652C69" w:rsidRDefault="00652C69" w:rsidP="00036EC8">
            <w:pPr>
              <w:rPr>
                <w:color w:val="000000" w:themeColor="text1"/>
              </w:rPr>
            </w:pPr>
            <w:r>
              <w:rPr>
                <w:color w:val="000000" w:themeColor="text1"/>
                <w:lang w:eastAsia="en-GB"/>
              </w:rPr>
              <w:t>1</w:t>
            </w:r>
          </w:p>
        </w:tc>
        <w:tc>
          <w:tcPr>
            <w:tcW w:w="2500" w:type="dxa"/>
            <w:vAlign w:val="center"/>
          </w:tcPr>
          <w:p w14:paraId="15B444B5" w14:textId="77777777" w:rsidR="00652C69" w:rsidRDefault="00652C69"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3FBC8428" w14:textId="77777777" w:rsidR="00652C69" w:rsidRDefault="00652C69" w:rsidP="00036EC8">
            <w:pPr>
              <w:rPr>
                <w:color w:val="000000" w:themeColor="text1"/>
              </w:rPr>
            </w:pPr>
          </w:p>
        </w:tc>
        <w:tc>
          <w:tcPr>
            <w:tcW w:w="3305" w:type="dxa"/>
          </w:tcPr>
          <w:p w14:paraId="3E26D969" w14:textId="77777777" w:rsidR="00652C69" w:rsidRDefault="00652C69"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36F53AE" w14:textId="77777777" w:rsidR="00652C69" w:rsidRDefault="00652C69" w:rsidP="00036EC8">
            <w:pPr>
              <w:rPr>
                <w:color w:val="000000" w:themeColor="text1"/>
              </w:rPr>
            </w:pPr>
          </w:p>
        </w:tc>
        <w:tc>
          <w:tcPr>
            <w:tcW w:w="3096" w:type="dxa"/>
          </w:tcPr>
          <w:p w14:paraId="10EA1F71" w14:textId="77777777" w:rsidR="00652C69" w:rsidRDefault="00652C69"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00C4F4D1" w14:textId="77777777" w:rsidR="00652C69" w:rsidRDefault="00652C69" w:rsidP="00036EC8">
            <w:pPr>
              <w:rPr>
                <w:color w:val="000000" w:themeColor="text1"/>
              </w:rPr>
            </w:pPr>
          </w:p>
          <w:p w14:paraId="1EF0A356" w14:textId="77777777" w:rsidR="00652C69" w:rsidRDefault="00652C69" w:rsidP="00036EC8">
            <w:pPr>
              <w:rPr>
                <w:color w:val="000000" w:themeColor="text1"/>
              </w:rPr>
            </w:pPr>
          </w:p>
        </w:tc>
      </w:tr>
      <w:tr w:rsidR="00652C69" w14:paraId="264C8BB5" w14:textId="77777777" w:rsidTr="00036EC8">
        <w:trPr>
          <w:jc w:val="center"/>
        </w:trPr>
        <w:tc>
          <w:tcPr>
            <w:tcW w:w="449" w:type="dxa"/>
          </w:tcPr>
          <w:p w14:paraId="506C241A" w14:textId="77777777" w:rsidR="00652C69" w:rsidRDefault="00652C69" w:rsidP="00036EC8">
            <w:pPr>
              <w:rPr>
                <w:color w:val="000000" w:themeColor="text1"/>
              </w:rPr>
            </w:pPr>
            <w:r>
              <w:rPr>
                <w:color w:val="000000" w:themeColor="text1"/>
              </w:rPr>
              <w:t>2</w:t>
            </w:r>
          </w:p>
        </w:tc>
        <w:tc>
          <w:tcPr>
            <w:tcW w:w="2500" w:type="dxa"/>
          </w:tcPr>
          <w:p w14:paraId="5FB1DE56" w14:textId="77777777" w:rsidR="00652C69" w:rsidRDefault="00652C69"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45AB6627" w14:textId="77777777" w:rsidR="00652C69" w:rsidRDefault="00652C69" w:rsidP="00036EC8">
            <w:pPr>
              <w:rPr>
                <w:color w:val="000000" w:themeColor="text1"/>
              </w:rPr>
            </w:pPr>
            <w:r>
              <w:rPr>
                <w:color w:val="000000" w:themeColor="text1"/>
              </w:rPr>
              <w:t>All occasions of SSB of SC collide with CDP, MG and/or SMTC</w:t>
            </w:r>
          </w:p>
        </w:tc>
        <w:tc>
          <w:tcPr>
            <w:tcW w:w="3305" w:type="dxa"/>
          </w:tcPr>
          <w:p w14:paraId="5B7AC8FF" w14:textId="77777777" w:rsidR="00652C69" w:rsidRDefault="00652C69"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07DCEE2" w14:textId="77777777" w:rsidR="00652C69" w:rsidRDefault="00652C69" w:rsidP="00036EC8">
            <w:pPr>
              <w:rPr>
                <w:color w:val="000000" w:themeColor="text1"/>
              </w:rPr>
            </w:pPr>
          </w:p>
        </w:tc>
        <w:tc>
          <w:tcPr>
            <w:tcW w:w="3096" w:type="dxa"/>
          </w:tcPr>
          <w:p w14:paraId="45766B53" w14:textId="77777777" w:rsidR="00652C69" w:rsidRDefault="00652C69"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6B0023F8" w14:textId="77777777" w:rsidR="00652C69" w:rsidRDefault="00652C69" w:rsidP="00036EC8">
            <w:pPr>
              <w:rPr>
                <w:color w:val="000000" w:themeColor="text1"/>
              </w:rPr>
            </w:pPr>
          </w:p>
          <w:p w14:paraId="7F70D29B" w14:textId="77777777" w:rsidR="00652C69" w:rsidRDefault="00652C69" w:rsidP="00036EC8">
            <w:pPr>
              <w:rPr>
                <w:color w:val="000000" w:themeColor="text1"/>
              </w:rPr>
            </w:pPr>
          </w:p>
        </w:tc>
      </w:tr>
      <w:tr w:rsidR="00652C69" w14:paraId="789111EC" w14:textId="77777777" w:rsidTr="00036EC8">
        <w:trPr>
          <w:jc w:val="center"/>
        </w:trPr>
        <w:tc>
          <w:tcPr>
            <w:tcW w:w="449" w:type="dxa"/>
          </w:tcPr>
          <w:p w14:paraId="61985AEB" w14:textId="77777777" w:rsidR="00652C69" w:rsidRDefault="00652C69" w:rsidP="00036EC8">
            <w:pPr>
              <w:rPr>
                <w:color w:val="000000" w:themeColor="text1"/>
              </w:rPr>
            </w:pPr>
            <w:r>
              <w:rPr>
                <w:color w:val="000000" w:themeColor="text1"/>
              </w:rPr>
              <w:t>3</w:t>
            </w:r>
          </w:p>
        </w:tc>
        <w:tc>
          <w:tcPr>
            <w:tcW w:w="2500" w:type="dxa"/>
          </w:tcPr>
          <w:p w14:paraId="2CE4E41B" w14:textId="77777777" w:rsidR="00652C69" w:rsidRDefault="00652C69"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640FA783" w14:textId="77777777" w:rsidR="00652C69" w:rsidRDefault="00652C69" w:rsidP="00036EC8">
            <w:pPr>
              <w:rPr>
                <w:color w:val="000000" w:themeColor="text1"/>
              </w:rPr>
            </w:pPr>
            <w:r>
              <w:rPr>
                <w:color w:val="000000" w:themeColor="text1"/>
              </w:rPr>
              <w:t>All occasions of SSB of SC collide with CDP, MG and/or SMTC</w:t>
            </w:r>
          </w:p>
        </w:tc>
        <w:tc>
          <w:tcPr>
            <w:tcW w:w="3305" w:type="dxa"/>
          </w:tcPr>
          <w:p w14:paraId="479A4646" w14:textId="77777777" w:rsidR="00652C69" w:rsidRDefault="00652C69"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486C4AC" w14:textId="77777777" w:rsidR="00652C69" w:rsidRDefault="00652C69" w:rsidP="00036EC8">
            <w:pPr>
              <w:rPr>
                <w:color w:val="000000" w:themeColor="text1"/>
              </w:rPr>
            </w:pPr>
          </w:p>
        </w:tc>
        <w:tc>
          <w:tcPr>
            <w:tcW w:w="3096" w:type="dxa"/>
          </w:tcPr>
          <w:p w14:paraId="4133BAC6" w14:textId="77777777" w:rsidR="00652C69" w:rsidRDefault="00652C69" w:rsidP="00036EC8">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652C69" w14:paraId="77675AF0" w14:textId="77777777" w:rsidTr="00036EC8">
        <w:trPr>
          <w:jc w:val="center"/>
        </w:trPr>
        <w:tc>
          <w:tcPr>
            <w:tcW w:w="449" w:type="dxa"/>
          </w:tcPr>
          <w:p w14:paraId="70697C53" w14:textId="77777777" w:rsidR="00652C69" w:rsidRDefault="00652C69" w:rsidP="00036EC8">
            <w:pPr>
              <w:rPr>
                <w:color w:val="000000" w:themeColor="text1"/>
              </w:rPr>
            </w:pPr>
            <w:r>
              <w:rPr>
                <w:color w:val="000000" w:themeColor="text1"/>
              </w:rPr>
              <w:t>4</w:t>
            </w:r>
          </w:p>
        </w:tc>
        <w:tc>
          <w:tcPr>
            <w:tcW w:w="2500" w:type="dxa"/>
          </w:tcPr>
          <w:p w14:paraId="19D36415" w14:textId="77777777" w:rsidR="00652C69" w:rsidRDefault="00652C69"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DB32AB5" w14:textId="77777777" w:rsidR="00652C69" w:rsidRDefault="00652C69" w:rsidP="00036EC8">
            <w:pPr>
              <w:rPr>
                <w:color w:val="000000" w:themeColor="text1"/>
              </w:rPr>
            </w:pPr>
            <w:r>
              <w:rPr>
                <w:color w:val="000000" w:themeColor="text1"/>
              </w:rPr>
              <w:t>Not all occasions of SSB of SC collide with CDP, MG and/or SMTC</w:t>
            </w:r>
          </w:p>
        </w:tc>
        <w:tc>
          <w:tcPr>
            <w:tcW w:w="3305" w:type="dxa"/>
          </w:tcPr>
          <w:p w14:paraId="3D7A3A9F" w14:textId="77777777" w:rsidR="00652C69"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1527A993" w14:textId="77777777" w:rsidR="00652C69" w:rsidRDefault="00652C69" w:rsidP="00036EC8">
            <w:pPr>
              <w:rPr>
                <w:color w:val="000000" w:themeColor="text1"/>
              </w:rPr>
            </w:pPr>
          </w:p>
        </w:tc>
        <w:tc>
          <w:tcPr>
            <w:tcW w:w="3096" w:type="dxa"/>
          </w:tcPr>
          <w:p w14:paraId="2DA12EA4" w14:textId="77777777" w:rsidR="00652C69"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1B8712EF" w14:textId="77777777" w:rsidR="00652C69" w:rsidRDefault="00652C69" w:rsidP="00036EC8">
            <w:pPr>
              <w:rPr>
                <w:color w:val="000000" w:themeColor="text1"/>
              </w:rPr>
            </w:pPr>
          </w:p>
          <w:p w14:paraId="27EE2DFF" w14:textId="77777777" w:rsidR="00652C69" w:rsidRDefault="00652C69" w:rsidP="00036EC8">
            <w:pPr>
              <w:rPr>
                <w:color w:val="000000" w:themeColor="text1"/>
              </w:rPr>
            </w:pPr>
          </w:p>
        </w:tc>
      </w:tr>
      <w:tr w:rsidR="00652C69" w14:paraId="1436D6E8" w14:textId="77777777" w:rsidTr="00036EC8">
        <w:trPr>
          <w:jc w:val="center"/>
        </w:trPr>
        <w:tc>
          <w:tcPr>
            <w:tcW w:w="449" w:type="dxa"/>
          </w:tcPr>
          <w:p w14:paraId="53189815" w14:textId="77777777" w:rsidR="00652C69" w:rsidRDefault="00652C69" w:rsidP="00036EC8">
            <w:pPr>
              <w:rPr>
                <w:color w:val="000000" w:themeColor="text1"/>
              </w:rPr>
            </w:pPr>
            <w:r>
              <w:rPr>
                <w:color w:val="000000" w:themeColor="text1"/>
              </w:rPr>
              <w:t>5</w:t>
            </w:r>
          </w:p>
        </w:tc>
        <w:tc>
          <w:tcPr>
            <w:tcW w:w="2500" w:type="dxa"/>
          </w:tcPr>
          <w:p w14:paraId="718F30DF" w14:textId="77777777" w:rsidR="00652C69" w:rsidRDefault="00652C69"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1D52D3A6" w14:textId="77777777" w:rsidR="00652C69" w:rsidRDefault="00652C69" w:rsidP="00036EC8">
            <w:pPr>
              <w:rPr>
                <w:color w:val="000000" w:themeColor="text1"/>
              </w:rPr>
            </w:pPr>
            <w:r>
              <w:rPr>
                <w:color w:val="000000" w:themeColor="text1"/>
              </w:rPr>
              <w:t>Not all occasions of SSB of CDP collide with SC, MG and/or SMTC</w:t>
            </w:r>
          </w:p>
        </w:tc>
        <w:tc>
          <w:tcPr>
            <w:tcW w:w="3305" w:type="dxa"/>
          </w:tcPr>
          <w:p w14:paraId="0D8E4BDE" w14:textId="77777777" w:rsidR="00652C69"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7013ED8" w14:textId="77777777" w:rsidR="00652C69" w:rsidRDefault="00652C69" w:rsidP="00036EC8">
            <w:pPr>
              <w:rPr>
                <w:color w:val="000000" w:themeColor="text1"/>
              </w:rPr>
            </w:pPr>
          </w:p>
        </w:tc>
        <w:tc>
          <w:tcPr>
            <w:tcW w:w="3096" w:type="dxa"/>
          </w:tcPr>
          <w:p w14:paraId="75D4AAF9" w14:textId="77777777" w:rsidR="00652C69"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7AB00FBC" w14:textId="77777777" w:rsidR="00652C69" w:rsidRDefault="00652C69" w:rsidP="00036EC8">
            <w:pPr>
              <w:rPr>
                <w:color w:val="000000" w:themeColor="text1"/>
              </w:rPr>
            </w:pPr>
          </w:p>
          <w:p w14:paraId="4F58941C" w14:textId="77777777" w:rsidR="00652C69" w:rsidRDefault="00652C69" w:rsidP="00036EC8">
            <w:pPr>
              <w:rPr>
                <w:color w:val="000000" w:themeColor="text1"/>
              </w:rPr>
            </w:pPr>
          </w:p>
        </w:tc>
      </w:tr>
      <w:tr w:rsidR="00652C69" w14:paraId="7EA6C72C" w14:textId="77777777" w:rsidTr="00036EC8">
        <w:trPr>
          <w:jc w:val="center"/>
        </w:trPr>
        <w:tc>
          <w:tcPr>
            <w:tcW w:w="9350" w:type="dxa"/>
            <w:gridSpan w:val="4"/>
          </w:tcPr>
          <w:p w14:paraId="16DF48DE" w14:textId="77777777" w:rsidR="00652C69" w:rsidRDefault="00652C69" w:rsidP="00036EC8">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0EFB242C" w14:textId="77777777" w:rsidR="00652C69" w:rsidRDefault="00652C69" w:rsidP="00036EC8">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53A77650" w14:textId="77777777" w:rsidR="00652C69" w:rsidRDefault="00652C69" w:rsidP="00036EC8">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5A72BC18" w14:textId="77777777" w:rsidR="00652C69" w:rsidRDefault="00652C69" w:rsidP="00036EC8">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39664CEC" w14:textId="77777777" w:rsidR="00652C69" w:rsidRPr="00652C69" w:rsidRDefault="00652C69" w:rsidP="005B410D">
      <w:pPr>
        <w:spacing w:after="120"/>
        <w:rPr>
          <w:rFonts w:eastAsia="SimSun"/>
          <w:b/>
          <w:bCs/>
          <w:sz w:val="20"/>
          <w:szCs w:val="20"/>
          <w:lang w:val="en-GB" w:eastAsia="en-GB"/>
        </w:rPr>
      </w:pPr>
    </w:p>
    <w:p w14:paraId="476EF89D" w14:textId="77777777" w:rsidR="00652C69" w:rsidRDefault="00652C69" w:rsidP="005B410D">
      <w:pPr>
        <w:spacing w:after="120"/>
        <w:rPr>
          <w:rFonts w:eastAsia="SimSun"/>
          <w:sz w:val="20"/>
          <w:szCs w:val="20"/>
          <w:lang w:val="en-GB" w:eastAsia="en-GB"/>
        </w:rPr>
      </w:pPr>
    </w:p>
    <w:p w14:paraId="7E144D75" w14:textId="77777777" w:rsidR="0020378F" w:rsidRPr="007A4398" w:rsidRDefault="0020378F" w:rsidP="004053CE">
      <w:pPr>
        <w:spacing w:after="120"/>
        <w:rPr>
          <w:rFonts w:eastAsia="SimSun"/>
          <w:b/>
          <w:bCs/>
          <w:sz w:val="20"/>
          <w:szCs w:val="20"/>
          <w:lang w:val="en-GB" w:eastAsia="en-GB"/>
        </w:rPr>
      </w:pPr>
    </w:p>
    <w:p w14:paraId="3B6C444E" w14:textId="3DFCFD49" w:rsidR="00766F00" w:rsidRPr="00A26A8A" w:rsidRDefault="00B07B15" w:rsidP="00A26A8A">
      <w:pPr>
        <w:pStyle w:val="Heading2"/>
        <w:numPr>
          <w:ilvl w:val="0"/>
          <w:numId w:val="0"/>
        </w:numPr>
        <w:ind w:left="720" w:hanging="720"/>
        <w:rPr>
          <w:rFonts w:ascii="Times New Roman" w:hAnsi="Times New Roman" w:cs="Times New Roman"/>
          <w:b/>
          <w:bCs/>
          <w:sz w:val="24"/>
          <w:szCs w:val="16"/>
        </w:rPr>
      </w:pPr>
      <w:r w:rsidRPr="00A26A8A">
        <w:rPr>
          <w:rFonts w:ascii="Times New Roman" w:hAnsi="Times New Roman" w:cs="Times New Roman"/>
          <w:b/>
          <w:bCs/>
          <w:sz w:val="24"/>
          <w:szCs w:val="16"/>
        </w:rPr>
        <w:t>Scheduling</w:t>
      </w:r>
      <w:r w:rsidR="00766F00" w:rsidRPr="00A26A8A">
        <w:rPr>
          <w:rFonts w:ascii="Times New Roman" w:hAnsi="Times New Roman" w:cs="Times New Roman"/>
          <w:b/>
          <w:bCs/>
          <w:sz w:val="24"/>
          <w:szCs w:val="16"/>
        </w:rPr>
        <w:t xml:space="preserve"> Restriction</w:t>
      </w:r>
    </w:p>
    <w:p w14:paraId="53769395" w14:textId="6774A3F0" w:rsidR="00652C69" w:rsidRDefault="00652C69" w:rsidP="005B410D">
      <w:pPr>
        <w:spacing w:after="120"/>
        <w:rPr>
          <w:rFonts w:eastAsia="SimSun"/>
          <w:sz w:val="20"/>
          <w:szCs w:val="20"/>
          <w:lang w:val="en-GB" w:eastAsia="en-GB"/>
        </w:rPr>
      </w:pPr>
      <w:r>
        <w:rPr>
          <w:rFonts w:eastAsia="SimSun"/>
          <w:sz w:val="20"/>
          <w:szCs w:val="20"/>
          <w:lang w:val="en-GB" w:eastAsia="en-GB"/>
        </w:rPr>
        <w:t>For scheduling restriction on L1-RSRP measurement on cell with different PCI for Dynamic TDD the following options were discussed in [1]:</w:t>
      </w:r>
    </w:p>
    <w:p w14:paraId="5B89EEF0" w14:textId="77777777" w:rsidR="00652C69" w:rsidRPr="00652C69" w:rsidRDefault="00652C69" w:rsidP="00652C69">
      <w:pPr>
        <w:numPr>
          <w:ilvl w:val="0"/>
          <w:numId w:val="3"/>
        </w:numPr>
        <w:spacing w:after="120"/>
        <w:rPr>
          <w:rFonts w:eastAsia="SimSun"/>
          <w:sz w:val="20"/>
          <w:szCs w:val="20"/>
          <w:lang w:val="sv-SE" w:eastAsia="en-GB"/>
        </w:rPr>
      </w:pPr>
      <w:r w:rsidRPr="00652C69">
        <w:rPr>
          <w:rFonts w:eastAsia="SimSun"/>
          <w:bCs/>
          <w:sz w:val="20"/>
          <w:szCs w:val="20"/>
          <w:lang w:eastAsia="en-GB"/>
        </w:rPr>
        <w:lastRenderedPageBreak/>
        <w:t xml:space="preserve">Option </w:t>
      </w:r>
      <w:r w:rsidRPr="00652C69">
        <w:rPr>
          <w:rFonts w:eastAsia="SimSun"/>
          <w:sz w:val="20"/>
          <w:szCs w:val="20"/>
          <w:lang w:val="sv-SE" w:eastAsia="en-GB"/>
        </w:rPr>
        <w:t>1:</w:t>
      </w:r>
    </w:p>
    <w:p w14:paraId="55A042E8" w14:textId="77777777" w:rsidR="00652C69" w:rsidRPr="00652C69" w:rsidRDefault="00652C69" w:rsidP="00652C69">
      <w:pPr>
        <w:numPr>
          <w:ilvl w:val="1"/>
          <w:numId w:val="3"/>
        </w:numPr>
        <w:spacing w:after="120"/>
        <w:rPr>
          <w:rFonts w:eastAsia="SimSun"/>
          <w:sz w:val="20"/>
          <w:szCs w:val="20"/>
          <w:lang w:val="en-GB" w:eastAsia="en-GB"/>
        </w:rPr>
      </w:pPr>
      <w:r w:rsidRPr="00652C69">
        <w:rPr>
          <w:rFonts w:eastAsia="SimSun"/>
          <w:bCs/>
          <w:sz w:val="20"/>
          <w:szCs w:val="20"/>
          <w:lang w:eastAsia="en-GB"/>
        </w:rPr>
        <w:t>Introduce scheduling restriction for dynamic TDD when L1-RSRP measurement on cell with different PCI overlaps with serving cell UL slots.</w:t>
      </w:r>
    </w:p>
    <w:p w14:paraId="00339055" w14:textId="77777777" w:rsidR="00652C69" w:rsidRPr="00652C69" w:rsidRDefault="00652C69" w:rsidP="00652C69">
      <w:pPr>
        <w:numPr>
          <w:ilvl w:val="0"/>
          <w:numId w:val="3"/>
        </w:numPr>
        <w:spacing w:after="120"/>
        <w:rPr>
          <w:rFonts w:eastAsia="SimSun"/>
          <w:sz w:val="20"/>
          <w:szCs w:val="20"/>
          <w:lang w:val="sv-SE" w:eastAsia="en-GB"/>
        </w:rPr>
      </w:pPr>
      <w:r w:rsidRPr="00652C69">
        <w:rPr>
          <w:rFonts w:eastAsia="SimSun"/>
          <w:bCs/>
          <w:sz w:val="20"/>
          <w:szCs w:val="20"/>
          <w:lang w:eastAsia="en-GB"/>
        </w:rPr>
        <w:t xml:space="preserve">Option </w:t>
      </w:r>
      <w:r w:rsidRPr="00652C69">
        <w:rPr>
          <w:rFonts w:eastAsia="SimSun"/>
          <w:sz w:val="20"/>
          <w:szCs w:val="20"/>
          <w:lang w:val="sv-SE" w:eastAsia="en-GB"/>
        </w:rPr>
        <w:t>1a:</w:t>
      </w:r>
    </w:p>
    <w:p w14:paraId="5534BC62" w14:textId="77777777" w:rsidR="00652C69" w:rsidRPr="00652C69" w:rsidRDefault="00652C69" w:rsidP="00652C69">
      <w:pPr>
        <w:numPr>
          <w:ilvl w:val="1"/>
          <w:numId w:val="3"/>
        </w:numPr>
        <w:spacing w:after="120"/>
        <w:rPr>
          <w:rFonts w:eastAsia="SimSun"/>
          <w:sz w:val="20"/>
          <w:szCs w:val="20"/>
          <w:lang w:val="en-GB" w:eastAsia="en-GB"/>
        </w:rPr>
      </w:pPr>
      <w:r w:rsidRPr="00652C69">
        <w:rPr>
          <w:rFonts w:eastAsia="SimSun"/>
          <w:bCs/>
          <w:sz w:val="20"/>
          <w:szCs w:val="20"/>
          <w:lang w:eastAsia="en-GB"/>
        </w:rPr>
        <w:t>Introduce scheduling restriction for dynamic TDD when L1-RSRP measurement on non-serving cell overlaps with serving cell UL slots. In addition, one OFDM symbol before and after SSB should also be considered because of TA.</w:t>
      </w:r>
    </w:p>
    <w:p w14:paraId="632BDB96" w14:textId="77777777" w:rsidR="00652C69" w:rsidRPr="00652C69" w:rsidRDefault="00652C69" w:rsidP="00652C69">
      <w:pPr>
        <w:numPr>
          <w:ilvl w:val="0"/>
          <w:numId w:val="3"/>
        </w:numPr>
        <w:spacing w:after="120"/>
        <w:rPr>
          <w:rFonts w:eastAsia="SimSun"/>
          <w:sz w:val="20"/>
          <w:szCs w:val="20"/>
          <w:lang w:val="sv-SE" w:eastAsia="en-GB"/>
        </w:rPr>
      </w:pPr>
      <w:r w:rsidRPr="00652C69">
        <w:rPr>
          <w:rFonts w:eastAsia="SimSun"/>
          <w:bCs/>
          <w:sz w:val="20"/>
          <w:szCs w:val="20"/>
          <w:lang w:eastAsia="en-GB"/>
        </w:rPr>
        <w:t xml:space="preserve">Option </w:t>
      </w:r>
      <w:r w:rsidRPr="00652C69">
        <w:rPr>
          <w:rFonts w:eastAsia="SimSun"/>
          <w:sz w:val="20"/>
          <w:szCs w:val="20"/>
          <w:lang w:val="sv-SE" w:eastAsia="en-GB"/>
        </w:rPr>
        <w:t>2:</w:t>
      </w:r>
    </w:p>
    <w:p w14:paraId="2493E582" w14:textId="77777777" w:rsidR="00652C69" w:rsidRPr="00652C69" w:rsidRDefault="00652C69" w:rsidP="00652C69">
      <w:pPr>
        <w:numPr>
          <w:ilvl w:val="1"/>
          <w:numId w:val="3"/>
        </w:numPr>
        <w:spacing w:after="120"/>
        <w:rPr>
          <w:rFonts w:eastAsia="SimSun"/>
          <w:sz w:val="20"/>
          <w:szCs w:val="20"/>
          <w:lang w:val="en-GB" w:eastAsia="en-GB"/>
        </w:rPr>
      </w:pPr>
      <w:r w:rsidRPr="00652C69">
        <w:rPr>
          <w:rFonts w:eastAsia="SimSun"/>
          <w:bCs/>
          <w:sz w:val="20"/>
          <w:szCs w:val="20"/>
          <w:lang w:eastAsia="en-GB"/>
        </w:rPr>
        <w:t>Do not introduce scheduling restriction for dynamic TDD when L1-RSRP measurement on cell with different PCI overlaps with serving cell UL slots.</w:t>
      </w:r>
    </w:p>
    <w:p w14:paraId="58D861CD" w14:textId="77777777" w:rsidR="00652C69" w:rsidRPr="00652C69" w:rsidRDefault="00652C69" w:rsidP="00652C69">
      <w:pPr>
        <w:numPr>
          <w:ilvl w:val="0"/>
          <w:numId w:val="3"/>
        </w:numPr>
        <w:spacing w:after="120"/>
        <w:rPr>
          <w:rFonts w:eastAsia="SimSun"/>
          <w:sz w:val="20"/>
          <w:szCs w:val="20"/>
          <w:lang w:val="sv-SE" w:eastAsia="en-GB"/>
        </w:rPr>
      </w:pPr>
      <w:r w:rsidRPr="00652C69">
        <w:rPr>
          <w:rFonts w:eastAsia="SimSun"/>
          <w:bCs/>
          <w:sz w:val="20"/>
          <w:szCs w:val="20"/>
          <w:lang w:eastAsia="en-GB"/>
        </w:rPr>
        <w:t xml:space="preserve">Option </w:t>
      </w:r>
      <w:r w:rsidRPr="00652C69">
        <w:rPr>
          <w:rFonts w:eastAsia="SimSun"/>
          <w:sz w:val="20"/>
          <w:szCs w:val="20"/>
          <w:lang w:val="sv-SE" w:eastAsia="en-GB"/>
        </w:rPr>
        <w:t>3:</w:t>
      </w:r>
    </w:p>
    <w:p w14:paraId="002CCA72" w14:textId="77777777" w:rsidR="00652C69" w:rsidRPr="00652C69" w:rsidRDefault="00652C69" w:rsidP="00652C69">
      <w:pPr>
        <w:numPr>
          <w:ilvl w:val="1"/>
          <w:numId w:val="3"/>
        </w:numPr>
        <w:spacing w:after="120"/>
        <w:rPr>
          <w:rFonts w:eastAsia="SimSun"/>
          <w:sz w:val="20"/>
          <w:szCs w:val="20"/>
          <w:lang w:val="en-GB" w:eastAsia="en-GB"/>
        </w:rPr>
      </w:pPr>
      <w:r w:rsidRPr="00652C69">
        <w:rPr>
          <w:rFonts w:eastAsia="SimSun"/>
          <w:bCs/>
          <w:sz w:val="20"/>
          <w:szCs w:val="20"/>
          <w:lang w:eastAsia="en-GB"/>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00C20F4C" w14:textId="77777777" w:rsidR="00652C69" w:rsidRDefault="00652C69" w:rsidP="005B410D">
      <w:pPr>
        <w:spacing w:after="120"/>
        <w:rPr>
          <w:rFonts w:eastAsia="SimSun"/>
          <w:sz w:val="20"/>
          <w:szCs w:val="20"/>
          <w:lang w:val="en-GB" w:eastAsia="en-GB"/>
        </w:rPr>
      </w:pPr>
    </w:p>
    <w:p w14:paraId="1E853239" w14:textId="77777777" w:rsidR="001C2892" w:rsidRDefault="001C2892" w:rsidP="005B410D">
      <w:pPr>
        <w:spacing w:after="120"/>
        <w:rPr>
          <w:rFonts w:eastAsia="SimSun"/>
          <w:sz w:val="20"/>
          <w:szCs w:val="20"/>
          <w:lang w:val="en-GB" w:eastAsia="en-GB"/>
        </w:rPr>
      </w:pPr>
    </w:p>
    <w:tbl>
      <w:tblPr>
        <w:tblStyle w:val="TableGrid"/>
        <w:tblpPr w:leftFromText="180" w:rightFromText="180" w:vertAnchor="text" w:horzAnchor="margin" w:tblpY="286"/>
        <w:tblW w:w="0" w:type="auto"/>
        <w:tblLook w:val="04A0" w:firstRow="1" w:lastRow="0" w:firstColumn="1" w:lastColumn="0" w:noHBand="0" w:noVBand="1"/>
      </w:tblPr>
      <w:tblGrid>
        <w:gridCol w:w="9350"/>
      </w:tblGrid>
      <w:tr w:rsidR="004476E5" w:rsidRPr="00E80EE6" w14:paraId="1E5A45A0" w14:textId="77777777" w:rsidTr="004476E5">
        <w:tc>
          <w:tcPr>
            <w:tcW w:w="9350" w:type="dxa"/>
          </w:tcPr>
          <w:p w14:paraId="57C155A8" w14:textId="77777777" w:rsidR="004476E5" w:rsidRPr="00C768EE" w:rsidRDefault="004476E5" w:rsidP="004476E5">
            <w:pPr>
              <w:wordWrap w:val="0"/>
              <w:rPr>
                <w:rFonts w:eastAsia="Malgun Gothic"/>
                <w:bCs/>
                <w:szCs w:val="20"/>
                <w:lang w:eastAsia="ko-KR"/>
              </w:rPr>
            </w:pPr>
            <w:r w:rsidRPr="00C768EE">
              <w:rPr>
                <w:bCs/>
                <w:szCs w:val="20"/>
                <w:highlight w:val="green"/>
              </w:rPr>
              <w:t>Agreement</w:t>
            </w:r>
          </w:p>
          <w:p w14:paraId="2EFFEFE4" w14:textId="77777777" w:rsidR="004476E5" w:rsidRPr="00C768EE" w:rsidRDefault="004476E5" w:rsidP="004476E5">
            <w:pPr>
              <w:rPr>
                <w:lang w:eastAsia="x-none"/>
              </w:rPr>
            </w:pPr>
            <w:r w:rsidRPr="00C768EE">
              <w:rPr>
                <w:lang w:eastAsia="x-none"/>
              </w:rPr>
              <w:t xml:space="preserve">For inter-cell </w:t>
            </w:r>
            <w:proofErr w:type="spellStart"/>
            <w:r w:rsidRPr="00C768EE">
              <w:rPr>
                <w:lang w:eastAsia="x-none"/>
              </w:rPr>
              <w:t>mTRP</w:t>
            </w:r>
            <w:proofErr w:type="spellEnd"/>
            <w:r w:rsidRPr="00C768EE">
              <w:rPr>
                <w:lang w:eastAsia="x-none"/>
              </w:rPr>
              <w:t>, UE does not transmit PUCCH/PUSCH/PRACH in a slot or SRS in the symbols if in time domain the PUCCH/PUSCH/PRACH/SRS overlaps with an SSB of a serving cell PCI or an SSB associated with the active additional PCI.</w:t>
            </w:r>
          </w:p>
          <w:p w14:paraId="76FB362D" w14:textId="082DC68C" w:rsidR="004476E5" w:rsidRPr="00E80EE6" w:rsidRDefault="004476E5" w:rsidP="004476E5">
            <w:pPr>
              <w:spacing w:after="120" w:line="259" w:lineRule="auto"/>
              <w:jc w:val="left"/>
              <w:rPr>
                <w:sz w:val="20"/>
                <w:szCs w:val="20"/>
              </w:rPr>
            </w:pPr>
          </w:p>
        </w:tc>
      </w:tr>
    </w:tbl>
    <w:p w14:paraId="387FAB11" w14:textId="1045CE7A" w:rsidR="001C2892" w:rsidRDefault="001C2892" w:rsidP="005B410D">
      <w:pPr>
        <w:spacing w:after="120"/>
        <w:rPr>
          <w:rFonts w:eastAsia="SimSun"/>
          <w:sz w:val="20"/>
          <w:szCs w:val="20"/>
          <w:lang w:val="en-GB" w:eastAsia="en-GB"/>
        </w:rPr>
      </w:pPr>
      <w:r>
        <w:rPr>
          <w:rFonts w:eastAsia="SimSun"/>
          <w:sz w:val="20"/>
          <w:szCs w:val="20"/>
          <w:lang w:val="en-GB" w:eastAsia="en-GB"/>
        </w:rPr>
        <w:t>In RAN1#108-e, the following agreements were made:</w:t>
      </w:r>
    </w:p>
    <w:p w14:paraId="610EE474" w14:textId="77777777" w:rsidR="001C2892" w:rsidRDefault="001C2892" w:rsidP="005B410D">
      <w:pPr>
        <w:spacing w:after="120"/>
        <w:rPr>
          <w:rFonts w:eastAsia="SimSun"/>
          <w:sz w:val="20"/>
          <w:szCs w:val="20"/>
          <w:lang w:val="en-GB" w:eastAsia="en-GB"/>
        </w:rPr>
      </w:pPr>
    </w:p>
    <w:p w14:paraId="77F9F6C2" w14:textId="79012DCC" w:rsidR="001C2892" w:rsidRDefault="004476E5" w:rsidP="004476E5">
      <w:pPr>
        <w:spacing w:after="120"/>
        <w:rPr>
          <w:rFonts w:eastAsia="SimSun"/>
          <w:sz w:val="20"/>
          <w:szCs w:val="20"/>
          <w:lang w:val="en-GB" w:eastAsia="en-GB"/>
        </w:rPr>
      </w:pPr>
      <w:r>
        <w:rPr>
          <w:rFonts w:eastAsia="SimSun"/>
          <w:sz w:val="20"/>
          <w:szCs w:val="20"/>
          <w:lang w:val="en-GB" w:eastAsia="en-GB"/>
        </w:rPr>
        <w:t>Based on the agreements in RAN1#108-e, in RAN1#110</w:t>
      </w:r>
      <w:r w:rsidR="00B574DF">
        <w:rPr>
          <w:rFonts w:eastAsia="SimSun"/>
          <w:sz w:val="20"/>
          <w:szCs w:val="20"/>
          <w:lang w:val="en-GB" w:eastAsia="en-GB"/>
        </w:rPr>
        <w:t xml:space="preserve"> the CR </w:t>
      </w:r>
      <w:r w:rsidR="00B574DF" w:rsidRPr="00B574DF">
        <w:rPr>
          <w:rFonts w:eastAsia="SimSun"/>
          <w:sz w:val="20"/>
          <w:szCs w:val="20"/>
          <w:lang w:val="en-GB" w:eastAsia="en-GB"/>
        </w:rPr>
        <w:t>R1-2208084</w:t>
      </w:r>
      <w:r w:rsidR="00B574DF">
        <w:rPr>
          <w:rFonts w:eastAsia="SimSun"/>
          <w:sz w:val="20"/>
          <w:szCs w:val="20"/>
          <w:lang w:val="en-GB" w:eastAsia="en-GB"/>
        </w:rPr>
        <w:t xml:space="preserve"> [</w:t>
      </w:r>
      <w:r w:rsidR="00973E41">
        <w:rPr>
          <w:rFonts w:eastAsia="SimSun"/>
          <w:sz w:val="20"/>
          <w:szCs w:val="20"/>
          <w:lang w:val="en-GB" w:eastAsia="en-GB"/>
        </w:rPr>
        <w:t>2</w:t>
      </w:r>
      <w:r w:rsidR="00B574DF">
        <w:rPr>
          <w:rFonts w:eastAsia="SimSun"/>
          <w:sz w:val="20"/>
          <w:szCs w:val="20"/>
          <w:lang w:val="en-GB" w:eastAsia="en-GB"/>
        </w:rPr>
        <w:t>] was approved with the following changes to TS 38.213:</w:t>
      </w:r>
    </w:p>
    <w:p w14:paraId="275AC247" w14:textId="13F45C52" w:rsidR="00B574DF" w:rsidRDefault="00B574DF" w:rsidP="004476E5">
      <w:pPr>
        <w:spacing w:after="120"/>
        <w:rPr>
          <w:rFonts w:eastAsia="SimSun"/>
          <w:sz w:val="20"/>
          <w:szCs w:val="20"/>
          <w:lang w:val="en-GB" w:eastAsia="en-GB"/>
        </w:rPr>
      </w:pPr>
    </w:p>
    <w:p w14:paraId="20867482" w14:textId="0C2BFBED" w:rsidR="00B574DF" w:rsidRDefault="00F8013F" w:rsidP="004476E5">
      <w:pPr>
        <w:spacing w:after="120"/>
        <w:rPr>
          <w:rFonts w:eastAsia="SimSun"/>
          <w:sz w:val="20"/>
          <w:szCs w:val="20"/>
          <w:lang w:val="en-GB" w:eastAsia="en-GB"/>
        </w:rPr>
      </w:pPr>
      <w:r w:rsidRPr="00F8013F">
        <w:rPr>
          <w:rFonts w:eastAsia="SimSun"/>
          <w:noProof/>
          <w:sz w:val="20"/>
          <w:szCs w:val="20"/>
          <w:lang w:val="en-GB" w:eastAsia="en-GB"/>
        </w:rPr>
        <w:lastRenderedPageBreak/>
        <w:drawing>
          <wp:inline distT="0" distB="0" distL="0" distR="0" wp14:anchorId="0E6C69A6" wp14:editId="31FF36E6">
            <wp:extent cx="5943600" cy="385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853180"/>
                    </a:xfrm>
                    <a:prstGeom prst="rect">
                      <a:avLst/>
                    </a:prstGeom>
                  </pic:spPr>
                </pic:pic>
              </a:graphicData>
            </a:graphic>
          </wp:inline>
        </w:drawing>
      </w:r>
    </w:p>
    <w:p w14:paraId="6E6174E0" w14:textId="1BEB9DCF" w:rsidR="00B574DF" w:rsidRDefault="00F8013F" w:rsidP="005B410D">
      <w:pPr>
        <w:spacing w:after="120"/>
        <w:rPr>
          <w:rFonts w:eastAsia="SimSun"/>
          <w:sz w:val="20"/>
          <w:szCs w:val="20"/>
          <w:lang w:val="en-GB" w:eastAsia="en-GB"/>
        </w:rPr>
      </w:pPr>
      <w:r w:rsidRPr="00F8013F">
        <w:rPr>
          <w:rFonts w:eastAsia="SimSun"/>
          <w:noProof/>
          <w:sz w:val="20"/>
          <w:szCs w:val="20"/>
          <w:lang w:val="en-GB" w:eastAsia="en-GB"/>
        </w:rPr>
        <w:drawing>
          <wp:inline distT="0" distB="0" distL="0" distR="0" wp14:anchorId="31963CAF" wp14:editId="52337A67">
            <wp:extent cx="5943600" cy="1130935"/>
            <wp:effectExtent l="0" t="0" r="0" b="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6"/>
                    <a:stretch>
                      <a:fillRect/>
                    </a:stretch>
                  </pic:blipFill>
                  <pic:spPr>
                    <a:xfrm>
                      <a:off x="0" y="0"/>
                      <a:ext cx="5943600" cy="1130935"/>
                    </a:xfrm>
                    <a:prstGeom prst="rect">
                      <a:avLst/>
                    </a:prstGeom>
                  </pic:spPr>
                </pic:pic>
              </a:graphicData>
            </a:graphic>
          </wp:inline>
        </w:drawing>
      </w:r>
    </w:p>
    <w:p w14:paraId="3911C041" w14:textId="4181E621" w:rsidR="00F8013F" w:rsidRDefault="00F8013F" w:rsidP="005B410D">
      <w:pPr>
        <w:spacing w:after="120"/>
        <w:rPr>
          <w:rFonts w:eastAsia="SimSun"/>
          <w:sz w:val="20"/>
          <w:szCs w:val="20"/>
          <w:lang w:val="en-GB" w:eastAsia="en-GB"/>
        </w:rPr>
      </w:pPr>
      <w:r>
        <w:rPr>
          <w:rFonts w:eastAsia="SimSun"/>
          <w:sz w:val="20"/>
          <w:szCs w:val="20"/>
          <w:lang w:val="en-GB" w:eastAsia="en-GB"/>
        </w:rPr>
        <w:t>The UE behaviour when UE is configured for inter-cell L1-RSRP measurements and dynamic TDD is clearly captured in RAN1 specification. We don’t think we need to further discuss this in R</w:t>
      </w:r>
      <w:r w:rsidR="004B4493">
        <w:rPr>
          <w:rFonts w:eastAsia="SimSun"/>
          <w:sz w:val="20"/>
          <w:szCs w:val="20"/>
          <w:lang w:val="en-GB" w:eastAsia="en-GB"/>
        </w:rPr>
        <w:t>AN</w:t>
      </w:r>
      <w:r>
        <w:rPr>
          <w:rFonts w:eastAsia="SimSun"/>
          <w:sz w:val="20"/>
          <w:szCs w:val="20"/>
          <w:lang w:val="en-GB" w:eastAsia="en-GB"/>
        </w:rPr>
        <w:t xml:space="preserve">4 or specify any scheduling restriction. </w:t>
      </w:r>
    </w:p>
    <w:p w14:paraId="28304B83" w14:textId="7430EF15" w:rsidR="00F8013F" w:rsidRPr="00F8013F" w:rsidRDefault="00F8013F"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UE behaviour for inter-cell L1-RSRP measurement in dynamic TDD is captured in RAN1 specification</w:t>
      </w:r>
      <w:r w:rsidR="004B4493">
        <w:rPr>
          <w:rFonts w:eastAsia="SimSun"/>
          <w:i/>
          <w:iCs/>
          <w:sz w:val="20"/>
          <w:szCs w:val="20"/>
          <w:lang w:val="en-GB" w:eastAsia="en-GB"/>
        </w:rPr>
        <w:t>.</w:t>
      </w:r>
    </w:p>
    <w:p w14:paraId="093B1A4A" w14:textId="235FC301" w:rsidR="00766F00" w:rsidRDefault="004B4493" w:rsidP="005B410D">
      <w:pPr>
        <w:spacing w:after="120"/>
        <w:rPr>
          <w:rFonts w:eastAsia="SimSun"/>
          <w:sz w:val="20"/>
          <w:szCs w:val="20"/>
          <w:lang w:val="en-GB" w:eastAsia="en-GB"/>
        </w:rPr>
      </w:pPr>
      <w:r>
        <w:rPr>
          <w:rFonts w:eastAsia="SimSun"/>
          <w:sz w:val="20"/>
          <w:szCs w:val="20"/>
          <w:lang w:val="en-GB" w:eastAsia="en-GB"/>
        </w:rPr>
        <w:t xml:space="preserve">Based on the above clarification in RAN1 specification, we don’t think it is necessary to further discuss scheduling restriction for dynamic TDD in RAN4 and specify it in RAN4 specification. </w:t>
      </w:r>
    </w:p>
    <w:p w14:paraId="18A80279" w14:textId="6C2D462B" w:rsidR="004B4493" w:rsidRPr="004B4493" w:rsidRDefault="004B4493" w:rsidP="005B410D">
      <w:pPr>
        <w:spacing w:after="120"/>
        <w:rPr>
          <w:rFonts w:eastAsia="SimSun"/>
          <w:b/>
          <w:bCs/>
          <w:sz w:val="20"/>
          <w:szCs w:val="20"/>
          <w:lang w:val="en-GB" w:eastAsia="en-GB"/>
        </w:rPr>
      </w:pPr>
      <w:r>
        <w:rPr>
          <w:rFonts w:eastAsia="SimSun"/>
          <w:b/>
          <w:bCs/>
          <w:sz w:val="20"/>
          <w:szCs w:val="20"/>
          <w:lang w:val="en-GB" w:eastAsia="en-GB"/>
        </w:rPr>
        <w:t xml:space="preserve">Proposal #2: RAN4 need not discuss the scheduling restriction for dynamic TDD as its already captured in RAN1 specification. </w:t>
      </w:r>
    </w:p>
    <w:p w14:paraId="69615C48" w14:textId="3B897E2C" w:rsidR="004D2EA0" w:rsidRDefault="004D2EA0" w:rsidP="005B410D">
      <w:pPr>
        <w:spacing w:after="120"/>
        <w:rPr>
          <w:rFonts w:eastAsia="SimSun"/>
          <w:sz w:val="20"/>
          <w:szCs w:val="20"/>
          <w:lang w:val="en-GB" w:eastAsia="en-GB"/>
        </w:rPr>
      </w:pPr>
    </w:p>
    <w:p w14:paraId="1E7D0F27" w14:textId="025B2B44" w:rsidR="00844374" w:rsidRDefault="00B150D0" w:rsidP="005B410D">
      <w:pPr>
        <w:spacing w:after="120"/>
        <w:rPr>
          <w:rFonts w:eastAsia="SimSun"/>
          <w:sz w:val="20"/>
          <w:szCs w:val="20"/>
          <w:lang w:val="en-GB" w:eastAsia="en-GB"/>
        </w:rPr>
      </w:pPr>
      <w:r w:rsidRPr="00547A99">
        <w:rPr>
          <w:rFonts w:eastAsia="SimSun"/>
          <w:sz w:val="20"/>
          <w:szCs w:val="20"/>
          <w:lang w:val="en-GB" w:eastAsia="en-GB"/>
        </w:rPr>
        <w:t xml:space="preserve">Another issue related to scheduling restriction discussed in RAN4#104-e </w:t>
      </w:r>
      <w:r w:rsidR="00194BD1">
        <w:rPr>
          <w:rFonts w:eastAsia="SimSun"/>
          <w:sz w:val="20"/>
          <w:szCs w:val="20"/>
          <w:lang w:val="en-GB" w:eastAsia="en-GB"/>
        </w:rPr>
        <w:t xml:space="preserve">was whether to define the </w:t>
      </w:r>
      <w:r w:rsidR="00194BD1" w:rsidRPr="00194BD1">
        <w:rPr>
          <w:rFonts w:eastAsia="SimSun"/>
          <w:sz w:val="20"/>
          <w:szCs w:val="20"/>
          <w:lang w:val="en-GB" w:eastAsia="en-GB"/>
        </w:rPr>
        <w:t>scheduling restriction for non-serving cell</w:t>
      </w:r>
      <w:r w:rsidR="00194BD1">
        <w:rPr>
          <w:rFonts w:eastAsia="SimSun"/>
          <w:sz w:val="20"/>
          <w:szCs w:val="20"/>
          <w:lang w:val="en-GB" w:eastAsia="en-GB"/>
        </w:rPr>
        <w:t>:</w:t>
      </w:r>
    </w:p>
    <w:p w14:paraId="502E9046" w14:textId="77777777" w:rsidR="00C51E46" w:rsidRPr="00C51E46" w:rsidRDefault="00C51E46" w:rsidP="00C51E46">
      <w:pPr>
        <w:spacing w:after="120"/>
        <w:ind w:left="500"/>
        <w:rPr>
          <w:rFonts w:eastAsia="SimSun"/>
          <w:sz w:val="20"/>
          <w:szCs w:val="20"/>
          <w:lang w:eastAsia="en-GB"/>
        </w:rPr>
      </w:pPr>
      <w:r w:rsidRPr="00C51E46">
        <w:rPr>
          <w:rFonts w:eastAsia="SimSun"/>
          <w:b/>
          <w:bCs/>
          <w:sz w:val="20"/>
          <w:szCs w:val="20"/>
          <w:u w:val="single"/>
          <w:lang w:val="en-GB" w:eastAsia="en-GB"/>
        </w:rPr>
        <w:t>Issue 2-4-3 Whether to define scheduling restriction for non-serving cell</w:t>
      </w:r>
    </w:p>
    <w:p w14:paraId="25619B95" w14:textId="77777777" w:rsidR="00C51E46" w:rsidRPr="00C51E46" w:rsidRDefault="00C51E46" w:rsidP="00C51E46">
      <w:pPr>
        <w:numPr>
          <w:ilvl w:val="0"/>
          <w:numId w:val="3"/>
        </w:numPr>
        <w:spacing w:after="120"/>
        <w:ind w:left="1360"/>
        <w:rPr>
          <w:rFonts w:eastAsia="SimSun"/>
          <w:sz w:val="20"/>
          <w:szCs w:val="20"/>
          <w:lang w:val="sv-SE" w:eastAsia="en-GB"/>
        </w:rPr>
      </w:pPr>
      <w:r w:rsidRPr="00C51E46">
        <w:rPr>
          <w:rFonts w:eastAsia="SimSun"/>
          <w:sz w:val="20"/>
          <w:szCs w:val="20"/>
          <w:lang w:val="sv-SE" w:eastAsia="en-GB"/>
        </w:rPr>
        <w:t>Option 1:</w:t>
      </w:r>
    </w:p>
    <w:p w14:paraId="2C9A67EA" w14:textId="77777777" w:rsidR="00C51E46" w:rsidRPr="00C51E46" w:rsidRDefault="00C51E46" w:rsidP="00C51E46">
      <w:pPr>
        <w:numPr>
          <w:ilvl w:val="1"/>
          <w:numId w:val="3"/>
        </w:numPr>
        <w:spacing w:after="120"/>
        <w:ind w:left="2080"/>
        <w:rPr>
          <w:rFonts w:eastAsia="SimSun"/>
          <w:sz w:val="20"/>
          <w:szCs w:val="20"/>
          <w:lang w:val="en-GB" w:eastAsia="en-GB"/>
        </w:rPr>
      </w:pPr>
      <w:r w:rsidRPr="00C51E46">
        <w:rPr>
          <w:rFonts w:eastAsia="SimSun"/>
          <w:sz w:val="20"/>
          <w:szCs w:val="20"/>
          <w:lang w:eastAsia="en-GB"/>
        </w:rPr>
        <w:t>Introduce scheduling restriction on non-serving cell when UE performs L1-SINR measurement, BFD, CBD, RLM on serving cell.</w:t>
      </w:r>
    </w:p>
    <w:p w14:paraId="3A914C1B" w14:textId="77777777" w:rsidR="00C51E46" w:rsidRPr="00C51E46" w:rsidRDefault="00C51E46" w:rsidP="00C51E46">
      <w:pPr>
        <w:numPr>
          <w:ilvl w:val="0"/>
          <w:numId w:val="3"/>
        </w:numPr>
        <w:spacing w:after="120"/>
        <w:ind w:left="1360"/>
        <w:rPr>
          <w:rFonts w:eastAsia="SimSun"/>
          <w:sz w:val="20"/>
          <w:szCs w:val="20"/>
          <w:lang w:val="sv-SE" w:eastAsia="en-GB"/>
        </w:rPr>
      </w:pPr>
      <w:r w:rsidRPr="00C51E46">
        <w:rPr>
          <w:rFonts w:eastAsia="SimSun"/>
          <w:sz w:val="20"/>
          <w:szCs w:val="20"/>
          <w:lang w:val="sv-SE" w:eastAsia="en-GB"/>
        </w:rPr>
        <w:t>Option 2:</w:t>
      </w:r>
    </w:p>
    <w:p w14:paraId="73218850" w14:textId="77777777" w:rsidR="00C51E46" w:rsidRPr="00C51E46" w:rsidRDefault="00C51E46" w:rsidP="00C51E46">
      <w:pPr>
        <w:numPr>
          <w:ilvl w:val="1"/>
          <w:numId w:val="3"/>
        </w:numPr>
        <w:spacing w:after="120"/>
        <w:ind w:left="2080"/>
        <w:rPr>
          <w:rFonts w:eastAsia="SimSun"/>
          <w:sz w:val="20"/>
          <w:szCs w:val="20"/>
          <w:lang w:val="en-GB" w:eastAsia="en-GB"/>
        </w:rPr>
      </w:pPr>
      <w:r w:rsidRPr="00C51E46">
        <w:rPr>
          <w:rFonts w:eastAsia="SimSun"/>
          <w:sz w:val="20"/>
          <w:szCs w:val="20"/>
          <w:lang w:eastAsia="en-GB"/>
        </w:rPr>
        <w:lastRenderedPageBreak/>
        <w:t>Option 1 is not needed.</w:t>
      </w:r>
    </w:p>
    <w:p w14:paraId="7E97904A" w14:textId="178756C2" w:rsidR="00194BD1" w:rsidRDefault="00194BD1" w:rsidP="005B410D">
      <w:pPr>
        <w:spacing w:after="120"/>
        <w:rPr>
          <w:rFonts w:eastAsia="SimSun"/>
          <w:sz w:val="20"/>
          <w:szCs w:val="20"/>
          <w:lang w:val="en-GB" w:eastAsia="en-GB"/>
        </w:rPr>
      </w:pPr>
    </w:p>
    <w:p w14:paraId="3E17FBDC" w14:textId="6821771F" w:rsidR="00194BD1" w:rsidRDefault="00194BD1" w:rsidP="005B410D">
      <w:pPr>
        <w:spacing w:after="120"/>
        <w:rPr>
          <w:rFonts w:eastAsia="SimSun"/>
          <w:sz w:val="20"/>
          <w:szCs w:val="20"/>
          <w:lang w:val="en-GB" w:eastAsia="en-GB"/>
        </w:rPr>
      </w:pPr>
      <w:r>
        <w:rPr>
          <w:rFonts w:eastAsia="SimSun"/>
          <w:sz w:val="20"/>
          <w:szCs w:val="20"/>
          <w:lang w:val="en-GB" w:eastAsia="en-GB"/>
        </w:rPr>
        <w:t xml:space="preserve">The existing scheduling restrictions for L1 measurements on serving cell would also be applicable for </w:t>
      </w:r>
      <w:r w:rsidR="00C51E46">
        <w:rPr>
          <w:rFonts w:eastAsia="SimSun"/>
          <w:sz w:val="20"/>
          <w:szCs w:val="20"/>
          <w:lang w:val="en-GB" w:eastAsia="en-GB"/>
        </w:rPr>
        <w:t>reception of PDCCH/PDSCH from cell with different PCI, as the current scheduling restrictions are defined based on receiving PDCCH/PDSCH without any specific on which cell it</w:t>
      </w:r>
      <w:r w:rsidR="00DA4C6D">
        <w:rPr>
          <w:rFonts w:eastAsia="SimSun"/>
          <w:sz w:val="20"/>
          <w:szCs w:val="20"/>
          <w:lang w:val="en-GB" w:eastAsia="en-GB"/>
        </w:rPr>
        <w:t xml:space="preserve"> i</w:t>
      </w:r>
      <w:r w:rsidR="00C51E46">
        <w:rPr>
          <w:rFonts w:eastAsia="SimSun"/>
          <w:sz w:val="20"/>
          <w:szCs w:val="20"/>
          <w:lang w:val="en-GB" w:eastAsia="en-GB"/>
        </w:rPr>
        <w:t>s received from. Hence there is no further clarification needed to define scheduling restrictions for cell with different PCI</w:t>
      </w:r>
      <w:r w:rsidR="00452C74">
        <w:rPr>
          <w:rFonts w:eastAsia="SimSun"/>
          <w:sz w:val="20"/>
          <w:szCs w:val="20"/>
          <w:lang w:val="en-GB" w:eastAsia="en-GB"/>
        </w:rPr>
        <w:t>.</w:t>
      </w:r>
    </w:p>
    <w:p w14:paraId="2F267B3A" w14:textId="564816B5" w:rsidR="00452C74" w:rsidRPr="00452C74" w:rsidRDefault="00452C74" w:rsidP="005B410D">
      <w:pPr>
        <w:spacing w:after="120"/>
        <w:rPr>
          <w:rFonts w:eastAsia="SimSun"/>
          <w:b/>
          <w:bCs/>
          <w:sz w:val="20"/>
          <w:szCs w:val="20"/>
          <w:lang w:val="en-GB" w:eastAsia="en-GB"/>
        </w:rPr>
      </w:pPr>
      <w:r>
        <w:rPr>
          <w:rFonts w:eastAsia="SimSun"/>
          <w:b/>
          <w:bCs/>
          <w:sz w:val="20"/>
          <w:szCs w:val="20"/>
          <w:lang w:val="en-GB" w:eastAsia="en-GB"/>
        </w:rPr>
        <w:t xml:space="preserve">Proposal #3: The existing scheduling restrictions defined for L1 measurements on serving cell are applicable when UE is receiving PDCCH/PDSCH from cell with different PCI and no further clarification is required in specification. </w:t>
      </w:r>
    </w:p>
    <w:p w14:paraId="71E5AA49" w14:textId="23B71B42" w:rsidR="005D35F2" w:rsidRDefault="005D35F2" w:rsidP="005B410D">
      <w:pPr>
        <w:spacing w:after="120"/>
        <w:rPr>
          <w:rFonts w:eastAsia="SimSun"/>
          <w:iCs/>
          <w:sz w:val="20"/>
          <w:szCs w:val="20"/>
          <w:lang w:val="en-GB" w:eastAsia="en-GB"/>
        </w:rPr>
      </w:pPr>
    </w:p>
    <w:p w14:paraId="66ECB4A4" w14:textId="097E1D75" w:rsidR="00DA4C6D" w:rsidRPr="00DA4C6D" w:rsidRDefault="00DA4C6D" w:rsidP="00DA4C6D">
      <w:pPr>
        <w:pStyle w:val="Heading2"/>
        <w:numPr>
          <w:ilvl w:val="0"/>
          <w:numId w:val="0"/>
        </w:numPr>
        <w:ind w:left="720" w:hanging="720"/>
        <w:rPr>
          <w:rFonts w:ascii="Times New Roman" w:hAnsi="Times New Roman" w:cs="Times New Roman"/>
          <w:b/>
          <w:bCs/>
          <w:sz w:val="24"/>
          <w:szCs w:val="16"/>
        </w:rPr>
      </w:pPr>
      <w:r w:rsidRPr="00DA4C6D">
        <w:rPr>
          <w:rFonts w:ascii="Times New Roman" w:hAnsi="Times New Roman" w:cs="Times New Roman"/>
          <w:b/>
          <w:bCs/>
          <w:sz w:val="24"/>
          <w:szCs w:val="16"/>
        </w:rPr>
        <w:t>Applicability of ICBM feature</w:t>
      </w:r>
    </w:p>
    <w:p w14:paraId="64220D37" w14:textId="11106066" w:rsidR="00DA4C6D" w:rsidRDefault="00DA4C6D" w:rsidP="005B410D">
      <w:pPr>
        <w:spacing w:after="120"/>
        <w:rPr>
          <w:rFonts w:eastAsia="SimSun"/>
          <w:iCs/>
          <w:sz w:val="20"/>
          <w:szCs w:val="20"/>
          <w:lang w:val="en-GB" w:eastAsia="en-GB"/>
        </w:rPr>
      </w:pPr>
      <w:r>
        <w:rPr>
          <w:rFonts w:eastAsia="SimSun"/>
          <w:iCs/>
          <w:sz w:val="20"/>
          <w:szCs w:val="20"/>
          <w:lang w:val="en-GB" w:eastAsia="en-GB"/>
        </w:rPr>
        <w:t>For the applicability of ICBM feature, the following options were captured in [1]:</w:t>
      </w:r>
    </w:p>
    <w:p w14:paraId="17CC071A" w14:textId="77777777" w:rsidR="00DA4C6D" w:rsidRPr="00F24391" w:rsidRDefault="00DA4C6D" w:rsidP="00DA4C6D">
      <w:pPr>
        <w:spacing w:after="120"/>
        <w:rPr>
          <w:rFonts w:eastAsia="SimSun"/>
          <w:szCs w:val="20"/>
          <w:lang w:eastAsia="zh-CN"/>
        </w:rPr>
      </w:pPr>
      <w:r w:rsidRPr="00F24391">
        <w:rPr>
          <w:b/>
          <w:bCs/>
          <w:sz w:val="20"/>
          <w:szCs w:val="20"/>
          <w:u w:val="single"/>
          <w:lang w:eastAsia="zh-CN"/>
        </w:rPr>
        <w:t>Issue 2-5-1: Applicability of ICBM feature</w:t>
      </w:r>
    </w:p>
    <w:p w14:paraId="09392DD1" w14:textId="77777777" w:rsidR="00DA4C6D" w:rsidRPr="00F24391" w:rsidRDefault="00DA4C6D" w:rsidP="00DA4C6D">
      <w:pPr>
        <w:numPr>
          <w:ilvl w:val="0"/>
          <w:numId w:val="3"/>
        </w:numPr>
        <w:spacing w:after="120"/>
        <w:ind w:left="720"/>
        <w:rPr>
          <w:rFonts w:eastAsiaTheme="minorEastAsia"/>
          <w:sz w:val="20"/>
          <w:szCs w:val="20"/>
          <w:lang w:val="sv-SE" w:eastAsia="zh-CN"/>
        </w:rPr>
      </w:pPr>
      <w:r w:rsidRPr="00F24391">
        <w:rPr>
          <w:rFonts w:eastAsiaTheme="minorEastAsia"/>
          <w:sz w:val="20"/>
          <w:szCs w:val="20"/>
          <w:lang w:eastAsia="zh-CN"/>
        </w:rPr>
        <w:t>Option 1</w:t>
      </w:r>
      <w:r w:rsidRPr="00F24391">
        <w:rPr>
          <w:rFonts w:eastAsiaTheme="minorEastAsia"/>
          <w:sz w:val="20"/>
          <w:szCs w:val="20"/>
          <w:lang w:val="sv-SE" w:eastAsia="zh-CN"/>
        </w:rPr>
        <w:t>:</w:t>
      </w:r>
    </w:p>
    <w:p w14:paraId="719F5555" w14:textId="77777777" w:rsidR="00DA4C6D" w:rsidRPr="00F24391" w:rsidRDefault="00DA4C6D" w:rsidP="00DA4C6D">
      <w:pPr>
        <w:numPr>
          <w:ilvl w:val="1"/>
          <w:numId w:val="3"/>
        </w:numPr>
        <w:spacing w:after="120"/>
        <w:ind w:left="1656"/>
        <w:rPr>
          <w:sz w:val="20"/>
          <w:szCs w:val="20"/>
        </w:rPr>
      </w:pPr>
      <w:r w:rsidRPr="00F24391">
        <w:rPr>
          <w:sz w:val="20"/>
          <w:szCs w:val="20"/>
        </w:rPr>
        <w:t>For intra-band ICBM using common TCI configurations, different reference CCs in the same CC list between the serving cell and a cell with different PCI is not supported in R17.(</w:t>
      </w:r>
      <w:proofErr w:type="spellStart"/>
      <w:r w:rsidRPr="00F24391">
        <w:rPr>
          <w:sz w:val="20"/>
          <w:szCs w:val="20"/>
        </w:rPr>
        <w:t>ZTE,Intel</w:t>
      </w:r>
      <w:proofErr w:type="spellEnd"/>
      <w:r w:rsidRPr="00F24391">
        <w:rPr>
          <w:sz w:val="20"/>
          <w:szCs w:val="20"/>
        </w:rPr>
        <w:t>)</w:t>
      </w:r>
    </w:p>
    <w:p w14:paraId="089996BE" w14:textId="77777777" w:rsidR="00DA4C6D" w:rsidRPr="00F24391" w:rsidRDefault="00DA4C6D" w:rsidP="00DA4C6D">
      <w:pPr>
        <w:numPr>
          <w:ilvl w:val="1"/>
          <w:numId w:val="3"/>
        </w:numPr>
        <w:spacing w:after="120"/>
        <w:ind w:left="1656"/>
        <w:rPr>
          <w:sz w:val="20"/>
          <w:szCs w:val="20"/>
        </w:rPr>
      </w:pPr>
      <w:r w:rsidRPr="00F24391">
        <w:rPr>
          <w:sz w:val="20"/>
          <w:szCs w:val="20"/>
        </w:rPr>
        <w:t>For intra-band ICBM using common TCI configurations, requirements are defined for the case when SSB measurements for a cell with different PCI are only performed in the cell that has the same SSB frequency as the reference CC.</w:t>
      </w:r>
    </w:p>
    <w:p w14:paraId="0738AA0E" w14:textId="77777777" w:rsidR="00DA4C6D" w:rsidRPr="00F24391" w:rsidRDefault="00DA4C6D" w:rsidP="00DA4C6D">
      <w:pPr>
        <w:numPr>
          <w:ilvl w:val="1"/>
          <w:numId w:val="3"/>
        </w:numPr>
        <w:spacing w:after="120"/>
        <w:ind w:left="1656"/>
        <w:rPr>
          <w:sz w:val="20"/>
          <w:szCs w:val="20"/>
        </w:rPr>
      </w:pPr>
      <w:r w:rsidRPr="00F24391">
        <w:rPr>
          <w:sz w:val="20"/>
          <w:szCs w:val="20"/>
        </w:rPr>
        <w:t>R17 ICBM feature is applicable to FR1 HST and FR2 HST. If RAN4 identifies any issue in applying HST related enhancements to ICBM related RRM requirements, RAN4 solve them in the R17 maintenance phase. (ZTE, CMCC)</w:t>
      </w:r>
    </w:p>
    <w:p w14:paraId="23E082F3" w14:textId="77777777" w:rsidR="00DA4C6D" w:rsidRPr="00F24391" w:rsidRDefault="00DA4C6D" w:rsidP="00DA4C6D">
      <w:pPr>
        <w:numPr>
          <w:ilvl w:val="1"/>
          <w:numId w:val="3"/>
        </w:numPr>
        <w:spacing w:after="120"/>
        <w:ind w:left="1656"/>
        <w:rPr>
          <w:sz w:val="20"/>
          <w:szCs w:val="20"/>
        </w:rPr>
      </w:pPr>
      <w:r w:rsidRPr="00F24391">
        <w:rPr>
          <w:sz w:val="20"/>
          <w:szCs w:val="20"/>
        </w:rPr>
        <w:t>R17 ICBM feature is applicable to the scenarios when UE is configured with R17 enhanced gaps. If RAN4 identifies any issue in applying R17 enhanced gaps to ICBM related RRM requirements, RAN4 solve them in the R17 maintenance phase.</w:t>
      </w:r>
    </w:p>
    <w:p w14:paraId="770C7007" w14:textId="77777777" w:rsidR="00DA4C6D" w:rsidRPr="00F24391" w:rsidRDefault="00DA4C6D" w:rsidP="00DA4C6D">
      <w:pPr>
        <w:numPr>
          <w:ilvl w:val="0"/>
          <w:numId w:val="3"/>
        </w:numPr>
        <w:spacing w:after="120"/>
        <w:ind w:left="720"/>
        <w:rPr>
          <w:rFonts w:eastAsiaTheme="minorEastAsia"/>
          <w:sz w:val="20"/>
          <w:szCs w:val="20"/>
          <w:lang w:val="sv-SE" w:eastAsia="zh-CN"/>
        </w:rPr>
      </w:pPr>
      <w:r w:rsidRPr="00F24391">
        <w:rPr>
          <w:rFonts w:eastAsiaTheme="minorEastAsia"/>
          <w:sz w:val="20"/>
          <w:szCs w:val="20"/>
          <w:lang w:eastAsia="zh-CN"/>
        </w:rPr>
        <w:t>Option 2</w:t>
      </w:r>
      <w:r w:rsidRPr="00F24391">
        <w:rPr>
          <w:rFonts w:eastAsiaTheme="minorEastAsia"/>
          <w:sz w:val="20"/>
          <w:szCs w:val="20"/>
          <w:lang w:val="sv-SE" w:eastAsia="zh-CN"/>
        </w:rPr>
        <w:t>:</w:t>
      </w:r>
    </w:p>
    <w:p w14:paraId="3332AEE2" w14:textId="77777777" w:rsidR="00DA4C6D" w:rsidRPr="00F24391" w:rsidRDefault="00DA4C6D" w:rsidP="00DA4C6D">
      <w:pPr>
        <w:numPr>
          <w:ilvl w:val="1"/>
          <w:numId w:val="3"/>
        </w:numPr>
        <w:spacing w:after="120"/>
        <w:ind w:left="1656"/>
        <w:rPr>
          <w:sz w:val="20"/>
          <w:szCs w:val="20"/>
        </w:rPr>
      </w:pPr>
      <w:r w:rsidRPr="00F24391">
        <w:rPr>
          <w:sz w:val="20"/>
          <w:szCs w:val="20"/>
        </w:rPr>
        <w:t>Not in favor of extending ICBM requirements for concurrent R17 Wis</w:t>
      </w:r>
    </w:p>
    <w:p w14:paraId="3C4EF09D" w14:textId="6634C4F9" w:rsidR="00DA4C6D" w:rsidRPr="00F24391" w:rsidRDefault="00DA4C6D" w:rsidP="005B410D">
      <w:pPr>
        <w:spacing w:after="120"/>
        <w:rPr>
          <w:rFonts w:eastAsia="SimSun"/>
          <w:iCs/>
          <w:sz w:val="18"/>
          <w:szCs w:val="18"/>
          <w:lang w:val="en-GB" w:eastAsia="en-GB"/>
        </w:rPr>
      </w:pPr>
    </w:p>
    <w:p w14:paraId="1175735B" w14:textId="61D716F0" w:rsidR="00DA4C6D" w:rsidRPr="00F24391" w:rsidRDefault="00DA4C6D" w:rsidP="005B410D">
      <w:pPr>
        <w:spacing w:after="120"/>
        <w:rPr>
          <w:rFonts w:eastAsia="SimSun"/>
          <w:iCs/>
          <w:sz w:val="18"/>
          <w:szCs w:val="18"/>
          <w:lang w:val="en-GB" w:eastAsia="en-GB"/>
        </w:rPr>
      </w:pPr>
    </w:p>
    <w:p w14:paraId="1397EDD3" w14:textId="7028BADF" w:rsidR="00DA4C6D" w:rsidRDefault="00DA4C6D" w:rsidP="005B410D">
      <w:pPr>
        <w:spacing w:after="120"/>
        <w:rPr>
          <w:rFonts w:eastAsia="SimSun"/>
          <w:iCs/>
          <w:sz w:val="20"/>
          <w:szCs w:val="20"/>
          <w:lang w:val="en-GB" w:eastAsia="en-GB"/>
        </w:rPr>
      </w:pPr>
      <w:r>
        <w:rPr>
          <w:rFonts w:eastAsia="SimSun"/>
          <w:iCs/>
          <w:sz w:val="20"/>
          <w:szCs w:val="20"/>
          <w:lang w:val="en-GB" w:eastAsia="en-GB"/>
        </w:rPr>
        <w:t xml:space="preserve">In </w:t>
      </w:r>
      <w:r w:rsidR="00F24391">
        <w:rPr>
          <w:rFonts w:eastAsia="SimSun"/>
          <w:iCs/>
          <w:sz w:val="20"/>
          <w:szCs w:val="20"/>
          <w:lang w:val="en-GB" w:eastAsia="en-GB"/>
        </w:rPr>
        <w:t xml:space="preserve">general, the principle used in RAN4 is that we don’t combine features and requirements across different concurrent WIs in a release, unless there is a prior agreement to do so. Based on that We propose not to extend or define requirements for ICBM for other features like </w:t>
      </w:r>
      <w:r w:rsidR="003534E5">
        <w:rPr>
          <w:rFonts w:eastAsia="SimSun"/>
          <w:iCs/>
          <w:sz w:val="20"/>
          <w:szCs w:val="20"/>
          <w:lang w:val="en-GB" w:eastAsia="en-GB"/>
        </w:rPr>
        <w:t xml:space="preserve">FR1 HST, FR2 HST, enhanced gaps, etc. This should be discussed in future release with clear motivation and work scope agreement. </w:t>
      </w:r>
    </w:p>
    <w:p w14:paraId="4CC8FD7D" w14:textId="66FE68D8" w:rsidR="003534E5" w:rsidRDefault="003534E5" w:rsidP="005B410D">
      <w:pPr>
        <w:spacing w:after="120"/>
        <w:rPr>
          <w:rFonts w:eastAsia="SimSun"/>
          <w:i/>
          <w:sz w:val="20"/>
          <w:szCs w:val="20"/>
          <w:lang w:val="en-GB" w:eastAsia="en-GB"/>
        </w:rPr>
      </w:pPr>
      <w:r>
        <w:rPr>
          <w:rFonts w:eastAsia="SimSun"/>
          <w:b/>
          <w:bCs/>
          <w:i/>
          <w:sz w:val="20"/>
          <w:szCs w:val="20"/>
          <w:lang w:val="en-GB" w:eastAsia="en-GB"/>
        </w:rPr>
        <w:t xml:space="preserve">Observation #3: </w:t>
      </w:r>
      <w:r>
        <w:rPr>
          <w:rFonts w:eastAsia="SimSun"/>
          <w:i/>
          <w:sz w:val="20"/>
          <w:szCs w:val="20"/>
          <w:lang w:val="en-GB" w:eastAsia="en-GB"/>
        </w:rPr>
        <w:t xml:space="preserve">Without prior agreement, we don’t extend or define requirements for concurrent WIs in the same release. </w:t>
      </w:r>
    </w:p>
    <w:p w14:paraId="29C9ADF5" w14:textId="64E51A0E" w:rsidR="003534E5" w:rsidRPr="003534E5" w:rsidRDefault="003534E5" w:rsidP="005B410D">
      <w:pPr>
        <w:spacing w:after="120"/>
        <w:rPr>
          <w:rFonts w:eastAsia="SimSun"/>
          <w:b/>
          <w:bCs/>
          <w:iCs/>
          <w:sz w:val="20"/>
          <w:szCs w:val="20"/>
          <w:lang w:val="en-GB" w:eastAsia="en-GB"/>
        </w:rPr>
      </w:pPr>
      <w:r>
        <w:rPr>
          <w:rFonts w:eastAsia="SimSun"/>
          <w:b/>
          <w:bCs/>
          <w:iCs/>
          <w:sz w:val="20"/>
          <w:szCs w:val="20"/>
          <w:lang w:val="en-GB" w:eastAsia="en-GB"/>
        </w:rPr>
        <w:t>Proposal #4: Do not extend the ICBM feature and/or requirements to other concurrent Rel-17 WIs</w:t>
      </w:r>
    </w:p>
    <w:p w14:paraId="0BBEF65B" w14:textId="647DA770" w:rsidR="00DA4C6D" w:rsidRDefault="003534E5" w:rsidP="005B410D">
      <w:pPr>
        <w:spacing w:after="120"/>
        <w:rPr>
          <w:rFonts w:eastAsia="SimSun"/>
          <w:iCs/>
          <w:sz w:val="20"/>
          <w:szCs w:val="20"/>
          <w:lang w:val="en-GB" w:eastAsia="en-GB"/>
        </w:rPr>
      </w:pPr>
      <w:r>
        <w:rPr>
          <w:rFonts w:eastAsia="SimSun"/>
          <w:iCs/>
          <w:sz w:val="20"/>
          <w:szCs w:val="20"/>
          <w:lang w:val="en-GB" w:eastAsia="en-GB"/>
        </w:rPr>
        <w:t>The first 2 bullets in option 1 above propose to restrict applicability of common TCI to scenarios where serving cell is defined as the reference CC</w:t>
      </w:r>
      <w:r w:rsidR="00C21117">
        <w:rPr>
          <w:rFonts w:eastAsia="SimSun"/>
          <w:iCs/>
          <w:sz w:val="20"/>
          <w:szCs w:val="20"/>
          <w:lang w:val="en-GB" w:eastAsia="en-GB"/>
        </w:rPr>
        <w:t>.</w:t>
      </w:r>
      <w:r>
        <w:rPr>
          <w:rFonts w:eastAsia="SimSun"/>
          <w:iCs/>
          <w:sz w:val="20"/>
          <w:szCs w:val="20"/>
          <w:lang w:val="en-GB" w:eastAsia="en-GB"/>
        </w:rPr>
        <w:t xml:space="preserve"> In ou</w:t>
      </w:r>
      <w:r w:rsidR="00C21117">
        <w:rPr>
          <w:rFonts w:eastAsia="SimSun"/>
          <w:iCs/>
          <w:sz w:val="20"/>
          <w:szCs w:val="20"/>
          <w:lang w:val="en-GB" w:eastAsia="en-GB"/>
        </w:rPr>
        <w:t>r</w:t>
      </w:r>
      <w:r>
        <w:rPr>
          <w:rFonts w:eastAsia="SimSun"/>
          <w:iCs/>
          <w:sz w:val="20"/>
          <w:szCs w:val="20"/>
          <w:lang w:val="en-GB" w:eastAsia="en-GB"/>
        </w:rPr>
        <w:t xml:space="preserve"> understanding common TCI is applicable to serving CCs of a cell. For ICBM, the additional cell or cell with different PCI is not a serving cell or CC, hence we don’t think </w:t>
      </w:r>
      <w:r w:rsidR="00C21117">
        <w:rPr>
          <w:rFonts w:eastAsia="SimSun"/>
          <w:iCs/>
          <w:sz w:val="20"/>
          <w:szCs w:val="20"/>
          <w:lang w:val="en-GB" w:eastAsia="en-GB"/>
        </w:rPr>
        <w:t>the common TCI can apply to it. We don’t think the scenario in the first 2 bullets is possible.</w:t>
      </w:r>
    </w:p>
    <w:p w14:paraId="438D6F05" w14:textId="11851C7F" w:rsidR="00C21117" w:rsidRDefault="00C21117" w:rsidP="005B410D">
      <w:pPr>
        <w:spacing w:after="120"/>
        <w:rPr>
          <w:rFonts w:eastAsia="SimSun"/>
          <w:i/>
          <w:sz w:val="20"/>
          <w:szCs w:val="20"/>
          <w:lang w:val="en-GB" w:eastAsia="en-GB"/>
        </w:rPr>
      </w:pPr>
      <w:r>
        <w:rPr>
          <w:rFonts w:eastAsia="SimSun"/>
          <w:b/>
          <w:bCs/>
          <w:i/>
          <w:sz w:val="20"/>
          <w:szCs w:val="20"/>
          <w:lang w:val="en-GB" w:eastAsia="en-GB"/>
        </w:rPr>
        <w:t xml:space="preserve">Observation #4: </w:t>
      </w:r>
      <w:r>
        <w:rPr>
          <w:rFonts w:eastAsia="SimSun"/>
          <w:i/>
          <w:sz w:val="20"/>
          <w:szCs w:val="20"/>
          <w:lang w:val="en-GB" w:eastAsia="en-GB"/>
        </w:rPr>
        <w:t>The cell with different PCI is nor a serving cell or serving CC, hence common TCI would not be applicable to it.</w:t>
      </w:r>
    </w:p>
    <w:p w14:paraId="3AA2F301" w14:textId="611DBEC9" w:rsidR="00C21117" w:rsidRPr="00C21117" w:rsidRDefault="00C21117" w:rsidP="005B410D">
      <w:pPr>
        <w:spacing w:after="120"/>
        <w:rPr>
          <w:rFonts w:eastAsia="SimSun"/>
          <w:b/>
          <w:bCs/>
          <w:iCs/>
          <w:sz w:val="20"/>
          <w:szCs w:val="20"/>
          <w:lang w:val="en-GB" w:eastAsia="en-GB"/>
        </w:rPr>
      </w:pPr>
      <w:r>
        <w:rPr>
          <w:rFonts w:eastAsia="SimSun"/>
          <w:b/>
          <w:bCs/>
          <w:iCs/>
          <w:sz w:val="20"/>
          <w:szCs w:val="20"/>
          <w:lang w:val="en-GB" w:eastAsia="en-GB"/>
        </w:rPr>
        <w:t xml:space="preserve">Proposal #5: Common TCI configurations do not include cell with different PCI configured for ICBM per RAN1/ RAN2 design. No further clarification is needed in RAN4. </w:t>
      </w:r>
    </w:p>
    <w:p w14:paraId="0B3141EF" w14:textId="77777777" w:rsidR="009F52D7" w:rsidRPr="002F79EB" w:rsidRDefault="009F52D7" w:rsidP="009F52D7">
      <w:pPr>
        <w:pStyle w:val="Heading1"/>
        <w:rPr>
          <w:lang w:val="en-US"/>
        </w:rPr>
      </w:pPr>
      <w:r>
        <w:rPr>
          <w:lang w:val="en-US"/>
        </w:rPr>
        <w:lastRenderedPageBreak/>
        <w:t>3. Conclusion</w:t>
      </w:r>
    </w:p>
    <w:p w14:paraId="7BBB2F9C" w14:textId="4C07AD10" w:rsidR="009F52D7" w:rsidRDefault="009F52D7" w:rsidP="005B410D">
      <w:pPr>
        <w:spacing w:after="120"/>
        <w:rPr>
          <w:sz w:val="20"/>
          <w:szCs w:val="20"/>
        </w:rPr>
      </w:pPr>
      <w:r w:rsidRPr="006A3366">
        <w:rPr>
          <w:sz w:val="20"/>
          <w:szCs w:val="20"/>
        </w:rPr>
        <w:t xml:space="preserve">In this paper, we provide our </w:t>
      </w:r>
      <w:r w:rsidR="006A3366" w:rsidRPr="006A3366">
        <w:rPr>
          <w:sz w:val="20"/>
          <w:szCs w:val="20"/>
        </w:rPr>
        <w:t>views on requirements for intercell beam management</w:t>
      </w:r>
      <w:r w:rsidRPr="006A3366">
        <w:rPr>
          <w:sz w:val="20"/>
          <w:szCs w:val="20"/>
        </w:rPr>
        <w:t>. Our observations and proposals are captured below:</w:t>
      </w:r>
    </w:p>
    <w:p w14:paraId="5D870B9D" w14:textId="3BCEFCE6" w:rsidR="00521AD6" w:rsidRPr="00521AD6" w:rsidRDefault="00521AD6" w:rsidP="005B410D">
      <w:pPr>
        <w:spacing w:after="120"/>
        <w:rPr>
          <w:b/>
          <w:bCs/>
          <w:sz w:val="20"/>
          <w:szCs w:val="20"/>
          <w:u w:val="single"/>
        </w:rPr>
      </w:pPr>
      <w:r w:rsidRPr="00521AD6">
        <w:rPr>
          <w:b/>
          <w:bCs/>
          <w:sz w:val="20"/>
          <w:szCs w:val="20"/>
          <w:u w:val="single"/>
        </w:rPr>
        <w:t>Sharing factors</w:t>
      </w:r>
    </w:p>
    <w:p w14:paraId="6D77DDC9" w14:textId="77777777" w:rsidR="00DA4C6D" w:rsidRDefault="00DA4C6D" w:rsidP="00DA4C6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The tentatively agreed sharing factor design doesn’t impact existing L3 measurements and considers the occasions after considering SMTC and MG into account. </w:t>
      </w:r>
    </w:p>
    <w:p w14:paraId="32F8355D" w14:textId="77777777" w:rsidR="0074762F" w:rsidRDefault="0074762F" w:rsidP="0074762F">
      <w:pPr>
        <w:spacing w:after="120"/>
        <w:rPr>
          <w:rFonts w:eastAsia="SimSun"/>
          <w:b/>
          <w:bCs/>
          <w:sz w:val="20"/>
          <w:szCs w:val="20"/>
          <w:lang w:val="en-GB" w:eastAsia="en-GB"/>
        </w:rPr>
      </w:pPr>
      <w:r>
        <w:rPr>
          <w:rFonts w:eastAsia="SimSun"/>
          <w:b/>
          <w:bCs/>
          <w:sz w:val="20"/>
          <w:szCs w:val="20"/>
          <w:lang w:val="en-GB" w:eastAsia="en-GB"/>
        </w:rPr>
        <w:t>Proposal #1: 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449"/>
        <w:gridCol w:w="2500"/>
        <w:gridCol w:w="3305"/>
        <w:gridCol w:w="3096"/>
      </w:tblGrid>
      <w:tr w:rsidR="0074762F" w14:paraId="6861D4E0" w14:textId="77777777" w:rsidTr="00036EC8">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7723FABD" w14:textId="77777777" w:rsidR="0074762F" w:rsidRDefault="0074762F" w:rsidP="00036EC8">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3A570937" w14:textId="77777777" w:rsidR="0074762F" w:rsidRDefault="0074762F" w:rsidP="00036EC8">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380953D4" w14:textId="77777777" w:rsidR="0074762F" w:rsidRDefault="0074762F" w:rsidP="00036EC8">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58E1C57B" w14:textId="77777777" w:rsidR="0074762F" w:rsidRDefault="0074762F" w:rsidP="00036EC8">
            <w:pPr>
              <w:spacing w:after="120"/>
              <w:jc w:val="center"/>
              <w:rPr>
                <w:b/>
                <w:color w:val="000000" w:themeColor="text1"/>
                <w:lang w:eastAsia="en-GB"/>
              </w:rPr>
            </w:pPr>
            <w:r>
              <w:rPr>
                <w:b/>
                <w:color w:val="000000" w:themeColor="text1"/>
                <w:lang w:eastAsia="en-GB"/>
              </w:rPr>
              <w:t>P for cell with different PCI</w:t>
            </w:r>
          </w:p>
        </w:tc>
      </w:tr>
      <w:tr w:rsidR="0074762F" w14:paraId="631395A1" w14:textId="77777777" w:rsidTr="00036EC8">
        <w:trPr>
          <w:jc w:val="center"/>
        </w:trPr>
        <w:tc>
          <w:tcPr>
            <w:tcW w:w="449" w:type="dxa"/>
            <w:vAlign w:val="center"/>
          </w:tcPr>
          <w:p w14:paraId="0C308360" w14:textId="77777777" w:rsidR="0074762F" w:rsidRDefault="0074762F" w:rsidP="00036EC8">
            <w:pPr>
              <w:rPr>
                <w:color w:val="000000" w:themeColor="text1"/>
              </w:rPr>
            </w:pPr>
            <w:r>
              <w:rPr>
                <w:color w:val="000000" w:themeColor="text1"/>
                <w:lang w:eastAsia="en-GB"/>
              </w:rPr>
              <w:t>1</w:t>
            </w:r>
          </w:p>
        </w:tc>
        <w:tc>
          <w:tcPr>
            <w:tcW w:w="2500" w:type="dxa"/>
            <w:vAlign w:val="center"/>
          </w:tcPr>
          <w:p w14:paraId="3C2C9FDD" w14:textId="77777777" w:rsidR="0074762F" w:rsidRDefault="0074762F"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16FDBEA6" w14:textId="77777777" w:rsidR="0074762F" w:rsidRDefault="0074762F" w:rsidP="00036EC8">
            <w:pPr>
              <w:rPr>
                <w:color w:val="000000" w:themeColor="text1"/>
              </w:rPr>
            </w:pPr>
          </w:p>
        </w:tc>
        <w:tc>
          <w:tcPr>
            <w:tcW w:w="3305" w:type="dxa"/>
          </w:tcPr>
          <w:p w14:paraId="1F87A639" w14:textId="77777777" w:rsidR="0074762F" w:rsidRDefault="0074762F"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320089DC" w14:textId="77777777" w:rsidR="0074762F" w:rsidRDefault="0074762F" w:rsidP="00036EC8">
            <w:pPr>
              <w:rPr>
                <w:color w:val="000000" w:themeColor="text1"/>
              </w:rPr>
            </w:pPr>
          </w:p>
        </w:tc>
        <w:tc>
          <w:tcPr>
            <w:tcW w:w="3096" w:type="dxa"/>
          </w:tcPr>
          <w:p w14:paraId="59B59CC1" w14:textId="77777777" w:rsidR="0074762F" w:rsidRDefault="0074762F"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274B7E2B" w14:textId="77777777" w:rsidR="0074762F" w:rsidRDefault="0074762F" w:rsidP="00036EC8">
            <w:pPr>
              <w:rPr>
                <w:color w:val="000000" w:themeColor="text1"/>
              </w:rPr>
            </w:pPr>
          </w:p>
          <w:p w14:paraId="1633FA3C" w14:textId="77777777" w:rsidR="0074762F" w:rsidRDefault="0074762F" w:rsidP="00036EC8">
            <w:pPr>
              <w:rPr>
                <w:color w:val="000000" w:themeColor="text1"/>
              </w:rPr>
            </w:pPr>
          </w:p>
        </w:tc>
      </w:tr>
      <w:tr w:rsidR="0074762F" w14:paraId="6991AB04" w14:textId="77777777" w:rsidTr="00036EC8">
        <w:trPr>
          <w:jc w:val="center"/>
        </w:trPr>
        <w:tc>
          <w:tcPr>
            <w:tcW w:w="449" w:type="dxa"/>
          </w:tcPr>
          <w:p w14:paraId="0160266C" w14:textId="77777777" w:rsidR="0074762F" w:rsidRDefault="0074762F" w:rsidP="00036EC8">
            <w:pPr>
              <w:rPr>
                <w:color w:val="000000" w:themeColor="text1"/>
              </w:rPr>
            </w:pPr>
            <w:r>
              <w:rPr>
                <w:color w:val="000000" w:themeColor="text1"/>
              </w:rPr>
              <w:t>2</w:t>
            </w:r>
          </w:p>
        </w:tc>
        <w:tc>
          <w:tcPr>
            <w:tcW w:w="2500" w:type="dxa"/>
          </w:tcPr>
          <w:p w14:paraId="60AEA40C" w14:textId="77777777" w:rsidR="0074762F" w:rsidRDefault="0074762F"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26D83DA6" w14:textId="77777777" w:rsidR="0074762F" w:rsidRDefault="0074762F" w:rsidP="00036EC8">
            <w:pPr>
              <w:rPr>
                <w:color w:val="000000" w:themeColor="text1"/>
              </w:rPr>
            </w:pPr>
            <w:r>
              <w:rPr>
                <w:color w:val="000000" w:themeColor="text1"/>
              </w:rPr>
              <w:t>All occasions of SSB of SC collide with CDP, MG and/or SMTC</w:t>
            </w:r>
          </w:p>
        </w:tc>
        <w:tc>
          <w:tcPr>
            <w:tcW w:w="3305" w:type="dxa"/>
          </w:tcPr>
          <w:p w14:paraId="50C1CDB7" w14:textId="77777777" w:rsidR="0074762F" w:rsidRDefault="0074762F"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35FDB91A" w14:textId="77777777" w:rsidR="0074762F" w:rsidRDefault="0074762F" w:rsidP="00036EC8">
            <w:pPr>
              <w:rPr>
                <w:color w:val="000000" w:themeColor="text1"/>
              </w:rPr>
            </w:pPr>
          </w:p>
        </w:tc>
        <w:tc>
          <w:tcPr>
            <w:tcW w:w="3096" w:type="dxa"/>
          </w:tcPr>
          <w:p w14:paraId="61B2E931" w14:textId="77777777" w:rsidR="0074762F" w:rsidRDefault="0074762F" w:rsidP="00036EC8">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27A8F955" w14:textId="77777777" w:rsidR="0074762F" w:rsidRDefault="0074762F" w:rsidP="00036EC8">
            <w:pPr>
              <w:rPr>
                <w:color w:val="000000" w:themeColor="text1"/>
              </w:rPr>
            </w:pPr>
          </w:p>
          <w:p w14:paraId="18720760" w14:textId="77777777" w:rsidR="0074762F" w:rsidRDefault="0074762F" w:rsidP="00036EC8">
            <w:pPr>
              <w:rPr>
                <w:color w:val="000000" w:themeColor="text1"/>
              </w:rPr>
            </w:pPr>
          </w:p>
        </w:tc>
      </w:tr>
      <w:tr w:rsidR="0074762F" w14:paraId="60DFA312" w14:textId="77777777" w:rsidTr="00036EC8">
        <w:trPr>
          <w:jc w:val="center"/>
        </w:trPr>
        <w:tc>
          <w:tcPr>
            <w:tcW w:w="449" w:type="dxa"/>
          </w:tcPr>
          <w:p w14:paraId="145A9AB0" w14:textId="77777777" w:rsidR="0074762F" w:rsidRDefault="0074762F" w:rsidP="00036EC8">
            <w:pPr>
              <w:rPr>
                <w:color w:val="000000" w:themeColor="text1"/>
              </w:rPr>
            </w:pPr>
            <w:r>
              <w:rPr>
                <w:color w:val="000000" w:themeColor="text1"/>
              </w:rPr>
              <w:t>3</w:t>
            </w:r>
          </w:p>
        </w:tc>
        <w:tc>
          <w:tcPr>
            <w:tcW w:w="2500" w:type="dxa"/>
          </w:tcPr>
          <w:p w14:paraId="72ED0A6E" w14:textId="77777777" w:rsidR="0074762F" w:rsidRDefault="0074762F"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AB61C85" w14:textId="77777777" w:rsidR="0074762F" w:rsidRDefault="0074762F" w:rsidP="00036EC8">
            <w:pPr>
              <w:rPr>
                <w:color w:val="000000" w:themeColor="text1"/>
              </w:rPr>
            </w:pPr>
            <w:r>
              <w:rPr>
                <w:color w:val="000000" w:themeColor="text1"/>
              </w:rPr>
              <w:t>All occasions of SSB of SC collide with CDP, MG and/or SMTC</w:t>
            </w:r>
          </w:p>
        </w:tc>
        <w:tc>
          <w:tcPr>
            <w:tcW w:w="3305" w:type="dxa"/>
          </w:tcPr>
          <w:p w14:paraId="0770C5DB" w14:textId="77777777" w:rsidR="0074762F" w:rsidRDefault="0074762F" w:rsidP="00036EC8">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C630421" w14:textId="77777777" w:rsidR="0074762F" w:rsidRDefault="0074762F" w:rsidP="00036EC8">
            <w:pPr>
              <w:rPr>
                <w:color w:val="000000" w:themeColor="text1"/>
              </w:rPr>
            </w:pPr>
          </w:p>
        </w:tc>
        <w:tc>
          <w:tcPr>
            <w:tcW w:w="3096" w:type="dxa"/>
          </w:tcPr>
          <w:p w14:paraId="4DA227DA" w14:textId="77777777" w:rsidR="0074762F" w:rsidRDefault="0074762F" w:rsidP="00036EC8">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74762F" w14:paraId="287672D3" w14:textId="77777777" w:rsidTr="00036EC8">
        <w:trPr>
          <w:jc w:val="center"/>
        </w:trPr>
        <w:tc>
          <w:tcPr>
            <w:tcW w:w="449" w:type="dxa"/>
          </w:tcPr>
          <w:p w14:paraId="7E7FD150" w14:textId="77777777" w:rsidR="0074762F" w:rsidRDefault="0074762F" w:rsidP="00036EC8">
            <w:pPr>
              <w:rPr>
                <w:color w:val="000000" w:themeColor="text1"/>
              </w:rPr>
            </w:pPr>
            <w:r>
              <w:rPr>
                <w:color w:val="000000" w:themeColor="text1"/>
              </w:rPr>
              <w:t>4</w:t>
            </w:r>
          </w:p>
        </w:tc>
        <w:tc>
          <w:tcPr>
            <w:tcW w:w="2500" w:type="dxa"/>
          </w:tcPr>
          <w:p w14:paraId="088DD9DC" w14:textId="77777777" w:rsidR="0074762F" w:rsidRDefault="0074762F"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44EB80B3" w14:textId="77777777" w:rsidR="0074762F" w:rsidRDefault="0074762F" w:rsidP="00036EC8">
            <w:pPr>
              <w:rPr>
                <w:color w:val="000000" w:themeColor="text1"/>
              </w:rPr>
            </w:pPr>
            <w:r>
              <w:rPr>
                <w:color w:val="000000" w:themeColor="text1"/>
              </w:rPr>
              <w:t>Not all occasions of SSB of SC collide with CDP, MG and/or SMTC</w:t>
            </w:r>
          </w:p>
        </w:tc>
        <w:tc>
          <w:tcPr>
            <w:tcW w:w="3305" w:type="dxa"/>
          </w:tcPr>
          <w:p w14:paraId="19B51A36" w14:textId="77777777" w:rsidR="0074762F"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53BB5286" w14:textId="77777777" w:rsidR="0074762F" w:rsidRDefault="0074762F" w:rsidP="00036EC8">
            <w:pPr>
              <w:rPr>
                <w:color w:val="000000" w:themeColor="text1"/>
              </w:rPr>
            </w:pPr>
          </w:p>
        </w:tc>
        <w:tc>
          <w:tcPr>
            <w:tcW w:w="3096" w:type="dxa"/>
          </w:tcPr>
          <w:p w14:paraId="5459AE67" w14:textId="77777777" w:rsidR="0074762F"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0F848973" w14:textId="77777777" w:rsidR="0074762F" w:rsidRDefault="0074762F" w:rsidP="00036EC8">
            <w:pPr>
              <w:rPr>
                <w:color w:val="000000" w:themeColor="text1"/>
              </w:rPr>
            </w:pPr>
          </w:p>
          <w:p w14:paraId="6A99C70F" w14:textId="77777777" w:rsidR="0074762F" w:rsidRDefault="0074762F" w:rsidP="00036EC8">
            <w:pPr>
              <w:rPr>
                <w:color w:val="000000" w:themeColor="text1"/>
              </w:rPr>
            </w:pPr>
          </w:p>
        </w:tc>
      </w:tr>
      <w:tr w:rsidR="0074762F" w14:paraId="68B83109" w14:textId="77777777" w:rsidTr="00036EC8">
        <w:trPr>
          <w:jc w:val="center"/>
        </w:trPr>
        <w:tc>
          <w:tcPr>
            <w:tcW w:w="449" w:type="dxa"/>
          </w:tcPr>
          <w:p w14:paraId="631FE377" w14:textId="77777777" w:rsidR="0074762F" w:rsidRDefault="0074762F" w:rsidP="00036EC8">
            <w:pPr>
              <w:rPr>
                <w:color w:val="000000" w:themeColor="text1"/>
              </w:rPr>
            </w:pPr>
            <w:r>
              <w:rPr>
                <w:color w:val="000000" w:themeColor="text1"/>
              </w:rPr>
              <w:t>5</w:t>
            </w:r>
          </w:p>
        </w:tc>
        <w:tc>
          <w:tcPr>
            <w:tcW w:w="2500" w:type="dxa"/>
          </w:tcPr>
          <w:p w14:paraId="59662BC3" w14:textId="77777777" w:rsidR="0074762F" w:rsidRDefault="0074762F" w:rsidP="00036EC8">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3FA9C862" w14:textId="77777777" w:rsidR="0074762F" w:rsidRDefault="0074762F" w:rsidP="00036EC8">
            <w:pPr>
              <w:rPr>
                <w:color w:val="000000" w:themeColor="text1"/>
              </w:rPr>
            </w:pPr>
            <w:r>
              <w:rPr>
                <w:color w:val="000000" w:themeColor="text1"/>
              </w:rPr>
              <w:t>Not all occasions of SSB of CDP collide with SC, MG and/or SMTC</w:t>
            </w:r>
          </w:p>
        </w:tc>
        <w:tc>
          <w:tcPr>
            <w:tcW w:w="3305" w:type="dxa"/>
          </w:tcPr>
          <w:p w14:paraId="6F792AB2" w14:textId="77777777" w:rsidR="0074762F"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667D95D" w14:textId="77777777" w:rsidR="0074762F" w:rsidRDefault="0074762F" w:rsidP="00036EC8">
            <w:pPr>
              <w:rPr>
                <w:color w:val="000000" w:themeColor="text1"/>
              </w:rPr>
            </w:pPr>
          </w:p>
        </w:tc>
        <w:tc>
          <w:tcPr>
            <w:tcW w:w="3096" w:type="dxa"/>
          </w:tcPr>
          <w:p w14:paraId="290A9170" w14:textId="77777777" w:rsidR="0074762F" w:rsidRDefault="00000000" w:rsidP="00036EC8">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157A4890" w14:textId="77777777" w:rsidR="0074762F" w:rsidRDefault="0074762F" w:rsidP="00036EC8">
            <w:pPr>
              <w:rPr>
                <w:color w:val="000000" w:themeColor="text1"/>
              </w:rPr>
            </w:pPr>
          </w:p>
          <w:p w14:paraId="0F3E6BBF" w14:textId="77777777" w:rsidR="0074762F" w:rsidRDefault="0074762F" w:rsidP="00036EC8">
            <w:pPr>
              <w:rPr>
                <w:color w:val="000000" w:themeColor="text1"/>
              </w:rPr>
            </w:pPr>
          </w:p>
        </w:tc>
      </w:tr>
      <w:tr w:rsidR="0074762F" w14:paraId="55DE5E69" w14:textId="77777777" w:rsidTr="00036EC8">
        <w:trPr>
          <w:jc w:val="center"/>
        </w:trPr>
        <w:tc>
          <w:tcPr>
            <w:tcW w:w="9350" w:type="dxa"/>
            <w:gridSpan w:val="4"/>
          </w:tcPr>
          <w:p w14:paraId="7D3E1E60" w14:textId="77777777" w:rsidR="0074762F" w:rsidRDefault="0074762F" w:rsidP="00036EC8">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53204F98" w14:textId="77777777" w:rsidR="0074762F" w:rsidRDefault="0074762F" w:rsidP="00036EC8">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199A6AD7" w14:textId="77777777" w:rsidR="0074762F" w:rsidRDefault="0074762F" w:rsidP="00036EC8">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54016DCE" w14:textId="77777777" w:rsidR="0074762F" w:rsidRDefault="0074762F" w:rsidP="00036EC8">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078367F7" w14:textId="58E30FFB" w:rsidR="00521AD6" w:rsidRDefault="00521AD6" w:rsidP="005B410D">
      <w:pPr>
        <w:spacing w:after="120"/>
        <w:rPr>
          <w:sz w:val="20"/>
          <w:szCs w:val="20"/>
        </w:rPr>
      </w:pPr>
    </w:p>
    <w:p w14:paraId="16BA419D" w14:textId="2EA94CEA" w:rsidR="00521AD6" w:rsidRPr="00521AD6" w:rsidRDefault="00521AD6" w:rsidP="00521AD6">
      <w:pPr>
        <w:spacing w:after="120"/>
        <w:rPr>
          <w:b/>
          <w:bCs/>
          <w:sz w:val="20"/>
          <w:szCs w:val="20"/>
          <w:u w:val="single"/>
        </w:rPr>
      </w:pPr>
      <w:r>
        <w:rPr>
          <w:b/>
          <w:bCs/>
          <w:sz w:val="20"/>
          <w:szCs w:val="20"/>
          <w:u w:val="single"/>
        </w:rPr>
        <w:t>Scheduling Restriction</w:t>
      </w:r>
    </w:p>
    <w:p w14:paraId="24ACCC01" w14:textId="77777777" w:rsidR="0074762F" w:rsidRPr="00F8013F" w:rsidRDefault="0074762F" w:rsidP="0074762F">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The UE behaviour for inter-cell L1-RSRP measurement in dynamic TDD is captured in RAN1 specification.</w:t>
      </w:r>
    </w:p>
    <w:p w14:paraId="141B002F" w14:textId="77777777" w:rsidR="0074762F" w:rsidRPr="004B4493" w:rsidRDefault="0074762F" w:rsidP="0074762F">
      <w:pPr>
        <w:spacing w:after="120"/>
        <w:rPr>
          <w:rFonts w:eastAsia="SimSun"/>
          <w:b/>
          <w:bCs/>
          <w:sz w:val="20"/>
          <w:szCs w:val="20"/>
          <w:lang w:val="en-GB" w:eastAsia="en-GB"/>
        </w:rPr>
      </w:pPr>
      <w:r>
        <w:rPr>
          <w:rFonts w:eastAsia="SimSun"/>
          <w:b/>
          <w:bCs/>
          <w:sz w:val="20"/>
          <w:szCs w:val="20"/>
          <w:lang w:val="en-GB" w:eastAsia="en-GB"/>
        </w:rPr>
        <w:lastRenderedPageBreak/>
        <w:t xml:space="preserve">Proposal #2: RAN4 need not discuss the scheduling restriction for dynamic TDD as its already captured in RAN1 specification. </w:t>
      </w:r>
    </w:p>
    <w:p w14:paraId="6AE2B8EE" w14:textId="77777777" w:rsidR="0074762F" w:rsidRPr="00452C74" w:rsidRDefault="0074762F" w:rsidP="0074762F">
      <w:pPr>
        <w:spacing w:after="120"/>
        <w:rPr>
          <w:rFonts w:eastAsia="SimSun"/>
          <w:b/>
          <w:bCs/>
          <w:sz w:val="20"/>
          <w:szCs w:val="20"/>
          <w:lang w:val="en-GB" w:eastAsia="en-GB"/>
        </w:rPr>
      </w:pPr>
      <w:r>
        <w:rPr>
          <w:rFonts w:eastAsia="SimSun"/>
          <w:b/>
          <w:bCs/>
          <w:sz w:val="20"/>
          <w:szCs w:val="20"/>
          <w:lang w:val="en-GB" w:eastAsia="en-GB"/>
        </w:rPr>
        <w:t xml:space="preserve">Proposal #3: The existing scheduling restrictions defined for L1 measurements on serving cell are applicable when UE is receiving PDCCH/PDSCH from cell with different PCI and no further clarification is required in specification. </w:t>
      </w:r>
    </w:p>
    <w:p w14:paraId="19E8E588" w14:textId="4B1BF169" w:rsidR="00521AD6" w:rsidRDefault="00521AD6" w:rsidP="005B410D">
      <w:pPr>
        <w:spacing w:after="120"/>
        <w:rPr>
          <w:sz w:val="20"/>
          <w:szCs w:val="20"/>
        </w:rPr>
      </w:pPr>
    </w:p>
    <w:p w14:paraId="1E672E80" w14:textId="2150E04A" w:rsidR="00A46CC8" w:rsidRDefault="00DA4C6D" w:rsidP="00A46CC8">
      <w:pPr>
        <w:spacing w:after="120"/>
        <w:rPr>
          <w:b/>
          <w:bCs/>
          <w:sz w:val="20"/>
          <w:szCs w:val="20"/>
          <w:u w:val="single"/>
        </w:rPr>
      </w:pPr>
      <w:r>
        <w:rPr>
          <w:b/>
          <w:bCs/>
          <w:sz w:val="20"/>
          <w:szCs w:val="20"/>
          <w:u w:val="single"/>
        </w:rPr>
        <w:t>Applicability of ICBM</w:t>
      </w:r>
      <w:r w:rsidR="0074762F">
        <w:rPr>
          <w:b/>
          <w:bCs/>
          <w:sz w:val="20"/>
          <w:szCs w:val="20"/>
          <w:u w:val="single"/>
        </w:rPr>
        <w:t xml:space="preserve"> feature</w:t>
      </w:r>
    </w:p>
    <w:p w14:paraId="308BC929" w14:textId="77777777" w:rsidR="0074762F" w:rsidRDefault="0074762F" w:rsidP="0074762F">
      <w:pPr>
        <w:spacing w:after="120"/>
        <w:rPr>
          <w:rFonts w:eastAsia="SimSun"/>
          <w:i/>
          <w:sz w:val="20"/>
          <w:szCs w:val="20"/>
          <w:lang w:val="en-GB" w:eastAsia="en-GB"/>
        </w:rPr>
      </w:pPr>
      <w:r>
        <w:rPr>
          <w:rFonts w:eastAsia="SimSun"/>
          <w:b/>
          <w:bCs/>
          <w:i/>
          <w:sz w:val="20"/>
          <w:szCs w:val="20"/>
          <w:lang w:val="en-GB" w:eastAsia="en-GB"/>
        </w:rPr>
        <w:t xml:space="preserve">Observation #3: </w:t>
      </w:r>
      <w:r>
        <w:rPr>
          <w:rFonts w:eastAsia="SimSun"/>
          <w:i/>
          <w:sz w:val="20"/>
          <w:szCs w:val="20"/>
          <w:lang w:val="en-GB" w:eastAsia="en-GB"/>
        </w:rPr>
        <w:t xml:space="preserve">Without prior agreement, we don’t extend or define requirements for concurrent WIs in the same release. </w:t>
      </w:r>
    </w:p>
    <w:p w14:paraId="7DB0F0B3" w14:textId="77777777" w:rsidR="0074762F" w:rsidRPr="003534E5" w:rsidRDefault="0074762F" w:rsidP="0074762F">
      <w:pPr>
        <w:spacing w:after="120"/>
        <w:rPr>
          <w:rFonts w:eastAsia="SimSun"/>
          <w:b/>
          <w:bCs/>
          <w:iCs/>
          <w:sz w:val="20"/>
          <w:szCs w:val="20"/>
          <w:lang w:val="en-GB" w:eastAsia="en-GB"/>
        </w:rPr>
      </w:pPr>
      <w:r>
        <w:rPr>
          <w:rFonts w:eastAsia="SimSun"/>
          <w:b/>
          <w:bCs/>
          <w:iCs/>
          <w:sz w:val="20"/>
          <w:szCs w:val="20"/>
          <w:lang w:val="en-GB" w:eastAsia="en-GB"/>
        </w:rPr>
        <w:t>Proposal #4: Do not extend the ICBM feature and/or requirements to other concurrent Rel-17 WIs</w:t>
      </w:r>
    </w:p>
    <w:p w14:paraId="080EF5D2" w14:textId="77777777" w:rsidR="0074762F" w:rsidRDefault="0074762F" w:rsidP="0074762F">
      <w:pPr>
        <w:spacing w:after="120"/>
        <w:rPr>
          <w:rFonts w:eastAsia="SimSun"/>
          <w:i/>
          <w:sz w:val="20"/>
          <w:szCs w:val="20"/>
          <w:lang w:val="en-GB" w:eastAsia="en-GB"/>
        </w:rPr>
      </w:pPr>
      <w:r>
        <w:rPr>
          <w:rFonts w:eastAsia="SimSun"/>
          <w:b/>
          <w:bCs/>
          <w:i/>
          <w:sz w:val="20"/>
          <w:szCs w:val="20"/>
          <w:lang w:val="en-GB" w:eastAsia="en-GB"/>
        </w:rPr>
        <w:t xml:space="preserve">Observation #4: </w:t>
      </w:r>
      <w:r>
        <w:rPr>
          <w:rFonts w:eastAsia="SimSun"/>
          <w:i/>
          <w:sz w:val="20"/>
          <w:szCs w:val="20"/>
          <w:lang w:val="en-GB" w:eastAsia="en-GB"/>
        </w:rPr>
        <w:t>The cell with different PCI is nor a serving cell or serving CC, hence common TCI would not be applicable to it.</w:t>
      </w:r>
    </w:p>
    <w:p w14:paraId="40F93741" w14:textId="77777777" w:rsidR="0074762F" w:rsidRPr="00C21117" w:rsidRDefault="0074762F" w:rsidP="0074762F">
      <w:pPr>
        <w:spacing w:after="120"/>
        <w:rPr>
          <w:rFonts w:eastAsia="SimSun"/>
          <w:b/>
          <w:bCs/>
          <w:iCs/>
          <w:sz w:val="20"/>
          <w:szCs w:val="20"/>
          <w:lang w:val="en-GB" w:eastAsia="en-GB"/>
        </w:rPr>
      </w:pPr>
      <w:r>
        <w:rPr>
          <w:rFonts w:eastAsia="SimSun"/>
          <w:b/>
          <w:bCs/>
          <w:iCs/>
          <w:sz w:val="20"/>
          <w:szCs w:val="20"/>
          <w:lang w:val="en-GB" w:eastAsia="en-GB"/>
        </w:rPr>
        <w:t xml:space="preserve">Proposal #5: Common TCI configurations do not include cell with different PCI configured for ICBM per RAN1/ RAN2 design. No further clarification is needed in RAN4. </w:t>
      </w:r>
    </w:p>
    <w:p w14:paraId="13675414" w14:textId="77777777" w:rsidR="00A46CC8" w:rsidRPr="00A46CC8" w:rsidRDefault="00A46CC8" w:rsidP="00A46CC8">
      <w:pPr>
        <w:spacing w:after="120"/>
        <w:rPr>
          <w:sz w:val="20"/>
          <w:szCs w:val="20"/>
        </w:rPr>
      </w:pPr>
    </w:p>
    <w:p w14:paraId="0A0935F2" w14:textId="77777777" w:rsidR="00A46CC8" w:rsidRDefault="00A46CC8" w:rsidP="005B410D">
      <w:pPr>
        <w:spacing w:after="120"/>
        <w:rPr>
          <w:sz w:val="20"/>
          <w:szCs w:val="20"/>
        </w:rPr>
      </w:pPr>
    </w:p>
    <w:p w14:paraId="1E8DE80D" w14:textId="77777777" w:rsidR="00521AD6" w:rsidRPr="005B410D" w:rsidRDefault="00521AD6"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6E792EE" w14:textId="7C6836D2" w:rsidR="009F52D7" w:rsidRDefault="00BB6877" w:rsidP="009F52D7">
      <w:pPr>
        <w:pStyle w:val="ListParagraph"/>
        <w:numPr>
          <w:ilvl w:val="0"/>
          <w:numId w:val="2"/>
        </w:numPr>
        <w:spacing w:after="120"/>
        <w:ind w:firstLineChars="0"/>
        <w:jc w:val="both"/>
        <w:rPr>
          <w:rFonts w:ascii="Times New Roman" w:hAnsi="Times New Roman" w:cs="Times New Roman"/>
          <w:sz w:val="20"/>
          <w:szCs w:val="20"/>
        </w:rPr>
      </w:pPr>
      <w:r w:rsidRPr="00BB6877">
        <w:rPr>
          <w:rFonts w:ascii="Times New Roman" w:hAnsi="Times New Roman" w:cs="Times New Roman"/>
          <w:sz w:val="20"/>
          <w:szCs w:val="20"/>
          <w:lang w:val="en-GB"/>
        </w:rPr>
        <w:t>R4-2214482</w:t>
      </w:r>
      <w:r w:rsidR="00C94AC7" w:rsidRPr="00731FCA">
        <w:rPr>
          <w:rFonts w:ascii="Times New Roman" w:hAnsi="Times New Roman" w:cs="Times New Roman"/>
          <w:sz w:val="20"/>
          <w:szCs w:val="20"/>
        </w:rPr>
        <w:t>, “</w:t>
      </w:r>
      <w:r w:rsidR="00DA7213" w:rsidRPr="00DA7213">
        <w:rPr>
          <w:rFonts w:ascii="Times New Roman" w:hAnsi="Times New Roman" w:cs="Times New Roman"/>
          <w:sz w:val="20"/>
          <w:szCs w:val="20"/>
        </w:rPr>
        <w:t xml:space="preserve">WF on </w:t>
      </w:r>
      <w:proofErr w:type="spellStart"/>
      <w:r w:rsidR="00DA7213" w:rsidRPr="00DA7213">
        <w:rPr>
          <w:rFonts w:ascii="Times New Roman" w:hAnsi="Times New Roman" w:cs="Times New Roman"/>
          <w:sz w:val="20"/>
          <w:szCs w:val="20"/>
        </w:rPr>
        <w:t>FeMIMO</w:t>
      </w:r>
      <w:proofErr w:type="spellEnd"/>
      <w:r w:rsidR="00DA7213" w:rsidRPr="00DA7213">
        <w:rPr>
          <w:rFonts w:ascii="Times New Roman" w:hAnsi="Times New Roman" w:cs="Times New Roman"/>
          <w:sz w:val="20"/>
          <w:szCs w:val="20"/>
        </w:rPr>
        <w:t xml:space="preserve"> RRM requirements for inter-cell beam management and TRP-specific link recovery</w:t>
      </w:r>
      <w:r w:rsidR="00C94AC7" w:rsidRPr="00731FCA">
        <w:rPr>
          <w:rFonts w:ascii="Times New Roman" w:hAnsi="Times New Roman" w:cs="Times New Roman"/>
          <w:sz w:val="20"/>
          <w:szCs w:val="20"/>
        </w:rPr>
        <w:t xml:space="preserve">”, </w:t>
      </w:r>
      <w:r w:rsidR="00DA7213">
        <w:rPr>
          <w:rFonts w:ascii="Times New Roman" w:hAnsi="Times New Roman" w:cs="Times New Roman"/>
          <w:sz w:val="20"/>
          <w:szCs w:val="20"/>
        </w:rPr>
        <w:t>Huawei</w:t>
      </w:r>
      <w:r w:rsidR="00C94AC7" w:rsidRPr="00731FCA">
        <w:rPr>
          <w:rFonts w:ascii="Times New Roman" w:hAnsi="Times New Roman" w:cs="Times New Roman"/>
          <w:sz w:val="20"/>
          <w:szCs w:val="20"/>
        </w:rPr>
        <w:t xml:space="preserve">.  </w:t>
      </w:r>
    </w:p>
    <w:p w14:paraId="450C03D6" w14:textId="3169111D" w:rsidR="00973E41" w:rsidRPr="00BB6877" w:rsidRDefault="00973E41" w:rsidP="009F52D7">
      <w:pPr>
        <w:pStyle w:val="ListParagraph"/>
        <w:numPr>
          <w:ilvl w:val="0"/>
          <w:numId w:val="2"/>
        </w:numPr>
        <w:spacing w:after="120"/>
        <w:ind w:firstLineChars="0"/>
        <w:jc w:val="both"/>
        <w:rPr>
          <w:rFonts w:ascii="Times New Roman" w:hAnsi="Times New Roman" w:cs="Times New Roman"/>
          <w:sz w:val="20"/>
          <w:szCs w:val="20"/>
        </w:rPr>
      </w:pPr>
      <w:r w:rsidRPr="00973E41">
        <w:rPr>
          <w:rFonts w:ascii="Times New Roman" w:hAnsi="Times New Roman" w:cs="Times New Roman"/>
          <w:sz w:val="20"/>
          <w:szCs w:val="20"/>
        </w:rPr>
        <w:t>R1-2208084</w:t>
      </w:r>
      <w:r>
        <w:rPr>
          <w:rFonts w:ascii="Times New Roman" w:hAnsi="Times New Roman" w:cs="Times New Roman"/>
          <w:sz w:val="20"/>
          <w:szCs w:val="20"/>
        </w:rPr>
        <w:t>, “</w:t>
      </w:r>
      <w:r w:rsidRPr="00973E41">
        <w:rPr>
          <w:rFonts w:ascii="Times New Roman" w:hAnsi="Times New Roman" w:cs="Times New Roman"/>
          <w:sz w:val="20"/>
          <w:szCs w:val="20"/>
        </w:rPr>
        <w:t xml:space="preserve">CR on inter-cell </w:t>
      </w:r>
      <w:proofErr w:type="spellStart"/>
      <w:r w:rsidRPr="00973E41">
        <w:rPr>
          <w:rFonts w:ascii="Times New Roman" w:hAnsi="Times New Roman" w:cs="Times New Roman"/>
          <w:sz w:val="20"/>
          <w:szCs w:val="20"/>
        </w:rPr>
        <w:t>mTRP</w:t>
      </w:r>
      <w:proofErr w:type="spellEnd"/>
      <w:r w:rsidRPr="00973E41">
        <w:rPr>
          <w:rFonts w:ascii="Times New Roman" w:hAnsi="Times New Roman" w:cs="Times New Roman"/>
          <w:sz w:val="20"/>
          <w:szCs w:val="20"/>
        </w:rPr>
        <w:t xml:space="preserve"> when SSBs of additional PCI overlap with UL</w:t>
      </w:r>
      <w:r>
        <w:rPr>
          <w:rFonts w:ascii="Times New Roman" w:hAnsi="Times New Roman" w:cs="Times New Roman"/>
          <w:sz w:val="20"/>
          <w:szCs w:val="20"/>
        </w:rPr>
        <w:t>”, V</w:t>
      </w:r>
      <w:r w:rsidRPr="00973E41">
        <w:rPr>
          <w:rFonts w:ascii="Times New Roman" w:hAnsi="Times New Roman" w:cs="Times New Roman"/>
          <w:sz w:val="20"/>
          <w:szCs w:val="20"/>
        </w:rPr>
        <w:t>ivo, Qualcomm, ZTE</w:t>
      </w:r>
      <w:r>
        <w:rPr>
          <w:rFonts w:ascii="Times New Roman" w:hAnsi="Times New Roman" w:cs="Times New Roman"/>
          <w:sz w:val="20"/>
          <w:szCs w:val="20"/>
        </w:rPr>
        <w:t>.</w:t>
      </w:r>
    </w:p>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77460790"/>
    <w:multiLevelType w:val="hybridMultilevel"/>
    <w:tmpl w:val="A6685C08"/>
    <w:lvl w:ilvl="0" w:tplc="C16E529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59338048">
    <w:abstractNumId w:val="3"/>
  </w:num>
  <w:num w:numId="2" w16cid:durableId="1198423226">
    <w:abstractNumId w:val="5"/>
  </w:num>
  <w:num w:numId="3" w16cid:durableId="1871456649">
    <w:abstractNumId w:val="6"/>
  </w:num>
  <w:num w:numId="4" w16cid:durableId="1158231064">
    <w:abstractNumId w:val="4"/>
  </w:num>
  <w:num w:numId="5" w16cid:durableId="1788499240">
    <w:abstractNumId w:val="0"/>
  </w:num>
  <w:num w:numId="6" w16cid:durableId="2078816408">
    <w:abstractNumId w:val="7"/>
  </w:num>
  <w:num w:numId="7" w16cid:durableId="1556962524">
    <w:abstractNumId w:val="3"/>
  </w:num>
  <w:num w:numId="8" w16cid:durableId="666249334">
    <w:abstractNumId w:val="2"/>
  </w:num>
  <w:num w:numId="9" w16cid:durableId="932394092">
    <w:abstractNumId w:val="1"/>
  </w:num>
  <w:num w:numId="10" w16cid:durableId="1545868862">
    <w:abstractNumId w:val="3"/>
  </w:num>
  <w:num w:numId="11" w16cid:durableId="1081410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1"/>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7009"/>
    <w:rsid w:val="00014E63"/>
    <w:rsid w:val="0003629C"/>
    <w:rsid w:val="00083DE7"/>
    <w:rsid w:val="000A6ED6"/>
    <w:rsid w:val="000B379D"/>
    <w:rsid w:val="0011246B"/>
    <w:rsid w:val="00121828"/>
    <w:rsid w:val="00125580"/>
    <w:rsid w:val="00143857"/>
    <w:rsid w:val="00174454"/>
    <w:rsid w:val="00177147"/>
    <w:rsid w:val="00194BD1"/>
    <w:rsid w:val="001A787A"/>
    <w:rsid w:val="001B5D0A"/>
    <w:rsid w:val="001C2892"/>
    <w:rsid w:val="001C663E"/>
    <w:rsid w:val="001D7B58"/>
    <w:rsid w:val="001E58C2"/>
    <w:rsid w:val="001F79CD"/>
    <w:rsid w:val="0020378F"/>
    <w:rsid w:val="00204E69"/>
    <w:rsid w:val="002106FF"/>
    <w:rsid w:val="002363D0"/>
    <w:rsid w:val="002852FD"/>
    <w:rsid w:val="002870EA"/>
    <w:rsid w:val="00295417"/>
    <w:rsid w:val="002B0BC3"/>
    <w:rsid w:val="002B6150"/>
    <w:rsid w:val="002F189E"/>
    <w:rsid w:val="002F4FA3"/>
    <w:rsid w:val="003006DF"/>
    <w:rsid w:val="0031030C"/>
    <w:rsid w:val="003534E5"/>
    <w:rsid w:val="003610C2"/>
    <w:rsid w:val="00380259"/>
    <w:rsid w:val="00381D2B"/>
    <w:rsid w:val="003955A2"/>
    <w:rsid w:val="003A0BC0"/>
    <w:rsid w:val="003A5FF1"/>
    <w:rsid w:val="003B4AB2"/>
    <w:rsid w:val="003D356B"/>
    <w:rsid w:val="004053CE"/>
    <w:rsid w:val="00437BBE"/>
    <w:rsid w:val="00437C06"/>
    <w:rsid w:val="0044328D"/>
    <w:rsid w:val="004476E5"/>
    <w:rsid w:val="00452C74"/>
    <w:rsid w:val="00467D49"/>
    <w:rsid w:val="004717E8"/>
    <w:rsid w:val="0047576D"/>
    <w:rsid w:val="004B4493"/>
    <w:rsid w:val="004C18BC"/>
    <w:rsid w:val="004C6458"/>
    <w:rsid w:val="004D1584"/>
    <w:rsid w:val="004D2EA0"/>
    <w:rsid w:val="00521AD6"/>
    <w:rsid w:val="005467CC"/>
    <w:rsid w:val="00547A99"/>
    <w:rsid w:val="00560126"/>
    <w:rsid w:val="00561A22"/>
    <w:rsid w:val="0057184D"/>
    <w:rsid w:val="00586AB4"/>
    <w:rsid w:val="00591BA8"/>
    <w:rsid w:val="005B410D"/>
    <w:rsid w:val="005C4761"/>
    <w:rsid w:val="005D1B1F"/>
    <w:rsid w:val="005D35F2"/>
    <w:rsid w:val="00610FE9"/>
    <w:rsid w:val="00626BDE"/>
    <w:rsid w:val="00651D5D"/>
    <w:rsid w:val="00652C69"/>
    <w:rsid w:val="00665623"/>
    <w:rsid w:val="00676EAC"/>
    <w:rsid w:val="00683E66"/>
    <w:rsid w:val="006A3366"/>
    <w:rsid w:val="006A3514"/>
    <w:rsid w:val="006A67F7"/>
    <w:rsid w:val="006E08D1"/>
    <w:rsid w:val="006F0699"/>
    <w:rsid w:val="007256F1"/>
    <w:rsid w:val="007259AB"/>
    <w:rsid w:val="00731FCA"/>
    <w:rsid w:val="0074762F"/>
    <w:rsid w:val="007612F3"/>
    <w:rsid w:val="0076216B"/>
    <w:rsid w:val="00766F00"/>
    <w:rsid w:val="00775238"/>
    <w:rsid w:val="007A3BE1"/>
    <w:rsid w:val="007A4398"/>
    <w:rsid w:val="007C626C"/>
    <w:rsid w:val="007C7AE6"/>
    <w:rsid w:val="007D071E"/>
    <w:rsid w:val="007D30BD"/>
    <w:rsid w:val="007F1CFA"/>
    <w:rsid w:val="00844374"/>
    <w:rsid w:val="00851F76"/>
    <w:rsid w:val="008626D1"/>
    <w:rsid w:val="00865B64"/>
    <w:rsid w:val="008718CE"/>
    <w:rsid w:val="008758D9"/>
    <w:rsid w:val="0088182B"/>
    <w:rsid w:val="00882B75"/>
    <w:rsid w:val="0088495F"/>
    <w:rsid w:val="008B54BF"/>
    <w:rsid w:val="008B7113"/>
    <w:rsid w:val="008C02CB"/>
    <w:rsid w:val="008C2303"/>
    <w:rsid w:val="00924CB2"/>
    <w:rsid w:val="00932C93"/>
    <w:rsid w:val="00936FFD"/>
    <w:rsid w:val="00951300"/>
    <w:rsid w:val="00962943"/>
    <w:rsid w:val="00970536"/>
    <w:rsid w:val="00973E41"/>
    <w:rsid w:val="009A272E"/>
    <w:rsid w:val="009A2B46"/>
    <w:rsid w:val="009B34D4"/>
    <w:rsid w:val="009D2557"/>
    <w:rsid w:val="009D596C"/>
    <w:rsid w:val="009F52D7"/>
    <w:rsid w:val="00A00727"/>
    <w:rsid w:val="00A211CC"/>
    <w:rsid w:val="00A26A8A"/>
    <w:rsid w:val="00A46CC8"/>
    <w:rsid w:val="00A859D3"/>
    <w:rsid w:val="00A91F07"/>
    <w:rsid w:val="00AA1AFC"/>
    <w:rsid w:val="00AB3A66"/>
    <w:rsid w:val="00AD0425"/>
    <w:rsid w:val="00B07B15"/>
    <w:rsid w:val="00B150D0"/>
    <w:rsid w:val="00B35182"/>
    <w:rsid w:val="00B574DF"/>
    <w:rsid w:val="00B749F7"/>
    <w:rsid w:val="00B8567C"/>
    <w:rsid w:val="00BA0B91"/>
    <w:rsid w:val="00BB6877"/>
    <w:rsid w:val="00BD4711"/>
    <w:rsid w:val="00BF678E"/>
    <w:rsid w:val="00C07B36"/>
    <w:rsid w:val="00C21117"/>
    <w:rsid w:val="00C25C95"/>
    <w:rsid w:val="00C51E46"/>
    <w:rsid w:val="00C94AC7"/>
    <w:rsid w:val="00CB28DC"/>
    <w:rsid w:val="00CD0F63"/>
    <w:rsid w:val="00CF1266"/>
    <w:rsid w:val="00D161C7"/>
    <w:rsid w:val="00D2251E"/>
    <w:rsid w:val="00D5508A"/>
    <w:rsid w:val="00D73EC2"/>
    <w:rsid w:val="00D75BD6"/>
    <w:rsid w:val="00DA4C6D"/>
    <w:rsid w:val="00DA7213"/>
    <w:rsid w:val="00DB5DC8"/>
    <w:rsid w:val="00DB6943"/>
    <w:rsid w:val="00DC19E0"/>
    <w:rsid w:val="00DF1ED2"/>
    <w:rsid w:val="00E3017B"/>
    <w:rsid w:val="00E4277E"/>
    <w:rsid w:val="00E5586A"/>
    <w:rsid w:val="00E71FC5"/>
    <w:rsid w:val="00E80EE6"/>
    <w:rsid w:val="00E9138B"/>
    <w:rsid w:val="00E94EC4"/>
    <w:rsid w:val="00EA6CB7"/>
    <w:rsid w:val="00EE16B7"/>
    <w:rsid w:val="00EF49BC"/>
    <w:rsid w:val="00F24391"/>
    <w:rsid w:val="00F26047"/>
    <w:rsid w:val="00F303BC"/>
    <w:rsid w:val="00F342CA"/>
    <w:rsid w:val="00F441E8"/>
    <w:rsid w:val="00F8013F"/>
    <w:rsid w:val="00F815F7"/>
    <w:rsid w:val="00FA353F"/>
    <w:rsid w:val="00FA5808"/>
    <w:rsid w:val="00FA6352"/>
    <w:rsid w:val="00FD0637"/>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591BA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591BA8"/>
    <w:rPr>
      <w:rFonts w:asciiTheme="majorHAnsi" w:eastAsiaTheme="majorEastAsia" w:hAnsiTheme="majorHAnsi" w:cstheme="majorBidi"/>
      <w:color w:val="1F3763" w:themeColor="accent1" w:themeShade="7F"/>
    </w:rPr>
  </w:style>
  <w:style w:type="paragraph" w:styleId="BodyText">
    <w:name w:val="Body Text"/>
    <w:basedOn w:val="Normal"/>
    <w:link w:val="BodyTextChar"/>
    <w:semiHidden/>
    <w:rsid w:val="00BD4711"/>
    <w:pPr>
      <w:jc w:val="left"/>
    </w:pPr>
    <w:rPr>
      <w:rFonts w:ascii="Arial" w:eastAsia="SimSun" w:hAnsi="Arial" w:cs="Arial"/>
      <w:color w:val="FF0000"/>
      <w:sz w:val="20"/>
      <w:szCs w:val="20"/>
      <w:lang w:val="en-GB"/>
    </w:rPr>
  </w:style>
  <w:style w:type="character" w:customStyle="1" w:styleId="BodyTextChar">
    <w:name w:val="Body Text Char"/>
    <w:basedOn w:val="DefaultParagraphFont"/>
    <w:link w:val="BodyText"/>
    <w:semiHidden/>
    <w:rsid w:val="00BD4711"/>
    <w:rPr>
      <w:rFonts w:ascii="Arial" w:eastAsia="SimSun" w:hAnsi="Arial" w:cs="Arial"/>
      <w:color w:val="FF0000"/>
      <w:sz w:val="20"/>
      <w:szCs w:val="20"/>
      <w:lang w:val="en-GB"/>
    </w:rPr>
  </w:style>
  <w:style w:type="character" w:customStyle="1" w:styleId="apple-converted-space">
    <w:name w:val="apple-converted-space"/>
    <w:basedOn w:val="DefaultParagraphFont"/>
    <w:qFormat/>
    <w:rsid w:val="00BD4711"/>
  </w:style>
  <w:style w:type="character" w:styleId="Strong">
    <w:name w:val="Strong"/>
    <w:uiPriority w:val="22"/>
    <w:qFormat/>
    <w:rsid w:val="00BD4711"/>
    <w:rPr>
      <w:b/>
      <w:bCs/>
    </w:rPr>
  </w:style>
  <w:style w:type="character" w:styleId="Emphasis">
    <w:name w:val="Emphasis"/>
    <w:basedOn w:val="DefaultParagraphFont"/>
    <w:uiPriority w:val="20"/>
    <w:qFormat/>
    <w:rsid w:val="00BD4711"/>
    <w:rPr>
      <w:i/>
      <w:iCs/>
    </w:rPr>
  </w:style>
  <w:style w:type="paragraph" w:customStyle="1" w:styleId="B2">
    <w:name w:val="B2"/>
    <w:basedOn w:val="List2"/>
    <w:link w:val="B2Char"/>
    <w:qFormat/>
    <w:rsid w:val="008B7113"/>
    <w:pPr>
      <w:spacing w:after="180"/>
      <w:ind w:left="851" w:hanging="284"/>
      <w:contextualSpacing w:val="0"/>
      <w:jc w:val="left"/>
    </w:pPr>
    <w:rPr>
      <w:rFonts w:ascii="Tms Rmn" w:eastAsia="MS Mincho" w:hAnsi="Tms Rmn"/>
      <w:sz w:val="20"/>
      <w:szCs w:val="20"/>
      <w:lang w:val="en-GB"/>
    </w:rPr>
  </w:style>
  <w:style w:type="character" w:customStyle="1" w:styleId="B2Char">
    <w:name w:val="B2 Char"/>
    <w:link w:val="B2"/>
    <w:qFormat/>
    <w:rsid w:val="008B7113"/>
    <w:rPr>
      <w:rFonts w:ascii="Tms Rmn" w:eastAsia="MS Mincho" w:hAnsi="Tms Rmn" w:cs="Times New Roman"/>
      <w:sz w:val="20"/>
      <w:szCs w:val="20"/>
      <w:lang w:val="en-GB"/>
    </w:rPr>
  </w:style>
  <w:style w:type="table" w:customStyle="1" w:styleId="TableGrid1">
    <w:name w:val="TableGrid1"/>
    <w:basedOn w:val="TableNormal"/>
    <w:uiPriority w:val="39"/>
    <w:qFormat/>
    <w:rsid w:val="008B7113"/>
    <w:pPr>
      <w:overflowPunct w:val="0"/>
      <w:autoSpaceDE w:val="0"/>
      <w:autoSpaceDN w:val="0"/>
      <w:adjustRightInd w:val="0"/>
      <w:spacing w:after="180"/>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8B7113"/>
    <w:pPr>
      <w:overflowPunct w:val="0"/>
      <w:autoSpaceDE w:val="0"/>
      <w:autoSpaceDN w:val="0"/>
      <w:adjustRightInd w:val="0"/>
      <w:spacing w:after="180"/>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8B711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14283111">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1303659">
      <w:bodyDiv w:val="1"/>
      <w:marLeft w:val="0"/>
      <w:marRight w:val="0"/>
      <w:marTop w:val="0"/>
      <w:marBottom w:val="0"/>
      <w:divBdr>
        <w:top w:val="none" w:sz="0" w:space="0" w:color="auto"/>
        <w:left w:val="none" w:sz="0" w:space="0" w:color="auto"/>
        <w:bottom w:val="none" w:sz="0" w:space="0" w:color="auto"/>
        <w:right w:val="none" w:sz="0" w:space="0" w:color="auto"/>
      </w:divBdr>
    </w:div>
    <w:div w:id="790978263">
      <w:bodyDiv w:val="1"/>
      <w:marLeft w:val="0"/>
      <w:marRight w:val="0"/>
      <w:marTop w:val="0"/>
      <w:marBottom w:val="0"/>
      <w:divBdr>
        <w:top w:val="none" w:sz="0" w:space="0" w:color="auto"/>
        <w:left w:val="none" w:sz="0" w:space="0" w:color="auto"/>
        <w:bottom w:val="none" w:sz="0" w:space="0" w:color="auto"/>
        <w:right w:val="none" w:sz="0" w:space="0" w:color="auto"/>
      </w:divBdr>
    </w:div>
    <w:div w:id="108680184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89217898">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838691162">
      <w:bodyDiv w:val="1"/>
      <w:marLeft w:val="0"/>
      <w:marRight w:val="0"/>
      <w:marTop w:val="0"/>
      <w:marBottom w:val="0"/>
      <w:divBdr>
        <w:top w:val="none" w:sz="0" w:space="0" w:color="auto"/>
        <w:left w:val="none" w:sz="0" w:space="0" w:color="auto"/>
        <w:bottom w:val="none" w:sz="0" w:space="0" w:color="auto"/>
        <w:right w:val="none" w:sz="0" w:space="0" w:color="auto"/>
      </w:divBdr>
    </w:div>
    <w:div w:id="1848670622">
      <w:bodyDiv w:val="1"/>
      <w:marLeft w:val="0"/>
      <w:marRight w:val="0"/>
      <w:marTop w:val="0"/>
      <w:marBottom w:val="0"/>
      <w:divBdr>
        <w:top w:val="none" w:sz="0" w:space="0" w:color="auto"/>
        <w:left w:val="none" w:sz="0" w:space="0" w:color="auto"/>
        <w:bottom w:val="none" w:sz="0" w:space="0" w:color="auto"/>
        <w:right w:val="none" w:sz="0" w:space="0" w:color="auto"/>
      </w:divBdr>
    </w:div>
    <w:div w:id="20595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2661</Words>
  <Characters>14241</Characters>
  <Application>Microsoft Office Word</Application>
  <DocSecurity>0</DocSecurity>
  <Lines>749</Lines>
  <Paragraphs>563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2022-09-30T04:58:00Z</dcterms:created>
  <dcterms:modified xsi:type="dcterms:W3CDTF">2022-09-30T16:52:00Z</dcterms:modified>
</cp:coreProperties>
</file>