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213872</w:t>
      </w:r>
      <w:bookmarkStart w:id="7" w:name="_GoBack"/>
      <w:bookmarkEnd w:id="7"/>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15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11.8.3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 xml:space="preserve">to identify the requirements to support the </w:t>
      </w:r>
      <w:r>
        <w:rPr>
          <w:lang w:val="en-US"/>
        </w:rPr>
        <w:t>enhanced FR2-1 UEs with simultaneous DL reception from different directions with different QCL TypeD RSs on a single component carrier</w:t>
      </w:r>
      <w:r>
        <w:rPr>
          <w:rFonts w:hint="eastAsia" w:eastAsia="宋体"/>
          <w:lang w:val="en-US" w:eastAsia="zh-CN"/>
        </w:rPr>
        <w:t>. Both RF requirements enhancement and RRM requirements enhancement are involved in the core part.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0"/>
              <w:rPr>
                <w:lang w:val="en-US"/>
              </w:rPr>
            </w:pPr>
            <w:r>
              <w:rPr>
                <w:lang w:val="en-US"/>
              </w:rPr>
              <w:t xml:space="preserve">Introduce necessary requirement(s) for enhanced FR2-1 UEs with simultaneous DL reception with two different QCL TypeD RSs </w:t>
            </w:r>
            <w:r>
              <w:rPr>
                <w:highlight w:val="none"/>
                <w:lang w:val="en-US"/>
              </w:rPr>
              <w:t>on single component carrier</w:t>
            </w:r>
            <w:r>
              <w:rPr>
                <w:lang w:val="en-US"/>
              </w:rPr>
              <w:t xml:space="preserve"> with up to 4 layer DL MIMO</w:t>
            </w:r>
          </w:p>
          <w:p>
            <w:pPr>
              <w:numPr>
                <w:ilvl w:val="1"/>
                <w:numId w:val="4"/>
              </w:numPr>
              <w:spacing w:after="0"/>
              <w:rPr>
                <w:lang w:val="en-US"/>
              </w:rPr>
            </w:pPr>
            <w:r>
              <w:rPr>
                <w:rFonts w:hint="eastAsia"/>
                <w:lang w:val="en-US"/>
              </w:rPr>
              <w:t>Enhanced RF requirements:</w:t>
            </w:r>
          </w:p>
          <w:p>
            <w:pPr>
              <w:numPr>
                <w:ilvl w:val="2"/>
                <w:numId w:val="4"/>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4"/>
              </w:numPr>
              <w:spacing w:after="0"/>
              <w:rPr>
                <w:lang w:val="en-US"/>
              </w:rPr>
            </w:pPr>
            <w:r>
              <w:rPr>
                <w:lang w:val="en-US"/>
              </w:rPr>
              <w:t>The legacy spherical coverage requirement for reception from a single direction will be kept</w:t>
            </w:r>
          </w:p>
          <w:p>
            <w:pPr>
              <w:numPr>
                <w:ilvl w:val="2"/>
                <w:numId w:val="4"/>
              </w:numPr>
              <w:spacing w:after="0"/>
              <w:rPr>
                <w:lang w:val="en-US"/>
              </w:rPr>
            </w:pPr>
            <w:r>
              <w:rPr>
                <w:highlight w:val="none"/>
                <w:lang w:val="en-US"/>
              </w:rPr>
              <w:t>PC3</w:t>
            </w:r>
            <w:r>
              <w:rPr>
                <w:lang w:val="en-US"/>
              </w:rPr>
              <w:t xml:space="preserve"> will be prioritized, other power classes should be considered after the PC3 requirements framework is finalized</w:t>
            </w:r>
          </w:p>
          <w:p>
            <w:pPr>
              <w:numPr>
                <w:ilvl w:val="0"/>
                <w:numId w:val="4"/>
              </w:numPr>
              <w:spacing w:after="0"/>
              <w:rPr>
                <w:lang w:val="en-US"/>
              </w:rPr>
            </w:pPr>
            <w:r>
              <w:rPr>
                <w:lang w:val="en-US"/>
              </w:rPr>
              <w:t>Introduce necessary requirement(s) for enhanced FR2-1 UEs with simultaneous DL reception from different directions with different QCL TypeD RSs on a single component carrier</w:t>
            </w:r>
            <w:r>
              <w:rPr>
                <w:rFonts w:hint="eastAsia" w:eastAsia="宋体"/>
                <w:lang w:val="en-US" w:eastAsia="zh-CN"/>
              </w:rPr>
              <w:t xml:space="preserve">  </w:t>
            </w:r>
          </w:p>
          <w:p>
            <w:pPr>
              <w:numPr>
                <w:ilvl w:val="1"/>
                <w:numId w:val="4"/>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4"/>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4"/>
              </w:numPr>
              <w:spacing w:after="0"/>
              <w:rPr>
                <w:lang w:val="en-US"/>
              </w:rPr>
            </w:pPr>
            <w:r>
              <w:rPr>
                <w:lang w:val="en-US"/>
              </w:rPr>
              <w:t>L1-RSRP measurement delay</w:t>
            </w:r>
          </w:p>
          <w:p>
            <w:pPr>
              <w:numPr>
                <w:ilvl w:val="3"/>
                <w:numId w:val="4"/>
              </w:numPr>
              <w:spacing w:after="0"/>
              <w:rPr>
                <w:lang w:val="en-US"/>
              </w:rPr>
            </w:pPr>
            <w:r>
              <w:rPr>
                <w:lang w:val="en-US"/>
              </w:rPr>
              <w:t>L3 measurement delay (both cell detection delay and measurement period can be considered)</w:t>
            </w:r>
          </w:p>
          <w:p>
            <w:pPr>
              <w:numPr>
                <w:ilvl w:val="4"/>
                <w:numId w:val="4"/>
              </w:numPr>
              <w:spacing w:after="0"/>
              <w:rPr>
                <w:lang w:val="en-US"/>
              </w:rPr>
            </w:pPr>
            <w:r>
              <w:rPr>
                <w:lang w:val="en-US"/>
              </w:rPr>
              <w:t>The starting point is the enhancements related to L1-RSRP measurement enhancements</w:t>
            </w:r>
          </w:p>
          <w:p>
            <w:pPr>
              <w:numPr>
                <w:ilvl w:val="3"/>
                <w:numId w:val="4"/>
              </w:numPr>
              <w:spacing w:after="0"/>
              <w:rPr>
                <w:lang w:val="en-US"/>
              </w:rPr>
            </w:pPr>
            <w:r>
              <w:rPr>
                <w:lang w:val="en-US"/>
              </w:rPr>
              <w:t>RLM and BFD/CBD requirements</w:t>
            </w:r>
          </w:p>
          <w:p>
            <w:pPr>
              <w:numPr>
                <w:ilvl w:val="3"/>
                <w:numId w:val="4"/>
              </w:numPr>
              <w:spacing w:after="0"/>
              <w:rPr>
                <w:lang w:val="en-US"/>
              </w:rPr>
            </w:pPr>
            <w:r>
              <w:rPr>
                <w:lang w:val="en-US"/>
              </w:rPr>
              <w:t>Scheduling/measurement restrictions</w:t>
            </w:r>
          </w:p>
          <w:p>
            <w:pPr>
              <w:numPr>
                <w:ilvl w:val="3"/>
                <w:numId w:val="4"/>
              </w:numPr>
              <w:spacing w:after="0"/>
              <w:rPr>
                <w:lang w:val="en-US"/>
              </w:rPr>
            </w:pPr>
            <w:r>
              <w:rPr>
                <w:lang w:val="en-US"/>
              </w:rPr>
              <w:t>TCI state switching delay with dual TCI</w:t>
            </w:r>
          </w:p>
          <w:p>
            <w:pPr>
              <w:numPr>
                <w:ilvl w:val="3"/>
                <w:numId w:val="4"/>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w:t>
            </w:r>
          </w:p>
          <w:p>
            <w:pPr>
              <w:numPr>
                <w:ilvl w:val="0"/>
                <w:numId w:val="5"/>
              </w:numPr>
              <w:spacing w:after="0"/>
              <w:rPr>
                <w:rFonts w:hint="eastAsia" w:eastAsia="宋体"/>
                <w:vertAlign w:val="baseline"/>
                <w:lang w:val="en-US" w:eastAsia="zh-CN"/>
              </w:rPr>
            </w:pPr>
            <w:r>
              <w:rPr>
                <w:rFonts w:hint="eastAsia"/>
                <w:bCs/>
                <w:lang w:eastAsia="ja-JP"/>
              </w:rPr>
              <w:t>T</w:t>
            </w:r>
            <w:r>
              <w:rPr>
                <w:bCs/>
                <w:lang w:eastAsia="ja-JP"/>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default" w:eastAsia="宋体"/>
          <w:kern w:val="2"/>
          <w:sz w:val="20"/>
          <w:szCs w:val="20"/>
          <w:lang w:val="en-US" w:eastAsia="zh-CN"/>
        </w:rPr>
      </w:pPr>
      <w:r>
        <w:rPr>
          <w:rFonts w:hint="eastAsia" w:eastAsia="宋体"/>
          <w:lang w:val="en-US" w:eastAsia="zh-CN"/>
        </w:rPr>
        <w:t xml:space="preserve">In this document, we focus on the RRM aspects. Simultaneous multi-panel/multi-beam reception would possibly impact multiple RRM procedures, such as RRM measurement, L1 measurement, TCI state switching, and RLM/BFD/CBD. Further more, it should be identified that the </w:t>
      </w:r>
      <w:r>
        <w:rPr>
          <w:lang w:val="en-US"/>
        </w:rPr>
        <w:t>Receive timing difference between different directions</w:t>
      </w:r>
      <w:r>
        <w:rPr>
          <w:rFonts w:hint="eastAsia" w:eastAsia="宋体"/>
          <w:lang w:val="en-US" w:eastAsia="zh-CN"/>
        </w:rPr>
        <w:t>. We give our analysis on these RRM aspects.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 for the number of receiving panel, although it is not declared in the specification, actually the FR2 UE requirements are specified orienting toward single-panel UE in Rel-15. </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and Rel-17, in order to support multi-TRP scenario, some enhancements for receiving beam/panel were achieved:</w:t>
      </w:r>
    </w:p>
    <w:p>
      <w:pPr>
        <w:numPr>
          <w:ilvl w:val="0"/>
          <w:numId w:val="6"/>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6"/>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The support of FR2 CA with IBM and CBM with simultaneous DL reception on different component carriers was defined. For the UE capable of IBM, actually such UE has the capability of DL simultaneous reception on different UE panels/RF chains using different beams.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1"/>
          <w:szCs w:val="21"/>
          <w:lang w:val="en-US" w:eastAsia="zh-CN"/>
        </w:rPr>
        <w:t xml:space="preserve">However, no matter Rel-15 or Rel-16/17, not any enhanced RAN4 requirements were defined for FR2 UEs capable of simultaneous multi-panel/beam reception.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numPr>
          <w:ilvl w:val="0"/>
          <w:numId w:val="0"/>
        </w:numPr>
        <w:rPr>
          <w:rFonts w:hint="eastAsia"/>
          <w:lang w:val="en-US" w:eastAsia="zh-CN"/>
        </w:rPr>
      </w:pPr>
      <w:r>
        <w:rPr>
          <w:rFonts w:hint="eastAsia"/>
          <w:lang w:val="en-US" w:eastAsia="zh-CN"/>
        </w:rPr>
        <w:t>For RRM impacts caused by simultaneous DL reception from different directions with different QCL TypeD RSs on a single component carrier, we provide our analysis as bellow.</w:t>
      </w:r>
    </w:p>
    <w:p>
      <w:pPr>
        <w:pStyle w:val="8"/>
        <w:numPr>
          <w:ilvl w:val="0"/>
          <w:numId w:val="0"/>
        </w:numPr>
        <w:rPr>
          <w:rFonts w:hint="eastAsia"/>
          <w:u w:val="single"/>
          <w:lang w:val="en-US" w:eastAsia="zh-CN"/>
        </w:rPr>
      </w:pPr>
      <w:r>
        <w:rPr>
          <w:rFonts w:hint="eastAsia"/>
          <w:u w:val="single"/>
          <w:lang w:val="en-US" w:eastAsia="zh-CN"/>
        </w:rPr>
        <w:t>L1 measurement:</w:t>
      </w:r>
    </w:p>
    <w:p>
      <w:pPr>
        <w:pStyle w:val="8"/>
        <w:numPr>
          <w:ilvl w:val="0"/>
          <w:numId w:val="0"/>
        </w:numPr>
        <w:rPr>
          <w:rFonts w:hint="eastAsia"/>
          <w:lang w:val="en-US" w:eastAsia="zh-CN"/>
        </w:rPr>
      </w:pPr>
      <w:r>
        <w:rPr>
          <w:rFonts w:hint="eastAsia"/>
          <w:lang w:val="en-US" w:eastAsia="zh-CN"/>
        </w:rPr>
        <w:t xml:space="preserve">During L1 measurement, for FR2, UE needs to perform Rx beam sweeping based on the scaling factor </w:t>
      </w:r>
      <w:r>
        <w:rPr>
          <w:rFonts w:hint="eastAsia"/>
          <w:highlight w:val="yellow"/>
          <w:lang w:val="en-US" w:eastAsia="zh-CN"/>
        </w:rPr>
        <w:t>N</w:t>
      </w:r>
      <w:r>
        <w:rPr>
          <w:rFonts w:hint="eastAsia"/>
          <w:lang w:val="en-US" w:eastAsia="zh-CN"/>
        </w:rPr>
        <w:t xml:space="preserve"> so as to identify the optimal Rx beam. Which is reflected by the following requirement of measurement period for both SSB based and CSI-RS based in FR2.</w:t>
      </w:r>
    </w:p>
    <w:p>
      <w:pPr>
        <w:pStyle w:val="35"/>
      </w:pPr>
      <w:r>
        <w:t>Table 9.5.4.1-2: Measurement period T</w:t>
      </w:r>
      <w:r>
        <w:rPr>
          <w:vertAlign w:val="subscript"/>
        </w:rPr>
        <w:t>L1-RSRP_Measurement_Period_SSB</w:t>
      </w:r>
      <w:r>
        <w:t xml:space="preserve"> for 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non-DRX</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ceil(M*</w:t>
            </w:r>
            <w:r>
              <w:rPr>
                <w:rFonts w:cs="v4.2.0"/>
                <w:highlight w:val="cyan"/>
              </w:rPr>
              <w:t>P</w:t>
            </w:r>
            <w:r>
              <w:rPr>
                <w:rFonts w:cs="v4.2.0"/>
              </w:rPr>
              <w:t>*</w:t>
            </w:r>
            <w:r>
              <w:rPr>
                <w:rFonts w:cs="v4.2.0"/>
                <w:highlight w:val="yellow"/>
              </w:rPr>
              <w:t>N</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3"/>
            </w:pPr>
            <w:r>
              <w:rPr>
                <w:rFonts w:cs="v4.2.0"/>
              </w:rPr>
              <w:t>ceil(1.5*M*P*N)*T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1"/>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Pr>
        <w:pStyle w:val="35"/>
      </w:pPr>
    </w:p>
    <w:p>
      <w:pPr>
        <w:pStyle w:val="35"/>
      </w:pPr>
      <w:r>
        <w:t>Table 9.5.4.2-2: Measurement period T</w:t>
      </w:r>
      <w:r>
        <w:rPr>
          <w:vertAlign w:val="subscript"/>
        </w:rPr>
        <w:t>L1-RSRP_Measurement_Period_CSI-RS</w:t>
      </w:r>
      <w:r>
        <w:t xml:space="preserve"> for 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L1-RSRP_Measurement_Period_CSI-RS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non-DRX</w:t>
            </w:r>
          </w:p>
        </w:tc>
        <w:tc>
          <w:tcPr>
            <w:tcW w:w="4582" w:type="dxa"/>
            <w:tcBorders>
              <w:top w:val="single" w:color="auto" w:sz="4" w:space="0"/>
              <w:left w:val="single" w:color="auto" w:sz="4" w:space="0"/>
              <w:bottom w:val="single" w:color="auto" w:sz="4" w:space="0"/>
              <w:right w:val="single" w:color="auto" w:sz="4" w:space="0"/>
            </w:tcBorders>
          </w:tcPr>
          <w:p>
            <w:pPr>
              <w:pStyle w:val="33"/>
              <w:rPr>
                <w:lang w:val="fr-FR"/>
              </w:rPr>
            </w:pPr>
            <w:r>
              <w:rPr>
                <w:rFonts w:cs="v4.2.0"/>
                <w:lang w:val="fr-FR"/>
              </w:rPr>
              <w:t>max(T</w:t>
            </w:r>
            <w:r>
              <w:rPr>
                <w:rFonts w:cs="v4.2.0"/>
                <w:vertAlign w:val="subscript"/>
                <w:lang w:val="fr-FR"/>
              </w:rPr>
              <w:t>Report</w:t>
            </w:r>
            <w:r>
              <w:rPr>
                <w:rFonts w:cs="v4.2.0"/>
                <w:lang w:val="fr-FR"/>
              </w:rPr>
              <w:t>, ceil(M*</w:t>
            </w:r>
            <w:r>
              <w:rPr>
                <w:rFonts w:cs="v4.2.0"/>
                <w:highlight w:val="cyan"/>
                <w:lang w:val="fr-FR"/>
              </w:rPr>
              <w:t>P</w:t>
            </w:r>
            <w:r>
              <w:rPr>
                <w:rFonts w:cs="v4.2.0"/>
                <w:lang w:val="fr-FR"/>
              </w:rPr>
              <w:t>*</w:t>
            </w:r>
            <w:r>
              <w:rPr>
                <w:rFonts w:cs="v4.2.0"/>
                <w:highlight w:val="yellow"/>
                <w:lang w:val="fr-FR"/>
              </w:rPr>
              <w:t>N</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3"/>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3"/>
              <w:rPr>
                <w:lang w:val="fr-FR"/>
              </w:rPr>
            </w:pPr>
            <w:r>
              <w:rPr>
                <w:rFonts w:cs="v4.2.0"/>
                <w:lang w:val="fr-FR"/>
              </w:rPr>
              <w:t>ceil(M*P*N)*T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1"/>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51"/>
              <w:rPr>
                <w:rFonts w:cs="v4.2.0"/>
              </w:rPr>
            </w:pPr>
            <w:r>
              <w:t>Note 2:</w:t>
            </w:r>
            <w:r>
              <w:rPr>
                <w:sz w:val="28"/>
              </w:rPr>
              <w:tab/>
            </w:r>
            <w:r>
              <w:t>the requirements are applicable provided that the CSI-RS resource configured for L1-RSRP measurement is transmitted with Density = 3.</w:t>
            </w:r>
          </w:p>
        </w:tc>
      </w:tr>
    </w:tbl>
    <w:p>
      <w:pPr>
        <w:pStyle w:val="8"/>
        <w:numPr>
          <w:ilvl w:val="0"/>
          <w:numId w:val="0"/>
        </w:numPr>
        <w:rPr>
          <w:rFonts w:hint="default"/>
          <w:lang w:val="en-US" w:eastAsia="zh-CN"/>
        </w:rPr>
      </w:pPr>
      <w:r>
        <w:rPr>
          <w:rFonts w:hint="eastAsia"/>
          <w:lang w:val="en-US" w:eastAsia="zh-CN"/>
        </w:rPr>
        <w:t>Generally the assumption of N is 8, i.e. UE would perform 8 Rx beam sweeping. Such general assumption is based on one panel reception from UE side. For the UE capable of two panel/beam reception simultaneously, UE can perform two parallel Rx beam sweeping with two panels/RF chains respectively at the same time. So in theory, the assumption of N can be reduced to 4. However which is somehow related to the UE implementation of DL reception with two AoAs. So we need further discussion on the reduction of scaling factor N.</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In theory, the assumption of schaling factor N can be reduced to 4. However which is somehow related to the UE implementation of DL reception with two AoAs. So we need further discussion on the reduction of scaling factor N.</w:t>
      </w:r>
    </w:p>
    <w:p>
      <w:pPr>
        <w:pStyle w:val="8"/>
        <w:rPr>
          <w:rFonts w:hint="default"/>
          <w:lang w:val="en-US" w:eastAsia="zh-CN"/>
        </w:rPr>
      </w:pPr>
      <w:r>
        <w:rPr>
          <w:rFonts w:hint="eastAsia"/>
          <w:lang w:val="en-US" w:eastAsia="zh-CN"/>
        </w:rPr>
        <w:t xml:space="preserve">From another side, if with two panels/RF chains, UE can perform L1 measurement and RRM measurement at the same time, no matter whether the RRM measurement is based on gap or no gap. Since the beam assumption for L1 measurement and RRM measurement is different. For L1 measurement the fine beam is assumptive since the Rx beam train has been completed. While for RRM measurement, we usually assume only rough beam is applicable by UE. So in legacy Rel-16/17, UE can not perform simultaneous L1 and RRM measurements for FR2 due to different Rx beam assumption. So another scaling factor </w:t>
      </w:r>
      <w:r>
        <w:rPr>
          <w:rFonts w:hint="eastAsia"/>
          <w:highlight w:val="cyan"/>
          <w:lang w:val="en-US" w:eastAsia="zh-CN"/>
        </w:rPr>
        <w:t>P</w:t>
      </w:r>
      <w:r>
        <w:rPr>
          <w:rFonts w:hint="eastAsia"/>
          <w:lang w:val="en-US" w:eastAsia="zh-CN"/>
        </w:rPr>
        <w:t xml:space="preserve"> was identified to address the conflict between such two measurements. If conflict happens, UE would apply scaling factor P to prolong the L1 measurement period to deal with the conflict and at the same time to guarantee the requirement of L1 measurement accuracy. Now based on the two panels/RF chains assumption, UE is possible to preform L1 measurement and RRM measurement at the same time in FR2. So the scaling factor P can be reduced or removed.</w:t>
      </w:r>
    </w:p>
    <w:p>
      <w:pPr>
        <w:pStyle w:val="8"/>
        <w:rPr>
          <w:rFonts w:hint="default"/>
          <w:lang w:val="en-US" w:eastAsia="zh-CN"/>
        </w:rPr>
      </w:pPr>
      <w:r>
        <w:rPr>
          <w:rFonts w:hint="eastAsia" w:eastAsia="宋体" w:cs="Times New Roman"/>
          <w:b/>
          <w:bCs/>
          <w:color w:val="auto"/>
          <w:sz w:val="20"/>
          <w:szCs w:val="20"/>
          <w:highlight w:val="none"/>
          <w:lang w:val="en-US" w:eastAsia="zh-CN" w:bidi="ar-SA"/>
        </w:rPr>
        <w:t>Proposal 2: Based on the two panels/RF chains assumption, UE is possible to preform L1 measurement and RRM measurement at the same time in FR2. So the scaling factor P used to deal with the conflict between L1 measurement and RRM measurement can be reduced or removed.</w:t>
      </w:r>
    </w:p>
    <w:p>
      <w:pPr>
        <w:pStyle w:val="8"/>
        <w:numPr>
          <w:ilvl w:val="0"/>
          <w:numId w:val="0"/>
        </w:numPr>
        <w:rPr>
          <w:rFonts w:hint="eastAsia"/>
          <w:u w:val="single"/>
          <w:lang w:val="en-US" w:eastAsia="zh-CN"/>
        </w:rPr>
      </w:pPr>
      <w:r>
        <w:rPr>
          <w:rFonts w:hint="eastAsia"/>
          <w:u w:val="single"/>
          <w:lang w:val="en-US" w:eastAsia="zh-CN"/>
        </w:rPr>
        <w:t>RRM measurement:</w:t>
      </w:r>
    </w:p>
    <w:p>
      <w:pPr>
        <w:pStyle w:val="8"/>
        <w:rPr>
          <w:rFonts w:hint="eastAsia"/>
          <w:lang w:val="en-US" w:eastAsia="zh-CN"/>
        </w:rPr>
      </w:pPr>
      <w:r>
        <w:rPr>
          <w:rFonts w:hint="eastAsia"/>
          <w:lang w:val="en-US" w:eastAsia="zh-CN"/>
        </w:rPr>
        <w:t>For RRM measurement, UE should identify an intra/inter-f neighbour cell and then perform RRM measurement.</w:t>
      </w:r>
    </w:p>
    <w:p>
      <w:pPr>
        <w:pStyle w:val="8"/>
        <w:rPr>
          <w:rFonts w:hint="eastAsia"/>
          <w:lang w:val="en-US" w:eastAsia="zh-CN"/>
        </w:rPr>
      </w:pPr>
      <w:r>
        <w:rPr>
          <w:rFonts w:hint="eastAsia"/>
          <w:lang w:val="en-US" w:eastAsia="zh-CN"/>
        </w:rPr>
        <w:t>For cell identification procedure, take intra-f measurement without gap as example, the latency of cell identification is as follows:</w:t>
      </w:r>
    </w:p>
    <w:p>
      <w:pPr>
        <w:jc w:val="center"/>
      </w:pPr>
      <w:bookmarkStart w:id="1" w:name="OLE_LINK111"/>
      <w:r>
        <w:t>T</w:t>
      </w:r>
      <w:r>
        <w:rPr>
          <w:vertAlign w:val="subscript"/>
        </w:rPr>
        <w:t xml:space="preserve">identify_intra_without_index </w:t>
      </w:r>
      <w:r>
        <w:t>= (</w:t>
      </w:r>
      <w:bookmarkStart w:id="2" w:name="OLE_LINK27"/>
      <w:r>
        <w:t>T</w:t>
      </w:r>
      <w:r>
        <w:rPr>
          <w:vertAlign w:val="subscript"/>
        </w:rPr>
        <w:t>PSS/SSS_sync_intra</w:t>
      </w:r>
      <w:bookmarkEnd w:id="2"/>
      <w:r>
        <w:t xml:space="preserve"> + T</w:t>
      </w:r>
      <w:r>
        <w:rPr>
          <w:vertAlign w:val="subscript"/>
        </w:rPr>
        <w:t xml:space="preserve"> SSB_measurement_period_intra</w:t>
      </w:r>
      <w:r>
        <w:t>) ms</w:t>
      </w:r>
    </w:p>
    <w:p>
      <w:pPr>
        <w:pStyle w:val="8"/>
        <w:jc w:val="center"/>
      </w:pPr>
      <w:bookmarkStart w:id="3" w:name="OLE_LINK50"/>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bookmarkEnd w:id="1"/>
      <w:bookmarkEnd w:id="3"/>
    </w:p>
    <w:p>
      <w:pPr>
        <w:pStyle w:val="35"/>
      </w:pPr>
      <w:bookmarkStart w:id="4" w:name="OLE_LINK94"/>
      <w:r>
        <w:t>Table 9.2.5.1-2: Time period for PSS/SSS detection, (Frequency range 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20"/>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0" w:type="dxa"/>
            <w:tcBorders>
              <w:top w:val="single" w:color="auto" w:sz="4" w:space="0"/>
              <w:left w:val="single" w:color="auto" w:sz="4" w:space="0"/>
              <w:bottom w:val="single" w:color="auto" w:sz="4" w:space="0"/>
              <w:right w:val="single" w:color="auto" w:sz="4" w:space="0"/>
            </w:tcBorders>
          </w:tcPr>
          <w:p>
            <w:pPr>
              <w:pStyle w:val="32"/>
            </w:pPr>
            <w:r>
              <w:t>DRX cycle</w:t>
            </w:r>
          </w:p>
        </w:tc>
        <w:tc>
          <w:tcPr>
            <w:tcW w:w="4302"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0" w:type="dxa"/>
            <w:tcBorders>
              <w:top w:val="single" w:color="auto" w:sz="4" w:space="0"/>
              <w:left w:val="single" w:color="auto" w:sz="4" w:space="0"/>
              <w:bottom w:val="single" w:color="auto" w:sz="4" w:space="0"/>
              <w:right w:val="single" w:color="auto" w:sz="4" w:space="0"/>
            </w:tcBorders>
          </w:tcPr>
          <w:p>
            <w:pPr>
              <w:pStyle w:val="33"/>
            </w:pPr>
            <w:r>
              <w:t>No DRX</w:t>
            </w:r>
          </w:p>
        </w:tc>
        <w:tc>
          <w:tcPr>
            <w:tcW w:w="4302" w:type="dxa"/>
            <w:tcBorders>
              <w:top w:val="single" w:color="auto" w:sz="4" w:space="0"/>
              <w:left w:val="single" w:color="auto" w:sz="4" w:space="0"/>
              <w:bottom w:val="single" w:color="auto" w:sz="4" w:space="0"/>
              <w:right w:val="single" w:color="auto" w:sz="4" w:space="0"/>
            </w:tcBorders>
          </w:tcPr>
          <w:p>
            <w:pPr>
              <w:pStyle w:val="33"/>
            </w:pPr>
            <w:r>
              <w:t>max(600ms, ceil(</w:t>
            </w:r>
            <w:r>
              <w:rPr>
                <w:highlight w:val="yellow"/>
              </w:rPr>
              <w:t>M</w:t>
            </w:r>
            <w:r>
              <w:rPr>
                <w:highlight w:val="yellow"/>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220" w:type="dxa"/>
            <w:tcBorders>
              <w:top w:val="single" w:color="auto" w:sz="4" w:space="0"/>
              <w:left w:val="single" w:color="auto" w:sz="4" w:space="0"/>
              <w:bottom w:val="single" w:color="auto" w:sz="4" w:space="0"/>
              <w:right w:val="single" w:color="auto" w:sz="4" w:space="0"/>
            </w:tcBorders>
          </w:tcPr>
          <w:p>
            <w:pPr>
              <w:pStyle w:val="33"/>
            </w:pPr>
            <w:r>
              <w:t>DRX cycle</w:t>
            </w:r>
            <w:r>
              <w:rPr>
                <w:rFonts w:hint="eastAsia"/>
                <w:lang w:val="en-US"/>
              </w:rPr>
              <w:t>≤</w:t>
            </w:r>
            <w:r>
              <w:t xml:space="preserve"> 320ms</w:t>
            </w:r>
          </w:p>
        </w:tc>
        <w:tc>
          <w:tcPr>
            <w:tcW w:w="4302" w:type="dxa"/>
            <w:tcBorders>
              <w:top w:val="single" w:color="auto" w:sz="4" w:space="0"/>
              <w:left w:val="single" w:color="auto" w:sz="4" w:space="0"/>
              <w:bottom w:val="single" w:color="auto" w:sz="4" w:space="0"/>
              <w:right w:val="single" w:color="auto" w:sz="4" w:space="0"/>
            </w:tcBorders>
          </w:tcPr>
          <w:p>
            <w:pPr>
              <w:pStyle w:val="33"/>
              <w:rPr>
                <w:b/>
              </w:rPr>
            </w:pPr>
            <w:r>
              <w:t>max(600ms, ceil(1.5 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0" w:type="dxa"/>
            <w:tcBorders>
              <w:top w:val="single" w:color="auto" w:sz="4" w:space="0"/>
              <w:left w:val="single" w:color="auto" w:sz="4" w:space="0"/>
              <w:bottom w:val="single" w:color="auto" w:sz="4" w:space="0"/>
              <w:right w:val="single" w:color="auto" w:sz="4" w:space="0"/>
            </w:tcBorders>
          </w:tcPr>
          <w:p>
            <w:pPr>
              <w:pStyle w:val="33"/>
              <w:rPr>
                <w:b/>
              </w:rPr>
            </w:pPr>
            <w:r>
              <w:t>DRX cycle&gt;320ms</w:t>
            </w:r>
          </w:p>
        </w:tc>
        <w:tc>
          <w:tcPr>
            <w:tcW w:w="4302" w:type="dxa"/>
            <w:tcBorders>
              <w:top w:val="single" w:color="auto" w:sz="4" w:space="0"/>
              <w:left w:val="single" w:color="auto" w:sz="4" w:space="0"/>
              <w:bottom w:val="single" w:color="auto" w:sz="4" w:space="0"/>
              <w:right w:val="single" w:color="auto" w:sz="4" w:space="0"/>
            </w:tcBorders>
          </w:tcPr>
          <w:p>
            <w:pPr>
              <w:pStyle w:val="33"/>
              <w:rPr>
                <w:b/>
              </w:rPr>
            </w:pPr>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51"/>
              <w:rPr>
                <w:i/>
              </w:rPr>
            </w:pPr>
            <w:r>
              <w:t>NOTE 1:</w:t>
            </w:r>
            <w:r>
              <w:tab/>
            </w:r>
            <w:r>
              <w:t>If different SMTC periodicities are configured for different cells, the SMTC period in the requirement is the one used by the cell being identified</w:t>
            </w:r>
          </w:p>
        </w:tc>
      </w:tr>
      <w:bookmarkEnd w:id="4"/>
    </w:tbl>
    <w:p>
      <w:pPr>
        <w:pStyle w:val="8"/>
        <w:jc w:val="center"/>
        <w:rPr>
          <w:rFonts w:hint="default"/>
          <w:lang w:val="en-US" w:eastAsia="zh-CN"/>
        </w:rPr>
      </w:pPr>
    </w:p>
    <w:p>
      <w:pPr>
        <w:pStyle w:val="35"/>
      </w:pPr>
      <w:bookmarkStart w:id="5" w:name="OLE_LINK146"/>
      <w:r>
        <w:t>Table 9.2.5.2-2: Measurement period for intra-frequency measurements without gaps(FR2)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32"/>
            </w:pPr>
            <w:r>
              <w:t>DRX cycle</w:t>
            </w:r>
          </w:p>
        </w:tc>
        <w:tc>
          <w:tcPr>
            <w:tcW w:w="4621"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33"/>
            </w:pPr>
            <w:r>
              <w:t>No DRX</w:t>
            </w:r>
          </w:p>
        </w:tc>
        <w:tc>
          <w:tcPr>
            <w:tcW w:w="4621" w:type="dxa"/>
            <w:tcBorders>
              <w:top w:val="single" w:color="auto" w:sz="4" w:space="0"/>
              <w:left w:val="single" w:color="auto" w:sz="4" w:space="0"/>
              <w:bottom w:val="single" w:color="auto" w:sz="4" w:space="0"/>
              <w:right w:val="single" w:color="auto" w:sz="4" w:space="0"/>
            </w:tcBorders>
          </w:tcPr>
          <w:p>
            <w:pPr>
              <w:pStyle w:val="33"/>
            </w:pPr>
            <w:r>
              <w:t>max(400ms, ceil(</w:t>
            </w:r>
            <w:r>
              <w:rPr>
                <w:highlight w:val="cyan"/>
              </w:rPr>
              <w:t>M</w:t>
            </w:r>
            <w:r>
              <w:rPr>
                <w:highlight w:val="cyan"/>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3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33"/>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3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33"/>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51"/>
            </w:pPr>
            <w:r>
              <w:t>NOTE 1:</w:t>
            </w:r>
            <w:r>
              <w:tab/>
            </w:r>
            <w:r>
              <w:t>If different SMTC periodicities are configured for different cells, the SMTC period in the requirement is the one used by the cell being identified</w:t>
            </w:r>
          </w:p>
        </w:tc>
      </w:tr>
      <w:bookmarkEnd w:id="5"/>
    </w:tbl>
    <w:p>
      <w:pPr>
        <w:pStyle w:val="8"/>
        <w:rPr>
          <w:rFonts w:hint="eastAsia"/>
          <w:lang w:val="en-US" w:eastAsia="zh-CN"/>
        </w:rPr>
      </w:pPr>
      <w:r>
        <w:rPr>
          <w:rFonts w:hint="eastAsia"/>
          <w:lang w:val="en-US" w:eastAsia="zh-CN"/>
        </w:rPr>
        <w:t xml:space="preserve">Wherein the </w:t>
      </w:r>
      <w:r>
        <w:rPr>
          <w:highlight w:val="yellow"/>
        </w:rPr>
        <w:t>M</w:t>
      </w:r>
      <w:r>
        <w:rPr>
          <w:highlight w:val="yellow"/>
          <w:vertAlign w:val="subscript"/>
        </w:rPr>
        <w:t>pss/sss_sync_w/o_gaps</w:t>
      </w:r>
      <w:r>
        <w:rPr>
          <w:rFonts w:hint="eastAsia"/>
          <w:lang w:val="en-US" w:eastAsia="zh-CN"/>
        </w:rPr>
        <w:t xml:space="preserve"> and </w:t>
      </w:r>
      <w:r>
        <w:rPr>
          <w:highlight w:val="cyan"/>
        </w:rPr>
        <w:t>M</w:t>
      </w:r>
      <w:r>
        <w:rPr>
          <w:highlight w:val="cyan"/>
          <w:vertAlign w:val="subscript"/>
        </w:rPr>
        <w:t>meas_period_w/o_gaps</w:t>
      </w:r>
      <w:r>
        <w:rPr>
          <w:rFonts w:hint="eastAsia"/>
          <w:lang w:val="en-US" w:eastAsia="zh-CN"/>
        </w:rPr>
        <w:t xml:space="preserve"> have different assumptions for different power class UEs. However no matter for which power class, 8 Rx beam number has been considered for the assumption of these two factors. Just for different power class, the number of sample is in different assumptions. Similar as L1 measurement, 8 Rx beam number can be reduced since simultaneous two panels/beams reception.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assumption of Rx beam number during cell identification can be reduced similar as in L1 measurement.</w:t>
      </w:r>
    </w:p>
    <w:p>
      <w:pPr>
        <w:pStyle w:val="8"/>
        <w:rPr>
          <w:rFonts w:hint="default" w:eastAsia="宋体" w:cs="Times New Roman"/>
          <w:b/>
          <w:bCs/>
          <w:color w:val="auto"/>
          <w:sz w:val="20"/>
          <w:szCs w:val="20"/>
          <w:highlight w:val="none"/>
          <w:lang w:val="en-US" w:eastAsia="zh-CN" w:bidi="ar-SA"/>
        </w:rPr>
      </w:pPr>
      <w:r>
        <w:rPr>
          <w:rFonts w:hint="eastAsia"/>
          <w:lang w:val="en-US" w:eastAsia="zh-CN"/>
        </w:rPr>
        <w:t xml:space="preserve">For RRM measurement, still take intra-f measurement without gap as example. Similar reduction for </w:t>
      </w:r>
      <w:r>
        <w:rPr>
          <w:highlight w:val="cyan"/>
        </w:rPr>
        <w:t>M</w:t>
      </w:r>
      <w:r>
        <w:rPr>
          <w:highlight w:val="cyan"/>
          <w:vertAlign w:val="subscript"/>
        </w:rPr>
        <w:t>meas_period_w/o_gaps</w:t>
      </w:r>
      <w:r>
        <w:rPr>
          <w:rFonts w:hint="eastAsia"/>
          <w:lang w:val="en-US" w:eastAsia="zh-CN"/>
        </w:rPr>
        <w:t xml:space="preserve"> as the analysis in cell identification.</w:t>
      </w:r>
    </w:p>
    <w:p>
      <w:pPr>
        <w:pStyle w:val="35"/>
      </w:pPr>
      <w:r>
        <w:t>Table 9.2.5.2-2: Measurement period for intra-frequency measurements without gaps(FR2)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2"/>
            </w:pPr>
            <w:r>
              <w:t>DRX cycle</w:t>
            </w:r>
          </w:p>
        </w:tc>
        <w:tc>
          <w:tcPr>
            <w:tcW w:w="4621"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pPr>
            <w:r>
              <w:t>No DRX</w:t>
            </w:r>
          </w:p>
        </w:tc>
        <w:tc>
          <w:tcPr>
            <w:tcW w:w="4621" w:type="dxa"/>
            <w:tcBorders>
              <w:top w:val="single" w:color="auto" w:sz="4" w:space="0"/>
              <w:left w:val="single" w:color="auto" w:sz="4" w:space="0"/>
              <w:bottom w:val="single" w:color="auto" w:sz="4" w:space="0"/>
              <w:right w:val="single" w:color="auto" w:sz="4" w:space="0"/>
            </w:tcBorders>
          </w:tcPr>
          <w:p>
            <w:pPr>
              <w:pStyle w:val="33"/>
            </w:pPr>
            <w:r>
              <w:t>max(400ms, ceil(</w:t>
            </w:r>
            <w:r>
              <w:rPr>
                <w:highlight w:val="cyan"/>
              </w:rPr>
              <w:t>M</w:t>
            </w:r>
            <w:r>
              <w:rPr>
                <w:highlight w:val="cyan"/>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33"/>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33"/>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51"/>
            </w:pPr>
            <w:r>
              <w:t>NOTE 1:</w:t>
            </w:r>
            <w:r>
              <w:tab/>
            </w:r>
            <w:r>
              <w:t>If different SMTC periodicities are configured for different cells, the SMTC period in the requirement is the one used by the cell being identified</w:t>
            </w:r>
          </w:p>
        </w:tc>
      </w:tr>
    </w:tbl>
    <w:p>
      <w:pPr>
        <w:pStyle w:val="8"/>
        <w:rPr>
          <w:rFonts w:hint="eastAsia" w:eastAsia="宋体" w:cs="Times New Roman"/>
          <w:b/>
          <w:bCs/>
          <w:color w:val="auto"/>
          <w:sz w:val="20"/>
          <w:szCs w:val="20"/>
          <w:highlight w:val="none"/>
          <w:lang w:val="en-US" w:eastAsia="zh-CN" w:bidi="ar-SA"/>
        </w:rPr>
      </w:pP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assumption of Rx beam number during RRM measurement can be reduced similar as in cell identification.</w:t>
      </w:r>
    </w:p>
    <w:p>
      <w:pPr>
        <w:pStyle w:val="8"/>
        <w:numPr>
          <w:ilvl w:val="0"/>
          <w:numId w:val="0"/>
        </w:numPr>
        <w:rPr>
          <w:rFonts w:hint="eastAsia"/>
          <w:u w:val="single"/>
          <w:lang w:val="en-US" w:eastAsia="zh-CN"/>
        </w:rPr>
      </w:pPr>
      <w:r>
        <w:rPr>
          <w:rFonts w:hint="eastAsia"/>
          <w:u w:val="single"/>
          <w:lang w:val="en-US" w:eastAsia="zh-CN"/>
        </w:rPr>
        <w:t>RLM/BFD/CBD:</w:t>
      </w:r>
    </w:p>
    <w:p>
      <w:pPr>
        <w:pStyle w:val="8"/>
        <w:rPr>
          <w:rFonts w:hint="eastAsia"/>
          <w:color w:val="auto"/>
          <w:highlight w:val="none"/>
          <w:lang w:val="en-US" w:eastAsia="zh-CN"/>
        </w:rPr>
      </w:pPr>
      <w:r>
        <w:rPr>
          <w:rFonts w:hint="eastAsia"/>
          <w:lang w:val="en-US" w:eastAsia="zh-CN"/>
        </w:rPr>
        <w:t xml:space="preserve">For RLM and BFD, UE needs to evaluate the BLER of RLM/BFD RS and compare it with two thresholds </w:t>
      </w:r>
      <w:r>
        <w:rPr>
          <w:rFonts w:eastAsia="?? ??"/>
        </w:rPr>
        <w:t>Q</w:t>
      </w:r>
      <w:r>
        <w:rPr>
          <w:rFonts w:hint="eastAsia" w:eastAsia="宋体"/>
          <w:vertAlign w:val="subscript"/>
          <w:lang w:val="en-US" w:eastAsia="zh-CN"/>
        </w:rPr>
        <w:t xml:space="preserve">in </w:t>
      </w:r>
      <w:r>
        <w:rPr>
          <w:rFonts w:hint="eastAsia"/>
          <w:lang w:val="en-US" w:eastAsia="zh-CN"/>
        </w:rPr>
        <w:t xml:space="preserve">and </w:t>
      </w:r>
      <w:r>
        <w:rPr>
          <w:rFonts w:eastAsia="?? ??"/>
        </w:rPr>
        <w:t>Q</w:t>
      </w:r>
      <w:r>
        <w:rPr>
          <w:rFonts w:eastAsia="?? ??"/>
          <w:vertAlign w:val="subscript"/>
        </w:rPr>
        <w:t>out</w:t>
      </w:r>
      <w:r>
        <w:rPr>
          <w:rFonts w:hint="eastAsia"/>
          <w:color w:val="auto"/>
          <w:highlight w:val="none"/>
          <w:lang w:val="en-US" w:eastAsia="zh-CN"/>
        </w:rPr>
        <w:t xml:space="preserve"> during the evaluation period. The requirements of evaluation period is defined as follows in FR2:</w:t>
      </w:r>
    </w:p>
    <w:p>
      <w:pPr>
        <w:pStyle w:val="35"/>
      </w:pPr>
      <w:r>
        <w:rPr>
          <w:rFonts w:hint="eastAsia"/>
          <w:color w:val="auto"/>
          <w:highlight w:val="none"/>
          <w:lang w:val="en-US" w:eastAsia="zh-CN"/>
        </w:rPr>
        <w:t xml:space="preserve"> </w:t>
      </w:r>
      <w:r>
        <w:t>Table 8.1.2.2-2: Evaluation period T</w:t>
      </w:r>
      <w:r>
        <w:rPr>
          <w:vertAlign w:val="subscript"/>
        </w:rPr>
        <w:t>Evaluate_out_SSB</w:t>
      </w:r>
      <w:r>
        <w:t xml:space="preserve"> and T</w:t>
      </w:r>
      <w:r>
        <w:rPr>
          <w:vertAlign w:val="subscript"/>
        </w:rPr>
        <w:t>Evaluate_in_SSB</w:t>
      </w:r>
      <w:r>
        <w:t xml:space="preserve"> for 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32"/>
            </w:pPr>
            <w:bookmarkStart w:id="6" w:name="_Hlk513850590"/>
            <w:r>
              <w:t>Configuration</w:t>
            </w:r>
          </w:p>
        </w:tc>
        <w:tc>
          <w:tcPr>
            <w:tcW w:w="3260" w:type="dxa"/>
            <w:shd w:val="clear" w:color="auto" w:fill="auto"/>
          </w:tcPr>
          <w:p>
            <w:pPr>
              <w:pStyle w:val="32"/>
            </w:pPr>
            <w:r>
              <w:t>T</w:t>
            </w:r>
            <w:r>
              <w:rPr>
                <w:vertAlign w:val="subscript"/>
              </w:rPr>
              <w:t>Evaluate_out_SSB</w:t>
            </w:r>
            <w:r>
              <w:t xml:space="preserve"> (ms) </w:t>
            </w:r>
          </w:p>
        </w:tc>
        <w:tc>
          <w:tcPr>
            <w:tcW w:w="3309" w:type="dxa"/>
            <w:shd w:val="clear" w:color="auto" w:fill="auto"/>
          </w:tcPr>
          <w:p>
            <w:pPr>
              <w:pStyle w:val="32"/>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33"/>
            </w:pPr>
            <w:r>
              <w:t>no DRX</w:t>
            </w:r>
          </w:p>
        </w:tc>
        <w:tc>
          <w:tcPr>
            <w:tcW w:w="3260" w:type="dxa"/>
            <w:shd w:val="clear" w:color="auto" w:fill="auto"/>
          </w:tcPr>
          <w:p>
            <w:pPr>
              <w:pStyle w:val="33"/>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c>
          <w:tcPr>
            <w:tcW w:w="3309" w:type="dxa"/>
            <w:shd w:val="clear" w:color="auto" w:fill="auto"/>
          </w:tcPr>
          <w:p>
            <w:pPr>
              <w:pStyle w:val="33"/>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33"/>
            </w:pPr>
            <w:r>
              <w:t>DRX cycle</w:t>
            </w:r>
            <w:r>
              <w:rPr>
                <w:rFonts w:hint="eastAsia"/>
              </w:rPr>
              <w:t>≤</w:t>
            </w:r>
            <w:r>
              <w:t>320</w:t>
            </w:r>
            <w:r>
              <w:rPr>
                <w:rFonts w:hint="eastAsia"/>
                <w:lang w:val="en-US" w:eastAsia="zh-CN"/>
              </w:rPr>
              <w:t>ms</w:t>
            </w:r>
          </w:p>
        </w:tc>
        <w:tc>
          <w:tcPr>
            <w:tcW w:w="3260" w:type="dxa"/>
            <w:shd w:val="clear" w:color="auto" w:fill="auto"/>
          </w:tcPr>
          <w:p>
            <w:pPr>
              <w:pStyle w:val="33"/>
            </w:pPr>
            <w:r>
              <w:t xml:space="preserve">Max(200, 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3309" w:type="dxa"/>
            <w:shd w:val="clear" w:color="auto" w:fill="auto"/>
          </w:tcPr>
          <w:p>
            <w:pPr>
              <w:pStyle w:val="33"/>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33"/>
            </w:pPr>
            <w:r>
              <w:t>DRX cycle&gt;320</w:t>
            </w:r>
            <w:r>
              <w:rPr>
                <w:rFonts w:hint="eastAsia"/>
                <w:lang w:val="en-US" w:eastAsia="zh-CN"/>
              </w:rPr>
              <w:t>ms</w:t>
            </w:r>
          </w:p>
        </w:tc>
        <w:tc>
          <w:tcPr>
            <w:tcW w:w="3260" w:type="dxa"/>
            <w:shd w:val="clear" w:color="auto" w:fill="auto"/>
          </w:tcPr>
          <w:p>
            <w:pPr>
              <w:pStyle w:val="33"/>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pPr>
              <w:pStyle w:val="3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51"/>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6"/>
    </w:tbl>
    <w:p>
      <w:pPr>
        <w:pStyle w:val="8"/>
        <w:rPr>
          <w:rFonts w:hint="eastAsia"/>
          <w:lang w:val="en-US" w:eastAsia="zh-CN"/>
        </w:rPr>
      </w:pPr>
    </w:p>
    <w:p>
      <w:pPr>
        <w:pStyle w:val="32"/>
      </w:pPr>
      <w:r>
        <w:t>Table 8.5.2.2-2: Evaluation period T</w:t>
      </w:r>
      <w:r>
        <w:rPr>
          <w:vertAlign w:val="subscript"/>
        </w:rPr>
        <w:t>Evaluate_BFD_SSB</w:t>
      </w:r>
      <w:r>
        <w:t xml:space="preserve"> for FR2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no DRX</w:t>
            </w:r>
          </w:p>
        </w:tc>
        <w:tc>
          <w:tcPr>
            <w:tcW w:w="4582" w:type="dxa"/>
            <w:tcBorders>
              <w:top w:val="single" w:color="auto" w:sz="4" w:space="0"/>
              <w:left w:val="single" w:color="auto" w:sz="4" w:space="0"/>
              <w:bottom w:val="single" w:color="auto" w:sz="4" w:space="0"/>
              <w:right w:val="single" w:color="auto" w:sz="4" w:space="0"/>
            </w:tcBorders>
          </w:tcPr>
          <w:p>
            <w:pPr>
              <w:pStyle w:val="33"/>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3"/>
            </w:pPr>
            <w:r>
              <w:t xml:space="preserve">Max(50,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position w:val="-10"/>
                <w:lang w:val="en-US" w:eastAsia="zh-CN"/>
              </w:rPr>
              <w:drawing>
                <wp:inline distT="0" distB="0" distL="0" distR="0">
                  <wp:extent cx="152400" cy="198120"/>
                  <wp:effectExtent l="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pStyle w:val="8"/>
        <w:rPr>
          <w:rFonts w:hint="eastAsia"/>
          <w:lang w:val="en-US" w:eastAsia="zh-CN"/>
        </w:rPr>
      </w:pPr>
    </w:p>
    <w:p>
      <w:pPr>
        <w:pStyle w:val="8"/>
        <w:rPr>
          <w:rFonts w:hint="eastAsia"/>
          <w:lang w:val="en-US" w:eastAsia="zh-CN"/>
        </w:rPr>
      </w:pPr>
      <w:r>
        <w:rPr>
          <w:rFonts w:hint="eastAsia"/>
          <w:lang w:val="en-US" w:eastAsia="zh-CN"/>
        </w:rPr>
        <w:t>Wherein the scaling factor N is for the sake of Rx beam sweeping. In legacy, the assumption of N is 8, so similar as the analysis for above, reduced scaling factor N should be considered under 2 panels/beams assumption.</w:t>
      </w:r>
    </w:p>
    <w:p>
      <w:pPr>
        <w:pStyle w:val="8"/>
        <w:rPr>
          <w:rFonts w:hint="eastAsia"/>
          <w:lang w:val="en-US" w:eastAsia="zh-CN"/>
        </w:rPr>
      </w:pPr>
      <w:r>
        <w:rPr>
          <w:rFonts w:hint="eastAsia"/>
          <w:lang w:val="en-US" w:eastAsia="zh-CN"/>
        </w:rPr>
        <w:t>Further more, for the consideration of conflict between RLM/BFD RS and other RS, i.e. measurement restriction, according to current specification, UE can only perform one of multiple measurements when RLM/BFD RS is conflicted with other RS for the case of single carrier, intra-band CA, and inter-band CA but not capable of IBM. If the UE can support 2 panels/beams simultaneous reception, we believe such measurement restriction can be relieved or removed.</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For RLM/BFD, the reduction of scaling factor N can be considered under 2 panels/beams simultaneous reception. Further more, the measurement restriction can be relieved or removed.</w:t>
      </w:r>
    </w:p>
    <w:p>
      <w:pPr>
        <w:pStyle w:val="8"/>
        <w:rPr>
          <w:rFonts w:hint="eastAsia"/>
          <w:u w:val="single"/>
          <w:lang w:val="en-US" w:eastAsia="zh-CN"/>
        </w:rPr>
      </w:pPr>
      <w:r>
        <w:rPr>
          <w:rFonts w:hint="eastAsia"/>
          <w:u w:val="single"/>
          <w:lang w:val="en-US" w:eastAsia="zh-CN"/>
        </w:rPr>
        <w:t>TCI state switching:</w:t>
      </w:r>
    </w:p>
    <w:p>
      <w:pPr>
        <w:pStyle w:val="8"/>
        <w:rPr>
          <w:rFonts w:hint="eastAsia"/>
          <w:lang w:val="en-US" w:eastAsia="zh-CN"/>
        </w:rPr>
      </w:pPr>
      <w:r>
        <w:rPr>
          <w:rFonts w:hint="eastAsia"/>
          <w:lang w:val="en-US" w:eastAsia="zh-CN"/>
        </w:rPr>
        <w:t xml:space="preserve">Except for the consideration of reduction of Rx beam number, another issues should be noted is that whether the cross panel TCI state switching is applicable under the Rel-18 WID. In our opinion, since the target scenario is single component carrier, further more, in fact the current transmitting/receiving TRP is transparent to UE, so such cross-panel TCI state switching is inevitable along with UE moving. Therefore from the perspective of RAN4, the TCI state switching should be identified into two cases: </w:t>
      </w:r>
    </w:p>
    <w:p>
      <w:pPr>
        <w:pStyle w:val="8"/>
        <w:numPr>
          <w:ilvl w:val="0"/>
          <w:numId w:val="6"/>
        </w:numPr>
        <w:ind w:left="840" w:leftChars="0" w:hanging="420" w:firstLineChars="0"/>
        <w:rPr>
          <w:rFonts w:hint="default"/>
          <w:lang w:val="en-US" w:eastAsia="zh-CN"/>
        </w:rPr>
      </w:pPr>
      <w:r>
        <w:rPr>
          <w:rFonts w:hint="eastAsia"/>
          <w:lang w:val="en-US" w:eastAsia="zh-CN"/>
        </w:rPr>
        <w:t>Inside-panel TCI state switching</w:t>
      </w:r>
    </w:p>
    <w:p>
      <w:pPr>
        <w:pStyle w:val="8"/>
        <w:numPr>
          <w:ilvl w:val="0"/>
          <w:numId w:val="6"/>
        </w:numPr>
        <w:ind w:left="840" w:leftChars="0" w:hanging="420" w:firstLineChars="0"/>
        <w:rPr>
          <w:rFonts w:hint="default"/>
          <w:lang w:val="en-US" w:eastAsia="zh-CN"/>
        </w:rPr>
      </w:pPr>
      <w:r>
        <w:rPr>
          <w:rFonts w:hint="eastAsia"/>
          <w:lang w:val="en-US" w:eastAsia="zh-CN"/>
        </w:rPr>
        <w:t>Cross-panel TCI state switching</w:t>
      </w:r>
    </w:p>
    <w:p>
      <w:pPr>
        <w:pStyle w:val="8"/>
        <w:numPr>
          <w:ilvl w:val="0"/>
          <w:numId w:val="0"/>
        </w:numPr>
        <w:rPr>
          <w:rFonts w:hint="eastAsia"/>
          <w:lang w:val="en-US" w:eastAsia="zh-CN"/>
        </w:rPr>
      </w:pPr>
      <w:r>
        <w:rPr>
          <w:rFonts w:hint="eastAsia"/>
          <w:lang w:val="en-US" w:eastAsia="zh-CN"/>
        </w:rPr>
        <w:t xml:space="preserve">For the case of cross-panel TCI state switching, additional panel/RF chain switching time should be considered within the TCI state switching latency. </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pPr>
        <w:pStyle w:val="8"/>
        <w:numPr>
          <w:ilvl w:val="0"/>
          <w:numId w:val="0"/>
        </w:numPr>
        <w:rPr>
          <w:rFonts w:hint="eastAsia"/>
          <w:u w:val="single"/>
          <w:lang w:val="en-US" w:eastAsia="zh-CN"/>
        </w:rPr>
      </w:pPr>
      <w:r>
        <w:rPr>
          <w:rFonts w:hint="eastAsia"/>
          <w:u w:val="single"/>
          <w:lang w:val="en-US" w:eastAsia="zh-CN"/>
        </w:rPr>
        <w:t>Receive timing difference between different directions:</w:t>
      </w:r>
    </w:p>
    <w:p>
      <w:pPr>
        <w:pStyle w:val="8"/>
        <w:numPr>
          <w:ilvl w:val="0"/>
          <w:numId w:val="0"/>
        </w:numPr>
        <w:rPr>
          <w:rFonts w:hint="default"/>
          <w:lang w:val="en-US" w:eastAsia="zh-CN"/>
        </w:rPr>
      </w:pPr>
      <w:r>
        <w:rPr>
          <w:rFonts w:hint="eastAsia"/>
          <w:lang w:val="en-US" w:eastAsia="zh-CN"/>
        </w:rPr>
        <w:t xml:space="preserve">Similar as the requirement of MRTD, when simultaneous reception from different panel/beam. The requirement of receiving timing difference between different directions should be provided. If only considering the requirement itself, the requirements of MRTD for non-co-located CA, i.e. inter-band CA can be re-used. According to the following requirements specified in TS38.133, 8 µs is assumed for FR2-1. </w:t>
      </w:r>
    </w:p>
    <w:p>
      <w:pPr>
        <w:pStyle w:val="35"/>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aggregation</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3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2"/>
            </w:pPr>
            <w:r>
              <w:t>Frequency Range of the pair of carriers</w:t>
            </w:r>
          </w:p>
        </w:tc>
        <w:tc>
          <w:tcPr>
            <w:tcW w:w="3003" w:type="dxa"/>
            <w:shd w:val="clear" w:color="auto" w:fill="auto"/>
          </w:tcPr>
          <w:p>
            <w:pPr>
              <w:pStyle w:val="32"/>
            </w:pPr>
            <w:r>
              <w:t xml:space="preserve">Maximum receive timing difference (µs)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3"/>
            </w:pPr>
            <w:r>
              <w:t>FR1</w:t>
            </w:r>
          </w:p>
        </w:tc>
        <w:tc>
          <w:tcPr>
            <w:tcW w:w="3003" w:type="dxa"/>
            <w:shd w:val="clear" w:color="auto" w:fill="auto"/>
          </w:tcPr>
          <w:p>
            <w:pPr>
              <w:pStyle w:val="33"/>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3"/>
            </w:pPr>
            <w:r>
              <w:rPr>
                <w:rFonts w:eastAsiaTheme="minorEastAsia"/>
              </w:rPr>
              <w:t>FR2-1</w:t>
            </w:r>
          </w:p>
        </w:tc>
        <w:tc>
          <w:tcPr>
            <w:tcW w:w="3003" w:type="dxa"/>
            <w:shd w:val="clear" w:color="auto" w:fill="auto"/>
          </w:tcPr>
          <w:p>
            <w:pPr>
              <w:pStyle w:val="33"/>
            </w:pPr>
            <w:r>
              <w:rPr>
                <w:rFonts w:eastAsiaTheme="minorEastAsia"/>
              </w:rPr>
              <w:t>8</w:t>
            </w:r>
            <w:r>
              <w:rPr>
                <w:rFonts w:eastAsiaTheme="minorEastAsia"/>
                <w:vertAlign w:val="superscript"/>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3"/>
            </w:pPr>
            <w:r>
              <w:rPr>
                <w:rFonts w:eastAsiaTheme="minorEastAsia"/>
              </w:rPr>
              <w:t>Between FR1 and FR2-1</w:t>
            </w:r>
          </w:p>
        </w:tc>
        <w:tc>
          <w:tcPr>
            <w:tcW w:w="3003" w:type="dxa"/>
            <w:shd w:val="clear" w:color="auto" w:fill="auto"/>
          </w:tcPr>
          <w:p>
            <w:pPr>
              <w:pStyle w:val="33"/>
            </w:pPr>
            <w:r>
              <w:rPr>
                <w:rFonts w:eastAsiaTheme="minorEastAsia"/>
                <w:lang w:eastAsia="zh-CN"/>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33"/>
            </w:pPr>
            <w:r>
              <w:rPr>
                <w:rFonts w:eastAsiaTheme="minorEastAsia"/>
              </w:rPr>
              <w:t>Between FR1 and FR2-2</w:t>
            </w:r>
          </w:p>
        </w:tc>
        <w:tc>
          <w:tcPr>
            <w:tcW w:w="3003" w:type="dxa"/>
            <w:shd w:val="clear" w:color="auto" w:fill="auto"/>
          </w:tcPr>
          <w:p>
            <w:pPr>
              <w:pStyle w:val="33"/>
              <w:rPr>
                <w:lang w:eastAsia="zh-CN"/>
              </w:rPr>
            </w:pPr>
            <w:r>
              <w:rPr>
                <w:rFonts w:eastAsiaTheme="minorEastAsia"/>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4" w:type="dxa"/>
            <w:gridSpan w:val="2"/>
            <w:shd w:val="clear" w:color="auto" w:fill="auto"/>
          </w:tcPr>
          <w:p>
            <w:pPr>
              <w:pStyle w:val="51"/>
              <w:rPr>
                <w:lang w:eastAsia="zh-CN"/>
              </w:rPr>
            </w:pPr>
            <w:r>
              <w:rPr>
                <w:rFonts w:eastAsiaTheme="minorEastAsia"/>
                <w:lang w:eastAsia="zh-CN"/>
              </w:rPr>
              <w:t>Note1:</w:t>
            </w:r>
            <w:r>
              <w:rPr>
                <w:rFonts w:eastAsiaTheme="minorEastAsia"/>
              </w:rPr>
              <w:tab/>
            </w:r>
            <w:r>
              <w:rPr>
                <w:rFonts w:eastAsia="Yu Mincho"/>
                <w:lang w:eastAsia="ja-JP"/>
              </w:rPr>
              <w:t xml:space="preserve">This requirement </w:t>
            </w:r>
            <w:r>
              <w:rPr>
                <w:rFonts w:eastAsiaTheme="minorEastAsia"/>
              </w:rPr>
              <w:t>applies to the UE capable of independent beam management for FR2-1 inter-band CA</w:t>
            </w:r>
            <w:r>
              <w:rPr>
                <w:rFonts w:eastAsiaTheme="minorEastAsia"/>
                <w:lang w:eastAsia="zh-CN"/>
              </w:rPr>
              <w:t>.</w:t>
            </w:r>
          </w:p>
        </w:tc>
      </w:tr>
    </w:tbl>
    <w:p>
      <w:pPr>
        <w:pStyle w:val="8"/>
        <w:numPr>
          <w:ilvl w:val="0"/>
          <w:numId w:val="0"/>
        </w:numPr>
        <w:rPr>
          <w:rFonts w:hint="eastAsia"/>
          <w:lang w:val="en-US" w:eastAsia="zh-CN"/>
        </w:rPr>
      </w:pPr>
    </w:p>
    <w:p>
      <w:pPr>
        <w:pStyle w:val="8"/>
        <w:numPr>
          <w:ilvl w:val="0"/>
          <w:numId w:val="0"/>
        </w:numPr>
        <w:rPr>
          <w:rFonts w:hint="eastAsia"/>
          <w:lang w:val="en-US" w:eastAsia="zh-CN"/>
        </w:rPr>
      </w:pPr>
      <w:r>
        <w:rPr>
          <w:rFonts w:hint="eastAsia"/>
          <w:lang w:val="en-US" w:eastAsia="zh-CN"/>
        </w:rPr>
        <w:t>Further more, it should be noted that for FR2, the receiving timing difference between different TRPs should be not longer than CP length based on the assumption in RAN1 and RAN4 in Rel-17 so that single FFT can be used. If RAN4 does not intend to enhance this, we believe the receive timing difference between different directions should not larger than CP length. For 120kHz SCS, CP length is about 0.59 µs. for 240 kHz SCS, CP length is about 0.29 µs. 8 µs is much larger than both length of CP for 120kHz and 240kHz.</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If keep the assumption of single FFT as in Rel-17, the receive timing difference between different directions should be not larger the CP length. But the legacy MRTD under inter-band CA is much larger than CP length for FR2-1, which is beyond UE capability.</w:t>
      </w:r>
    </w:p>
    <w:p>
      <w:pPr>
        <w:pStyle w:val="8"/>
        <w:numPr>
          <w:ilvl w:val="0"/>
          <w:numId w:val="0"/>
        </w:numPr>
        <w:rPr>
          <w:rFonts w:hint="eastAsia"/>
          <w:lang w:val="en-US" w:eastAsia="zh-CN"/>
        </w:rPr>
      </w:pPr>
      <w:r>
        <w:rPr>
          <w:rFonts w:hint="eastAsia"/>
          <w:lang w:val="en-US" w:eastAsia="zh-CN"/>
        </w:rPr>
        <w:t>If UE is capable of supporting two FFTs for different TRP or panel/RF chain reception, the restriction of not larger the CP length can be ignored, so re-using the legacy requirement for inter-band CA is fine.</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If UE is capable of supporting two FFTs for different TRP or panel/RF chain reception, the restriction of not larger the CP length can be ignored, so re-using the legacy requirement for inter-band CA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core requirements for simultaneous DL reception from different directions</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In theory, the assumption of schaling factor N can be reduced to 4. However which is somehow related to the UE implementation of DL reception with two AoAs. So we need further discussion on the reduction of scaling factor 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Based on the two panels/RF chains assumption, UE is possible to preform L1 measurement and RRM measurement at the same time in FR2. So the scaling factor P used to deal with the conflict between L1 measurement and RRM measurement can be reduced or removed.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assumption of Rx beam number during cell identification can be reduced similar as in L1 measurement.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assumption of Rx beam number during RRM measurement can be reduced similar as in cell identification.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For RLM/BFD, the reduction of scaling factor N can be considered under 2 panels/beams simultaneous reception. Further more, the measurement restriction can be relieved or removed.</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pPr>
        <w:pStyle w:val="8"/>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If keep the assumption of single FFT as in Rel-17, the receive timing difference between different directions should be not larger the CP length. But the legacy MRTD under inter-band CA is much larger than CP length for FR2-1, which is beyond UE capability.</w:t>
      </w:r>
    </w:p>
    <w:p>
      <w:pPr>
        <w:pStyle w:val="8"/>
        <w:numPr>
          <w:ilvl w:val="0"/>
          <w:numId w:val="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If UE is capable of supporting two FFTs for different TRP or panel/RF chain reception, the restriction of not larger the CP length can be ignored, so re-using the legacy requirement for inter-band CA is fine.</w:t>
      </w:r>
    </w:p>
    <w:p>
      <w:pPr>
        <w:pStyle w:val="8"/>
        <w:rPr>
          <w:rFonts w:hint="eastAsia" w:eastAsia="宋体" w:cs="Times New Roman"/>
          <w:b/>
          <w:bCs/>
          <w:color w:val="auto"/>
          <w:sz w:val="20"/>
          <w:szCs w:val="20"/>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lang w:val="en-US" w:eastAsia="zh-CN"/>
        </w:rPr>
        <w:t>[1] RP-22</w:t>
      </w:r>
      <w:r>
        <w:rPr>
          <w:rFonts w:hint="eastAsia"/>
          <w:highlight w:val="none"/>
          <w:lang w:val="en-US" w:eastAsia="zh-CN"/>
        </w:rPr>
        <w:t>1753</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Calibri"/>
    <w:panose1 w:val="00000000000000000000"/>
    <w:charset w:val="00"/>
    <w:family w:val="auto"/>
    <w:pitch w:val="default"/>
    <w:sig w:usb0="00000000" w:usb1="00000000" w:usb2="00000000" w:usb3="00000000" w:csb0="00000000" w:csb1="00000000"/>
  </w:font>
  <w:font w:name="?? ??">
    <w:altName w:val="MS Mincho"/>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7C32FD6"/>
    <w:multiLevelType w:val="multilevel"/>
    <w:tmpl w:val="27C32FD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2C3A09"/>
    <w:rsid w:val="028B6A1D"/>
    <w:rsid w:val="028F1C3E"/>
    <w:rsid w:val="037D0CB3"/>
    <w:rsid w:val="03D4720A"/>
    <w:rsid w:val="04654053"/>
    <w:rsid w:val="04793516"/>
    <w:rsid w:val="047A3CFF"/>
    <w:rsid w:val="04885243"/>
    <w:rsid w:val="05317828"/>
    <w:rsid w:val="05477E90"/>
    <w:rsid w:val="05BB5AB9"/>
    <w:rsid w:val="05C42923"/>
    <w:rsid w:val="05F562DB"/>
    <w:rsid w:val="06963BA6"/>
    <w:rsid w:val="06965F3C"/>
    <w:rsid w:val="07CD3CDD"/>
    <w:rsid w:val="0855671D"/>
    <w:rsid w:val="089009EB"/>
    <w:rsid w:val="09716BCA"/>
    <w:rsid w:val="09D64B23"/>
    <w:rsid w:val="09E644B8"/>
    <w:rsid w:val="0B12013A"/>
    <w:rsid w:val="0B1C5C6A"/>
    <w:rsid w:val="0B243EFB"/>
    <w:rsid w:val="0B3D3C2F"/>
    <w:rsid w:val="0BB0429A"/>
    <w:rsid w:val="0BFF5FC6"/>
    <w:rsid w:val="0C276675"/>
    <w:rsid w:val="0C394019"/>
    <w:rsid w:val="10997F43"/>
    <w:rsid w:val="10DE7BAE"/>
    <w:rsid w:val="110404BB"/>
    <w:rsid w:val="111C20F6"/>
    <w:rsid w:val="120774A3"/>
    <w:rsid w:val="12580C1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9852D03"/>
    <w:rsid w:val="1A6F1A83"/>
    <w:rsid w:val="1AD01A1B"/>
    <w:rsid w:val="1B61065A"/>
    <w:rsid w:val="1BBF3927"/>
    <w:rsid w:val="1C177B08"/>
    <w:rsid w:val="1C9001C6"/>
    <w:rsid w:val="1CBA2101"/>
    <w:rsid w:val="1D0573D7"/>
    <w:rsid w:val="1D153DC4"/>
    <w:rsid w:val="1D223E0B"/>
    <w:rsid w:val="1D3A54CD"/>
    <w:rsid w:val="1E132F88"/>
    <w:rsid w:val="1E2867E9"/>
    <w:rsid w:val="1E853F6F"/>
    <w:rsid w:val="1E9C7BCC"/>
    <w:rsid w:val="1ECC1E3C"/>
    <w:rsid w:val="1FFD4083"/>
    <w:rsid w:val="21014C39"/>
    <w:rsid w:val="21045DF0"/>
    <w:rsid w:val="21244EB1"/>
    <w:rsid w:val="213964D8"/>
    <w:rsid w:val="21595D04"/>
    <w:rsid w:val="21F13629"/>
    <w:rsid w:val="2305377E"/>
    <w:rsid w:val="231A76D5"/>
    <w:rsid w:val="24122135"/>
    <w:rsid w:val="24D4257E"/>
    <w:rsid w:val="2572202B"/>
    <w:rsid w:val="2605683C"/>
    <w:rsid w:val="26BB1419"/>
    <w:rsid w:val="27315D1D"/>
    <w:rsid w:val="27B748AA"/>
    <w:rsid w:val="27CB4CB9"/>
    <w:rsid w:val="281C2F58"/>
    <w:rsid w:val="29642C4B"/>
    <w:rsid w:val="29A66B9A"/>
    <w:rsid w:val="2A34628C"/>
    <w:rsid w:val="2A724D05"/>
    <w:rsid w:val="2A7E505C"/>
    <w:rsid w:val="2AC85686"/>
    <w:rsid w:val="2AD04B5F"/>
    <w:rsid w:val="2B39549B"/>
    <w:rsid w:val="2BC05B2C"/>
    <w:rsid w:val="2BD617C5"/>
    <w:rsid w:val="2C112837"/>
    <w:rsid w:val="2C360608"/>
    <w:rsid w:val="2E014790"/>
    <w:rsid w:val="2EE77680"/>
    <w:rsid w:val="2F2F0FC8"/>
    <w:rsid w:val="301C6BB6"/>
    <w:rsid w:val="30723652"/>
    <w:rsid w:val="319708F2"/>
    <w:rsid w:val="31B14C9E"/>
    <w:rsid w:val="33C522D7"/>
    <w:rsid w:val="33F228A5"/>
    <w:rsid w:val="34807672"/>
    <w:rsid w:val="351B1E30"/>
    <w:rsid w:val="358E5935"/>
    <w:rsid w:val="35B06C6A"/>
    <w:rsid w:val="36941AA2"/>
    <w:rsid w:val="36D37423"/>
    <w:rsid w:val="379D23F9"/>
    <w:rsid w:val="3A185287"/>
    <w:rsid w:val="3A1F46B8"/>
    <w:rsid w:val="3A692CD0"/>
    <w:rsid w:val="3B270929"/>
    <w:rsid w:val="3B3D5571"/>
    <w:rsid w:val="3B673620"/>
    <w:rsid w:val="3B9A1F29"/>
    <w:rsid w:val="3CE4646B"/>
    <w:rsid w:val="3D5E7AA8"/>
    <w:rsid w:val="3D6F2596"/>
    <w:rsid w:val="405F175E"/>
    <w:rsid w:val="40C765F3"/>
    <w:rsid w:val="41C755BE"/>
    <w:rsid w:val="42F869D2"/>
    <w:rsid w:val="43553536"/>
    <w:rsid w:val="43B021E5"/>
    <w:rsid w:val="44972678"/>
    <w:rsid w:val="451632B9"/>
    <w:rsid w:val="45906394"/>
    <w:rsid w:val="45F60A50"/>
    <w:rsid w:val="46142D0C"/>
    <w:rsid w:val="46970A81"/>
    <w:rsid w:val="46B036BF"/>
    <w:rsid w:val="47282363"/>
    <w:rsid w:val="476B3528"/>
    <w:rsid w:val="49DC4EAC"/>
    <w:rsid w:val="49E55BC5"/>
    <w:rsid w:val="4C1C63D6"/>
    <w:rsid w:val="4C864A35"/>
    <w:rsid w:val="4E015C76"/>
    <w:rsid w:val="4E310026"/>
    <w:rsid w:val="4E4A2325"/>
    <w:rsid w:val="501A6C55"/>
    <w:rsid w:val="51234069"/>
    <w:rsid w:val="51B14BED"/>
    <w:rsid w:val="52526454"/>
    <w:rsid w:val="525C1CEF"/>
    <w:rsid w:val="528B5767"/>
    <w:rsid w:val="52A77D4F"/>
    <w:rsid w:val="52D33625"/>
    <w:rsid w:val="52FD1C01"/>
    <w:rsid w:val="52FD33B4"/>
    <w:rsid w:val="53A3105E"/>
    <w:rsid w:val="53C64B93"/>
    <w:rsid w:val="548A6C60"/>
    <w:rsid w:val="54E07F19"/>
    <w:rsid w:val="55B1164D"/>
    <w:rsid w:val="55B4735E"/>
    <w:rsid w:val="55BB221D"/>
    <w:rsid w:val="56371459"/>
    <w:rsid w:val="56484633"/>
    <w:rsid w:val="58D0053D"/>
    <w:rsid w:val="598C40A0"/>
    <w:rsid w:val="59DA647E"/>
    <w:rsid w:val="5A556E1A"/>
    <w:rsid w:val="5C1166E3"/>
    <w:rsid w:val="5E2864D0"/>
    <w:rsid w:val="5E494511"/>
    <w:rsid w:val="5EB44FC0"/>
    <w:rsid w:val="5EB81F13"/>
    <w:rsid w:val="5EDA64BC"/>
    <w:rsid w:val="5FBA395F"/>
    <w:rsid w:val="60EC2CBA"/>
    <w:rsid w:val="61CC2D28"/>
    <w:rsid w:val="630C63B9"/>
    <w:rsid w:val="635902CD"/>
    <w:rsid w:val="64706BBE"/>
    <w:rsid w:val="64F2095B"/>
    <w:rsid w:val="65267327"/>
    <w:rsid w:val="65D63F94"/>
    <w:rsid w:val="67A858DB"/>
    <w:rsid w:val="67FE4166"/>
    <w:rsid w:val="68AD2162"/>
    <w:rsid w:val="68C401C3"/>
    <w:rsid w:val="693027BF"/>
    <w:rsid w:val="6968769B"/>
    <w:rsid w:val="69831B57"/>
    <w:rsid w:val="69A833BD"/>
    <w:rsid w:val="6C8E0C06"/>
    <w:rsid w:val="6D566F0F"/>
    <w:rsid w:val="6D836F72"/>
    <w:rsid w:val="6DDE3DAF"/>
    <w:rsid w:val="6E3241BE"/>
    <w:rsid w:val="6EB97A9D"/>
    <w:rsid w:val="6EF10A90"/>
    <w:rsid w:val="6FFF1868"/>
    <w:rsid w:val="71507435"/>
    <w:rsid w:val="715F4C2D"/>
    <w:rsid w:val="722F78FB"/>
    <w:rsid w:val="723D67C5"/>
    <w:rsid w:val="72BF60CA"/>
    <w:rsid w:val="72F41282"/>
    <w:rsid w:val="733D0D32"/>
    <w:rsid w:val="73D411F1"/>
    <w:rsid w:val="753811DE"/>
    <w:rsid w:val="757733D9"/>
    <w:rsid w:val="75BE67D4"/>
    <w:rsid w:val="75C2004C"/>
    <w:rsid w:val="75C759C1"/>
    <w:rsid w:val="762D64F3"/>
    <w:rsid w:val="767E7EFF"/>
    <w:rsid w:val="775B4604"/>
    <w:rsid w:val="77C067C3"/>
    <w:rsid w:val="78911E31"/>
    <w:rsid w:val="7922350F"/>
    <w:rsid w:val="792B5470"/>
    <w:rsid w:val="79C637D8"/>
    <w:rsid w:val="7A9367CB"/>
    <w:rsid w:val="7AF22571"/>
    <w:rsid w:val="7B69224B"/>
    <w:rsid w:val="7BE80F25"/>
    <w:rsid w:val="7C1C35A7"/>
    <w:rsid w:val="7C45431D"/>
    <w:rsid w:val="7D3219D5"/>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2022-08-10T16:36:39Z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