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Pr="004A029C">
        <w:rPr>
          <w:rFonts w:cs="Arial"/>
          <w:sz w:val="24"/>
          <w:szCs w:val="24"/>
        </w:rPr>
        <w:t>-e</w:t>
      </w:r>
      <w:r w:rsidRPr="004A029C">
        <w:rPr>
          <w:rFonts w:cs="Arial"/>
          <w:sz w:val="24"/>
          <w:szCs w:val="24"/>
        </w:rPr>
        <w:tab/>
      </w:r>
      <w:r w:rsidR="00B85047" w:rsidRPr="00B85047">
        <w:rPr>
          <w:rFonts w:cs="Arial"/>
          <w:sz w:val="24"/>
          <w:szCs w:val="24"/>
        </w:rPr>
        <w:t>R4-2212961</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41266" w:rsidRPr="00090215">
        <w:rPr>
          <w:rFonts w:eastAsia="宋体" w:cs="Arial"/>
          <w:sz w:val="24"/>
          <w:szCs w:val="24"/>
          <w:lang w:eastAsia="zh-CN"/>
        </w:rPr>
        <w:t>August 15 – August 26,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32255">
        <w:rPr>
          <w:rFonts w:ascii="Arial" w:hAnsi="Arial"/>
          <w:sz w:val="24"/>
          <w:lang w:val="en-US"/>
        </w:rPr>
        <w:t>9.14.</w:t>
      </w:r>
      <w:r w:rsidR="00CD638E">
        <w:rPr>
          <w:rFonts w:ascii="Arial" w:hAnsi="Arial"/>
          <w:sz w:val="24"/>
          <w:lang w:val="en-US"/>
        </w:rPr>
        <w:t>7</w:t>
      </w:r>
      <w:r w:rsidR="00732255">
        <w:rPr>
          <w:rFonts w:ascii="Arial" w:hAnsi="Arial"/>
          <w:sz w:val="24"/>
          <w:lang w:val="en-US"/>
        </w:rPr>
        <w:t>.1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D638E" w:rsidRPr="00CD638E">
        <w:rPr>
          <w:rFonts w:ascii="Arial" w:hAnsi="Arial"/>
          <w:sz w:val="24"/>
          <w:lang w:val="en-US"/>
        </w:rPr>
        <w:t>Discussion on performance requirements for NR operation extending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D062C5"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w:t>
      </w:r>
      <w:r w:rsidR="00CD638E">
        <w:rPr>
          <w:rFonts w:eastAsiaTheme="minorEastAsia"/>
          <w:lang w:val="en-US" w:eastAsia="zh-CN"/>
        </w:rPr>
        <w:t>, the performance requirements for FR2-2 are initially discussed with agreements and issues captured in</w:t>
      </w:r>
      <w:r>
        <w:rPr>
          <w:rFonts w:eastAsiaTheme="minorEastAsia"/>
          <w:lang w:val="en-US" w:eastAsia="zh-CN"/>
        </w:rPr>
        <w:t xml:space="preserve"> [1]. In this paper, we further provide our views on some</w:t>
      </w:r>
      <w:r w:rsidR="00D062C5">
        <w:rPr>
          <w:rFonts w:eastAsiaTheme="minorEastAsia"/>
          <w:lang w:val="en-US" w:eastAsia="zh-CN"/>
        </w:rPr>
        <w:t xml:space="preserve"> remaining issues.</w:t>
      </w:r>
    </w:p>
    <w:p w:rsidR="00DF0231" w:rsidRDefault="00DF0231" w:rsidP="00DF0231">
      <w:pPr>
        <w:pStyle w:val="Heading1"/>
        <w:numPr>
          <w:ilvl w:val="0"/>
          <w:numId w:val="1"/>
        </w:numPr>
        <w:rPr>
          <w:lang w:val="en-US"/>
        </w:rPr>
      </w:pPr>
      <w:r w:rsidRPr="002D2977">
        <w:rPr>
          <w:lang w:val="en-US"/>
        </w:rPr>
        <w:t>Discussion</w:t>
      </w:r>
    </w:p>
    <w:p w:rsidR="00A4190D" w:rsidRDefault="00BB766D" w:rsidP="001E24D0">
      <w:pPr>
        <w:rPr>
          <w:lang w:eastAsia="zh-CN"/>
        </w:rPr>
      </w:pPr>
      <w:r>
        <w:rPr>
          <w:lang w:eastAsia="zh-CN"/>
        </w:rPr>
        <w:t>Regarding the test cases scope and structures for operation with/without CCA, the status are summarized as follows:</w:t>
      </w:r>
    </w:p>
    <w:tbl>
      <w:tblPr>
        <w:tblStyle w:val="TableGrid"/>
        <w:tblW w:w="0" w:type="auto"/>
        <w:tblLook w:val="04A0" w:firstRow="1" w:lastRow="0" w:firstColumn="1" w:lastColumn="0" w:noHBand="0" w:noVBand="1"/>
      </w:tblPr>
      <w:tblGrid>
        <w:gridCol w:w="9562"/>
      </w:tblGrid>
      <w:tr w:rsidR="00BB766D" w:rsidTr="00BB766D">
        <w:tc>
          <w:tcPr>
            <w:tcW w:w="9562" w:type="dxa"/>
          </w:tcPr>
          <w:p w:rsidR="00BB766D" w:rsidRPr="00BB766D" w:rsidRDefault="00BB766D" w:rsidP="00BB766D">
            <w:pPr>
              <w:rPr>
                <w:rFonts w:eastAsia="宋体"/>
              </w:rPr>
            </w:pPr>
            <w:r w:rsidRPr="00BB766D">
              <w:rPr>
                <w:rFonts w:eastAsia="宋体"/>
                <w:b/>
                <w:lang w:eastAsia="zh-CN"/>
              </w:rPr>
              <w:t>Agreement</w:t>
            </w:r>
            <w:r w:rsidRPr="00BB766D">
              <w:rPr>
                <w:rFonts w:eastAsia="宋体"/>
                <w:lang w:eastAsia="zh-CN"/>
              </w:rPr>
              <w:t>: RAN4 to define RRM performance requirements for the following scenarios:</w:t>
            </w:r>
          </w:p>
          <w:p w:rsidR="00BB766D" w:rsidRPr="00BB766D" w:rsidRDefault="00BB766D" w:rsidP="00BB766D">
            <w:pPr>
              <w:numPr>
                <w:ilvl w:val="0"/>
                <w:numId w:val="45"/>
              </w:numPr>
              <w:spacing w:afterLines="50" w:after="120"/>
              <w:rPr>
                <w:rFonts w:eastAsia="宋体"/>
                <w:lang w:eastAsia="zh-CN"/>
              </w:rPr>
            </w:pPr>
            <w:r w:rsidRPr="00BB766D">
              <w:rPr>
                <w:rFonts w:eastAsia="宋体"/>
                <w:szCs w:val="24"/>
                <w:lang w:eastAsia="zh-CN"/>
              </w:rPr>
              <w:t>FR2-2 only standalone</w:t>
            </w:r>
          </w:p>
          <w:p w:rsidR="00BB766D" w:rsidRPr="00BB766D" w:rsidRDefault="00BB766D" w:rsidP="00BB766D">
            <w:pPr>
              <w:numPr>
                <w:ilvl w:val="0"/>
                <w:numId w:val="45"/>
              </w:numPr>
              <w:spacing w:afterLines="50" w:after="120"/>
              <w:rPr>
                <w:rFonts w:eastAsia="宋体"/>
                <w:lang w:eastAsia="zh-CN"/>
              </w:rPr>
            </w:pPr>
            <w:r w:rsidRPr="00BB766D">
              <w:rPr>
                <w:rFonts w:eastAsia="宋体"/>
                <w:lang w:eastAsia="zh-CN"/>
              </w:rPr>
              <w:t>FR1+FR2-2 CA (FR1 is PCell)</w:t>
            </w:r>
          </w:p>
          <w:p w:rsidR="00BB766D" w:rsidRPr="00BB766D" w:rsidRDefault="00BB766D" w:rsidP="00BB766D">
            <w:pPr>
              <w:numPr>
                <w:ilvl w:val="0"/>
                <w:numId w:val="45"/>
              </w:numPr>
              <w:spacing w:afterLines="50" w:after="120"/>
              <w:rPr>
                <w:rFonts w:eastAsia="宋体"/>
                <w:lang w:eastAsia="zh-CN"/>
              </w:rPr>
            </w:pPr>
            <w:r w:rsidRPr="00BB766D">
              <w:rPr>
                <w:rFonts w:eastAsia="宋体"/>
                <w:szCs w:val="24"/>
                <w:lang w:eastAsia="zh-CN"/>
              </w:rPr>
              <w:t>FR1+FR2-2 DC (FR1 is PCell)</w:t>
            </w:r>
          </w:p>
          <w:p w:rsidR="00BB766D" w:rsidRPr="00BB766D" w:rsidRDefault="00BB766D" w:rsidP="00BB766D">
            <w:pPr>
              <w:spacing w:afterLines="50" w:after="120"/>
              <w:rPr>
                <w:rFonts w:eastAsia="宋体"/>
                <w:szCs w:val="24"/>
                <w:lang w:eastAsia="zh-CN"/>
              </w:rPr>
            </w:pPr>
          </w:p>
          <w:p w:rsidR="00BB766D" w:rsidRPr="00BB766D" w:rsidRDefault="00BB766D" w:rsidP="00BB766D">
            <w:pPr>
              <w:spacing w:afterLines="50" w:after="120"/>
              <w:rPr>
                <w:rFonts w:eastAsia="宋体"/>
                <w:b/>
                <w:lang w:eastAsia="zh-CN"/>
              </w:rPr>
            </w:pPr>
            <w:r w:rsidRPr="00BB766D">
              <w:rPr>
                <w:rFonts w:eastAsia="宋体"/>
                <w:b/>
                <w:lang w:eastAsia="zh-CN"/>
              </w:rPr>
              <w:t xml:space="preserve">Agreement: </w:t>
            </w:r>
            <w:r w:rsidRPr="00BB766D">
              <w:rPr>
                <w:rFonts w:eastAsia="宋体"/>
                <w:bCs/>
                <w:lang w:eastAsia="zh-CN"/>
              </w:rPr>
              <w:t>Performance requirements for FR2-2</w:t>
            </w:r>
          </w:p>
          <w:p w:rsidR="00BB766D" w:rsidRPr="00BB766D" w:rsidRDefault="00BB766D" w:rsidP="00BB766D">
            <w:pPr>
              <w:numPr>
                <w:ilvl w:val="0"/>
                <w:numId w:val="45"/>
              </w:numPr>
              <w:spacing w:afterLines="50" w:after="120"/>
              <w:rPr>
                <w:rFonts w:eastAsia="宋体"/>
                <w:lang w:eastAsia="zh-CN"/>
              </w:rPr>
            </w:pPr>
            <w:r w:rsidRPr="00BB766D">
              <w:rPr>
                <w:rFonts w:eastAsia="宋体"/>
                <w:lang w:eastAsia="zh-CN"/>
              </w:rPr>
              <w:t>Performance requirements for 120kHz SCS in FR2-2</w:t>
            </w:r>
          </w:p>
          <w:p w:rsidR="00BB766D" w:rsidRPr="00BB766D" w:rsidRDefault="00BB766D" w:rsidP="00BB766D">
            <w:pPr>
              <w:numPr>
                <w:ilvl w:val="1"/>
                <w:numId w:val="45"/>
              </w:numPr>
              <w:spacing w:after="120"/>
              <w:rPr>
                <w:rFonts w:eastAsia="宋体"/>
                <w:szCs w:val="24"/>
                <w:lang w:eastAsia="zh-CN"/>
              </w:rPr>
            </w:pPr>
            <w:r w:rsidRPr="00BB766D">
              <w:rPr>
                <w:rFonts w:eastAsia="宋体"/>
                <w:szCs w:val="24"/>
                <w:lang w:eastAsia="zh-CN"/>
              </w:rPr>
              <w:t>Attempt to reuse FR2-1 RRM performance requirements for 120 kHz SCS that do not depend on the Rx Beam sweeping scaling factor.</w:t>
            </w:r>
          </w:p>
          <w:p w:rsidR="00BB766D" w:rsidRPr="00BB766D" w:rsidRDefault="00BB766D" w:rsidP="00BB766D">
            <w:pPr>
              <w:numPr>
                <w:ilvl w:val="1"/>
                <w:numId w:val="45"/>
              </w:numPr>
              <w:spacing w:after="120"/>
              <w:rPr>
                <w:rFonts w:eastAsia="宋体"/>
                <w:szCs w:val="24"/>
                <w:lang w:eastAsia="zh-CN"/>
              </w:rPr>
            </w:pPr>
            <w:r w:rsidRPr="00BB766D">
              <w:rPr>
                <w:rFonts w:eastAsia="宋体"/>
                <w:szCs w:val="24"/>
                <w:lang w:eastAsia="zh-CN"/>
              </w:rPr>
              <w:t>If Rx beam sweeping scaling factor is changed in RRM core requirements, define new RRM performance requirements for 120 kHz SCS considering the decision on the number of Rx Beam for RRM requirements.</w:t>
            </w:r>
          </w:p>
          <w:p w:rsidR="00BB766D" w:rsidRPr="00BB766D" w:rsidRDefault="00BB766D" w:rsidP="00BB766D">
            <w:pPr>
              <w:numPr>
                <w:ilvl w:val="1"/>
                <w:numId w:val="45"/>
              </w:numPr>
              <w:spacing w:after="120"/>
              <w:rPr>
                <w:rFonts w:eastAsia="宋体"/>
                <w:szCs w:val="24"/>
                <w:lang w:eastAsia="zh-CN"/>
              </w:rPr>
            </w:pPr>
            <w:r w:rsidRPr="00BB766D">
              <w:rPr>
                <w:rFonts w:eastAsia="宋体"/>
                <w:szCs w:val="24"/>
                <w:lang w:eastAsia="zh-CN"/>
              </w:rPr>
              <w:t>RAN4 not to reuse FR2-1 RRM performance requirements for 120 kHz SCS with SSB using 240 kHz SCS.</w:t>
            </w:r>
          </w:p>
          <w:p w:rsidR="00BB766D" w:rsidRPr="00BB766D" w:rsidRDefault="00BB766D" w:rsidP="00BB766D">
            <w:pPr>
              <w:numPr>
                <w:ilvl w:val="0"/>
                <w:numId w:val="45"/>
              </w:numPr>
              <w:overflowPunct w:val="0"/>
              <w:autoSpaceDE w:val="0"/>
              <w:autoSpaceDN w:val="0"/>
              <w:adjustRightInd w:val="0"/>
              <w:textAlignment w:val="baseline"/>
              <w:rPr>
                <w:rFonts w:eastAsia="宋体"/>
                <w:szCs w:val="24"/>
                <w:lang w:eastAsia="zh-CN"/>
              </w:rPr>
            </w:pPr>
            <w:r w:rsidRPr="00BB766D">
              <w:rPr>
                <w:rFonts w:eastAsia="宋体"/>
                <w:szCs w:val="24"/>
                <w:lang w:eastAsia="zh-CN"/>
              </w:rPr>
              <w:t>Define RRM performance requirements for 480 kHz and 960 kHz SCS</w:t>
            </w:r>
          </w:p>
          <w:p w:rsidR="00BB766D" w:rsidRPr="00BB766D" w:rsidRDefault="00BB766D" w:rsidP="00BB766D">
            <w:pPr>
              <w:numPr>
                <w:ilvl w:val="0"/>
                <w:numId w:val="45"/>
              </w:numPr>
              <w:overflowPunct w:val="0"/>
              <w:autoSpaceDE w:val="0"/>
              <w:autoSpaceDN w:val="0"/>
              <w:adjustRightInd w:val="0"/>
              <w:textAlignment w:val="baseline"/>
              <w:rPr>
                <w:rFonts w:eastAsia="宋体"/>
                <w:szCs w:val="24"/>
                <w:lang w:eastAsia="zh-CN"/>
              </w:rPr>
            </w:pPr>
            <w:r w:rsidRPr="00BB766D">
              <w:rPr>
                <w:rFonts w:eastAsia="宋体"/>
                <w:szCs w:val="24"/>
                <w:lang w:eastAsia="zh-CN"/>
              </w:rPr>
              <w:t>For requirements that are the same for operation with CCA and without CCA, tests defined for operation without CCA can be reused to test the requirements with CCA</w:t>
            </w:r>
          </w:p>
          <w:p w:rsidR="00BB766D" w:rsidRPr="00BB766D" w:rsidRDefault="00BB766D" w:rsidP="00BB766D">
            <w:pPr>
              <w:spacing w:afterLines="50" w:after="120"/>
              <w:rPr>
                <w:rFonts w:eastAsia="宋体"/>
                <w:lang w:eastAsia="zh-CN"/>
              </w:rPr>
            </w:pPr>
          </w:p>
          <w:p w:rsidR="00BB766D" w:rsidRPr="00BB766D" w:rsidRDefault="00BB766D" w:rsidP="00BB766D">
            <w:pPr>
              <w:spacing w:afterLines="50" w:after="120"/>
              <w:rPr>
                <w:rFonts w:eastAsia="宋体"/>
                <w:b/>
                <w:lang w:eastAsia="zh-CN"/>
              </w:rPr>
            </w:pPr>
            <w:r w:rsidRPr="00BB766D">
              <w:rPr>
                <w:rFonts w:eastAsia="宋体"/>
                <w:b/>
                <w:lang w:eastAsia="zh-CN"/>
              </w:rPr>
              <w:t xml:space="preserve">Agreement: </w:t>
            </w:r>
            <w:r w:rsidRPr="00BB766D">
              <w:rPr>
                <w:rFonts w:eastAsia="宋体"/>
                <w:bCs/>
                <w:lang w:eastAsia="zh-CN"/>
              </w:rPr>
              <w:t xml:space="preserve">Specification structure for test cases </w:t>
            </w:r>
          </w:p>
          <w:p w:rsidR="00BB766D" w:rsidRPr="00BB766D" w:rsidRDefault="00BB766D" w:rsidP="00BB766D">
            <w:pPr>
              <w:numPr>
                <w:ilvl w:val="0"/>
                <w:numId w:val="45"/>
              </w:numPr>
              <w:spacing w:afterLines="50" w:after="120"/>
              <w:rPr>
                <w:rFonts w:eastAsia="宋体"/>
                <w:lang w:eastAsia="zh-CN"/>
              </w:rPr>
            </w:pPr>
            <w:r w:rsidRPr="00BB766D">
              <w:rPr>
                <w:rFonts w:eastAsia="宋体"/>
                <w:lang w:eastAsia="zh-CN"/>
              </w:rPr>
              <w:t>Define test cases for operation in FR2-2 in dedicated sections</w:t>
            </w:r>
          </w:p>
          <w:p w:rsidR="00BB766D" w:rsidRPr="00BB766D" w:rsidRDefault="00BB766D" w:rsidP="00BB766D">
            <w:pPr>
              <w:numPr>
                <w:ilvl w:val="0"/>
                <w:numId w:val="45"/>
              </w:numPr>
              <w:spacing w:afterLines="50" w:after="120"/>
              <w:rPr>
                <w:rFonts w:eastAsia="宋体"/>
                <w:lang w:eastAsia="zh-CN"/>
              </w:rPr>
            </w:pPr>
            <w:r w:rsidRPr="00BB766D">
              <w:rPr>
                <w:rFonts w:eastAsia="宋体"/>
                <w:lang w:eastAsia="zh-CN"/>
              </w:rPr>
              <w:t>Create in TS 38.133 the following new top-level sections for NR-test cases with CCA in FR2-2</w:t>
            </w:r>
          </w:p>
          <w:p w:rsidR="00BB766D" w:rsidRPr="00BB766D" w:rsidRDefault="00BB766D" w:rsidP="00BB766D">
            <w:pPr>
              <w:numPr>
                <w:ilvl w:val="1"/>
                <w:numId w:val="45"/>
              </w:numPr>
              <w:overflowPunct w:val="0"/>
              <w:autoSpaceDE w:val="0"/>
              <w:autoSpaceDN w:val="0"/>
              <w:adjustRightInd w:val="0"/>
              <w:spacing w:after="120"/>
              <w:textAlignment w:val="baseline"/>
              <w:rPr>
                <w:rFonts w:eastAsia="宋体"/>
                <w:szCs w:val="24"/>
                <w:lang w:eastAsia="zh-CN"/>
              </w:rPr>
            </w:pPr>
            <w:r w:rsidRPr="00BB766D">
              <w:rPr>
                <w:rFonts w:eastAsia="宋体"/>
                <w:szCs w:val="24"/>
                <w:lang w:eastAsia="zh-CN"/>
              </w:rPr>
              <w:t>A.14 NR Standalone Tests with NR PCell under CCA and Other NR Cells in FR2-2</w:t>
            </w:r>
          </w:p>
          <w:p w:rsidR="00BB766D" w:rsidRPr="00BB766D" w:rsidRDefault="00BB766D" w:rsidP="00BB766D">
            <w:pPr>
              <w:numPr>
                <w:ilvl w:val="1"/>
                <w:numId w:val="45"/>
              </w:numPr>
              <w:overflowPunct w:val="0"/>
              <w:autoSpaceDE w:val="0"/>
              <w:autoSpaceDN w:val="0"/>
              <w:adjustRightInd w:val="0"/>
              <w:spacing w:after="120"/>
              <w:textAlignment w:val="baseline"/>
              <w:rPr>
                <w:rFonts w:eastAsia="宋体"/>
                <w:szCs w:val="24"/>
                <w:lang w:eastAsia="zh-CN"/>
              </w:rPr>
            </w:pPr>
            <w:r w:rsidRPr="00BB766D">
              <w:rPr>
                <w:rFonts w:eastAsia="宋体"/>
                <w:szCs w:val="24"/>
                <w:lang w:eastAsia="zh-CN"/>
              </w:rPr>
              <w:t>A.15 NR Standalone Tests with NR Scell under CCA and All Other Cells in FR2-2</w:t>
            </w:r>
          </w:p>
          <w:p w:rsidR="00BB766D" w:rsidRDefault="00BB766D" w:rsidP="001E24D0">
            <w:pPr>
              <w:rPr>
                <w:lang w:eastAsia="zh-CN"/>
              </w:rPr>
            </w:pPr>
          </w:p>
        </w:tc>
      </w:tr>
    </w:tbl>
    <w:p w:rsidR="00BB766D" w:rsidRDefault="00BB766D" w:rsidP="001E24D0">
      <w:pPr>
        <w:rPr>
          <w:lang w:eastAsia="zh-CN"/>
        </w:rPr>
      </w:pPr>
    </w:p>
    <w:p w:rsidR="00BB766D" w:rsidRDefault="00BB766D" w:rsidP="001E24D0">
      <w:pPr>
        <w:rPr>
          <w:lang w:eastAsia="zh-CN"/>
        </w:rPr>
      </w:pPr>
    </w:p>
    <w:p w:rsidR="00BB766D" w:rsidRDefault="00016765" w:rsidP="001E24D0">
      <w:pPr>
        <w:rPr>
          <w:lang w:eastAsia="zh-CN"/>
        </w:rPr>
      </w:pPr>
      <w:r>
        <w:rPr>
          <w:lang w:eastAsia="zh-CN"/>
        </w:rPr>
        <w:lastRenderedPageBreak/>
        <w:t xml:space="preserve">Regarding how to organize </w:t>
      </w:r>
      <w:r w:rsidR="005237D2">
        <w:rPr>
          <w:lang w:eastAsia="zh-CN"/>
        </w:rPr>
        <w:t xml:space="preserve">the test cases for FR2-2 (licensed and unlicensed operation), it was agreed in last meeting that creating new top-level sections for test cases with CCA. For test cases for licensed operations, the structure is not clear. During the discussion in previous meeting, </w:t>
      </w:r>
      <w:r w:rsidR="00480939">
        <w:rPr>
          <w:lang w:eastAsia="zh-CN"/>
        </w:rPr>
        <w:t>some companies suggested to add configurations in exiting test cases, which may have impacts on almost all existing test cases. Thus, it is preferred to create dedicated test cases for FR2-2 in existing sections.</w:t>
      </w:r>
    </w:p>
    <w:p w:rsidR="00BB766D" w:rsidRPr="001632F9" w:rsidRDefault="00BB766D" w:rsidP="00BB766D">
      <w:pPr>
        <w:rPr>
          <w:b/>
          <w:lang w:eastAsia="zh-CN"/>
        </w:rPr>
      </w:pPr>
      <w:r w:rsidRPr="001632F9">
        <w:rPr>
          <w:b/>
          <w:lang w:eastAsia="zh-CN"/>
        </w:rPr>
        <w:t xml:space="preserve">Proposal </w:t>
      </w:r>
      <w:r w:rsidR="005237D2">
        <w:rPr>
          <w:b/>
          <w:lang w:eastAsia="zh-CN"/>
        </w:rPr>
        <w:t>1</w:t>
      </w:r>
      <w:r w:rsidRPr="001632F9">
        <w:rPr>
          <w:b/>
          <w:lang w:eastAsia="zh-CN"/>
        </w:rPr>
        <w:t>: For licensed operation, create dedicated test cases for FR2-2 in existing sections (A.</w:t>
      </w:r>
      <w:r w:rsidR="001632F9">
        <w:rPr>
          <w:b/>
          <w:lang w:eastAsia="zh-CN"/>
        </w:rPr>
        <w:t>7</w:t>
      </w:r>
      <w:r w:rsidRPr="001632F9">
        <w:rPr>
          <w:b/>
          <w:lang w:eastAsia="zh-CN"/>
        </w:rPr>
        <w:t xml:space="preserve">). </w:t>
      </w:r>
    </w:p>
    <w:p w:rsidR="00BB766D" w:rsidRDefault="00BB766D" w:rsidP="00BB766D">
      <w:pPr>
        <w:rPr>
          <w:lang w:eastAsia="zh-CN"/>
        </w:rPr>
      </w:pPr>
      <w:r>
        <w:rPr>
          <w:lang w:eastAsia="zh-CN"/>
        </w:rPr>
        <w:t xml:space="preserve">Regarding the SCS configuration, as the beam sweeping factor is extended which means the requirements cannot be reused directly for 120 kHz, </w:t>
      </w:r>
      <w:r w:rsidR="00195679">
        <w:rPr>
          <w:lang w:eastAsia="zh-CN"/>
        </w:rPr>
        <w:t xml:space="preserve">test cases configurations shall include (120/480/960 kHz). </w:t>
      </w:r>
      <w:r w:rsidR="007A730E">
        <w:rPr>
          <w:lang w:eastAsia="zh-CN"/>
        </w:rPr>
        <w:t>Based on agreement in RF session about BW for each SCS, it is proposed to have following configurations:</w:t>
      </w:r>
    </w:p>
    <w:p w:rsidR="007A730E" w:rsidRDefault="00DD09A1" w:rsidP="00E85E5E">
      <w:pPr>
        <w:pStyle w:val="ListParagraph"/>
        <w:numPr>
          <w:ilvl w:val="0"/>
          <w:numId w:val="47"/>
        </w:numPr>
        <w:ind w:firstLineChars="0"/>
        <w:rPr>
          <w:lang w:eastAsia="zh-CN"/>
        </w:rPr>
      </w:pPr>
      <w:r>
        <w:rPr>
          <w:lang w:eastAsia="zh-CN"/>
        </w:rPr>
        <w:t>120 kHz, 100 MHz bandwidth</w:t>
      </w:r>
    </w:p>
    <w:p w:rsidR="00DD09A1" w:rsidRDefault="00DD09A1" w:rsidP="00E85E5E">
      <w:pPr>
        <w:pStyle w:val="ListParagraph"/>
        <w:numPr>
          <w:ilvl w:val="0"/>
          <w:numId w:val="47"/>
        </w:numPr>
        <w:ind w:firstLineChars="0"/>
        <w:rPr>
          <w:lang w:eastAsia="zh-CN"/>
        </w:rPr>
      </w:pPr>
      <w:r>
        <w:rPr>
          <w:lang w:eastAsia="zh-CN"/>
        </w:rPr>
        <w:t>480 kHz, 400 MHz bandwidth</w:t>
      </w:r>
    </w:p>
    <w:p w:rsidR="00DD09A1" w:rsidRDefault="00DD09A1" w:rsidP="00E85E5E">
      <w:pPr>
        <w:pStyle w:val="ListParagraph"/>
        <w:numPr>
          <w:ilvl w:val="0"/>
          <w:numId w:val="47"/>
        </w:numPr>
        <w:ind w:firstLineChars="0"/>
        <w:rPr>
          <w:lang w:eastAsia="zh-CN"/>
        </w:rPr>
      </w:pPr>
      <w:r>
        <w:rPr>
          <w:lang w:eastAsia="zh-CN"/>
        </w:rPr>
        <w:t>960 kHz, 400 MHz bandwidth</w:t>
      </w:r>
    </w:p>
    <w:p w:rsidR="00DD09A1" w:rsidRDefault="00F23DE2" w:rsidP="00BB766D">
      <w:pPr>
        <w:rPr>
          <w:b/>
          <w:lang w:eastAsia="zh-CN"/>
        </w:rPr>
      </w:pPr>
      <w:r w:rsidRPr="00F23DE2">
        <w:rPr>
          <w:b/>
          <w:lang w:eastAsia="zh-CN"/>
        </w:rPr>
        <w:t xml:space="preserve">Proposal </w:t>
      </w:r>
      <w:r w:rsidR="00480939">
        <w:rPr>
          <w:b/>
          <w:lang w:eastAsia="zh-CN"/>
        </w:rPr>
        <w:t>2</w:t>
      </w:r>
      <w:r w:rsidRPr="00F23DE2">
        <w:rPr>
          <w:b/>
          <w:lang w:eastAsia="zh-CN"/>
        </w:rPr>
        <w:t>:  Following SCS/BW configurations to be used in test cases for FR2-2</w:t>
      </w:r>
    </w:p>
    <w:p w:rsidR="00F23DE2" w:rsidRDefault="00F23DE2" w:rsidP="00F23DE2">
      <w:pPr>
        <w:pStyle w:val="ListParagraph"/>
        <w:numPr>
          <w:ilvl w:val="0"/>
          <w:numId w:val="47"/>
        </w:numPr>
        <w:ind w:firstLineChars="0"/>
        <w:rPr>
          <w:lang w:eastAsia="zh-CN"/>
        </w:rPr>
      </w:pPr>
      <w:r>
        <w:rPr>
          <w:lang w:eastAsia="zh-CN"/>
        </w:rPr>
        <w:t>120 kHz, 100 MHz bandwidth</w:t>
      </w:r>
    </w:p>
    <w:p w:rsidR="00F23DE2" w:rsidRDefault="00F23DE2" w:rsidP="00F23DE2">
      <w:pPr>
        <w:pStyle w:val="ListParagraph"/>
        <w:numPr>
          <w:ilvl w:val="0"/>
          <w:numId w:val="47"/>
        </w:numPr>
        <w:ind w:firstLineChars="0"/>
        <w:rPr>
          <w:lang w:eastAsia="zh-CN"/>
        </w:rPr>
      </w:pPr>
      <w:r>
        <w:rPr>
          <w:lang w:eastAsia="zh-CN"/>
        </w:rPr>
        <w:t>480 kHz, 400 MHz bandwidth</w:t>
      </w:r>
    </w:p>
    <w:p w:rsidR="00F23DE2" w:rsidRDefault="00F23DE2" w:rsidP="00BB766D">
      <w:pPr>
        <w:pStyle w:val="ListParagraph"/>
        <w:numPr>
          <w:ilvl w:val="0"/>
          <w:numId w:val="47"/>
        </w:numPr>
        <w:ind w:firstLineChars="0"/>
        <w:rPr>
          <w:lang w:eastAsia="zh-CN"/>
        </w:rPr>
      </w:pPr>
      <w:r>
        <w:rPr>
          <w:lang w:eastAsia="zh-CN"/>
        </w:rPr>
        <w:t>960 kHz, 400 MHz bandwidth</w:t>
      </w:r>
    </w:p>
    <w:p w:rsidR="00480939" w:rsidRDefault="00480939" w:rsidP="00480939">
      <w:pPr>
        <w:rPr>
          <w:lang w:eastAsia="zh-CN"/>
        </w:rPr>
      </w:pPr>
      <w:r>
        <w:rPr>
          <w:lang w:eastAsia="zh-CN"/>
        </w:rPr>
        <w:t xml:space="preserve">In legacy test cases, UE is only required to pass one of the configurations. But for FR2-2, it is a bit different. 480 kHz and 960 kHz are optionally supported. If configurations contains 120,480 and 960 kHz, if UE is only required to be tested by one configuration, then the performance of 480/960 may not be verified. It is different from legacy cases where all SCS are mandatory supported. </w:t>
      </w:r>
    </w:p>
    <w:p w:rsidR="00480939" w:rsidRPr="00480939" w:rsidRDefault="00480939" w:rsidP="00480939">
      <w:pPr>
        <w:rPr>
          <w:b/>
          <w:lang w:eastAsia="zh-CN"/>
        </w:rPr>
      </w:pPr>
      <w:r w:rsidRPr="00480939">
        <w:rPr>
          <w:b/>
          <w:lang w:eastAsia="zh-CN"/>
        </w:rPr>
        <w:t xml:space="preserve">Proposal 3: Discuss whether UE is required to be tested using configurations for 480/960 kHz when the corresponding SCS is supported. </w:t>
      </w:r>
    </w:p>
    <w:p w:rsidR="002323DE" w:rsidRPr="00D86DE8" w:rsidRDefault="00D86DE8" w:rsidP="001E24D0">
      <w:pPr>
        <w:rPr>
          <w:lang w:eastAsia="zh-CN"/>
        </w:rPr>
      </w:pPr>
      <w:r w:rsidRPr="00D86DE8">
        <w:rPr>
          <w:lang w:eastAsia="zh-CN"/>
        </w:rPr>
        <w:t>The CCA model is discussed in last meeting, and the latest status are summarized as follows:</w:t>
      </w:r>
    </w:p>
    <w:tbl>
      <w:tblPr>
        <w:tblStyle w:val="TableGrid"/>
        <w:tblW w:w="0" w:type="auto"/>
        <w:tblLook w:val="04A0" w:firstRow="1" w:lastRow="0" w:firstColumn="1" w:lastColumn="0" w:noHBand="0" w:noVBand="1"/>
      </w:tblPr>
      <w:tblGrid>
        <w:gridCol w:w="9562"/>
      </w:tblGrid>
      <w:tr w:rsidR="00D86DE8" w:rsidTr="00D86DE8">
        <w:tc>
          <w:tcPr>
            <w:tcW w:w="9562" w:type="dxa"/>
          </w:tcPr>
          <w:p w:rsidR="00D86DE8" w:rsidRPr="00EF3FF4" w:rsidRDefault="00D86DE8" w:rsidP="00D86DE8">
            <w:pPr>
              <w:spacing w:afterLines="50" w:after="120"/>
              <w:rPr>
                <w:b/>
                <w:lang w:eastAsia="zh-CN"/>
              </w:rPr>
            </w:pPr>
            <w:r>
              <w:rPr>
                <w:b/>
                <w:lang w:eastAsia="zh-CN"/>
              </w:rPr>
              <w:t>Way forward</w:t>
            </w:r>
            <w:r w:rsidRPr="00EF3FF4">
              <w:rPr>
                <w:b/>
                <w:lang w:eastAsia="zh-CN"/>
              </w:rPr>
              <w:t>:</w:t>
            </w:r>
            <w:r>
              <w:rPr>
                <w:b/>
                <w:lang w:eastAsia="zh-CN"/>
              </w:rPr>
              <w:t xml:space="preserve"> </w:t>
            </w:r>
            <w:r>
              <w:rPr>
                <w:bCs/>
                <w:lang w:eastAsia="zh-CN"/>
              </w:rPr>
              <w:t>Further discuss the following options for modelling unavailable SSB/SMTC</w:t>
            </w:r>
          </w:p>
          <w:p w:rsidR="00D86DE8" w:rsidRPr="00EF74DA" w:rsidRDefault="00D86DE8" w:rsidP="00D86DE8">
            <w:pPr>
              <w:pStyle w:val="ListParagraph"/>
              <w:numPr>
                <w:ilvl w:val="0"/>
                <w:numId w:val="45"/>
              </w:numPr>
              <w:overflowPunct w:val="0"/>
              <w:autoSpaceDE w:val="0"/>
              <w:autoSpaceDN w:val="0"/>
              <w:adjustRightInd w:val="0"/>
              <w:spacing w:after="120"/>
              <w:ind w:firstLineChars="0"/>
              <w:textAlignment w:val="baseline"/>
              <w:rPr>
                <w:szCs w:val="24"/>
                <w:lang w:eastAsia="zh-CN"/>
              </w:rPr>
            </w:pPr>
            <w:r>
              <w:rPr>
                <w:szCs w:val="24"/>
                <w:lang w:eastAsia="zh-CN"/>
              </w:rPr>
              <w:t>Option</w:t>
            </w:r>
            <w:r w:rsidRPr="00EF74DA">
              <w:rPr>
                <w:szCs w:val="24"/>
                <w:lang w:eastAsia="zh-CN"/>
              </w:rPr>
              <w:t xml:space="preserve"> 1a: For test cases where no </w:t>
            </w:r>
            <w:r>
              <w:rPr>
                <w:szCs w:val="24"/>
                <w:lang w:eastAsia="zh-CN"/>
              </w:rPr>
              <w:t>specific UE</w:t>
            </w:r>
            <w:r w:rsidRPr="00EF74DA">
              <w:rPr>
                <w:szCs w:val="24"/>
                <w:lang w:eastAsia="zh-CN"/>
              </w:rPr>
              <w:t xml:space="preserve"> behaviour to be verified, an unavailable SSB/SMTC group can be modelled as that there is one SSB not transmitted by TE in N consecutive SSB/SMTC occasions</w:t>
            </w:r>
          </w:p>
          <w:p w:rsidR="00D86DE8" w:rsidRDefault="00D86DE8" w:rsidP="00D86DE8">
            <w:pPr>
              <w:numPr>
                <w:ilvl w:val="0"/>
                <w:numId w:val="45"/>
              </w:numPr>
              <w:spacing w:afterLines="50" w:after="120"/>
              <w:rPr>
                <w:lang w:eastAsia="zh-CN"/>
              </w:rPr>
            </w:pPr>
            <w:r>
              <w:rPr>
                <w:szCs w:val="24"/>
                <w:lang w:eastAsia="zh-CN"/>
              </w:rPr>
              <w:t>Option</w:t>
            </w:r>
            <w:r w:rsidRPr="00EF74DA">
              <w:rPr>
                <w:szCs w:val="24"/>
                <w:lang w:eastAsia="zh-CN"/>
              </w:rPr>
              <w:t xml:space="preserve"> 1b: If</w:t>
            </w:r>
            <w:r>
              <w:rPr>
                <w:szCs w:val="24"/>
                <w:lang w:eastAsia="zh-CN"/>
              </w:rPr>
              <w:t xml:space="preserve"> a</w:t>
            </w:r>
            <w:r w:rsidRPr="00EF74DA">
              <w:rPr>
                <w:szCs w:val="24"/>
                <w:lang w:eastAsia="zh-CN"/>
              </w:rPr>
              <w:t xml:space="preserve"> </w:t>
            </w:r>
            <w:r>
              <w:rPr>
                <w:szCs w:val="24"/>
                <w:lang w:eastAsia="zh-CN"/>
              </w:rPr>
              <w:t>specific</w:t>
            </w:r>
            <w:r w:rsidRPr="00EF74DA">
              <w:rPr>
                <w:szCs w:val="24"/>
                <w:lang w:eastAsia="zh-CN"/>
              </w:rPr>
              <w:t xml:space="preserve"> UE behaviour is to be verified when exceeding the limitation of unavailable SBS/SMTC groups, the unavailable SSB/SMTC group can be modelled as none of SSB is transmitted by TE</w:t>
            </w:r>
          </w:p>
          <w:p w:rsidR="00D86DE8" w:rsidRDefault="00D86DE8" w:rsidP="001E24D0">
            <w:pPr>
              <w:rPr>
                <w:b/>
                <w:lang w:eastAsia="zh-CN"/>
              </w:rPr>
            </w:pPr>
          </w:p>
        </w:tc>
      </w:tr>
    </w:tbl>
    <w:p w:rsidR="00D86DE8" w:rsidRDefault="00D86DE8" w:rsidP="001E24D0">
      <w:pPr>
        <w:rPr>
          <w:b/>
          <w:lang w:eastAsia="zh-CN"/>
        </w:rPr>
      </w:pPr>
    </w:p>
    <w:p w:rsidR="00D86DE8" w:rsidRDefault="00D86DE8" w:rsidP="00D86DE8">
      <w:r>
        <w:t xml:space="preserve">For instance, if the SSB pattern 3 is used (480 KHz with 1 SSB in each SS-burst), option 1b means all SSBs are muted for consecutive 12 SSB as follows. If particular behavior is to be verified (i.e. </w:t>
      </w:r>
      <w:r w:rsidRPr="001D534E">
        <w:t>Report RSRP_0 upon L1 exceeding L1,max for L1-RSRP measurement</w:t>
      </w:r>
      <w:r>
        <w:t>), the option 1b should be adopted; otherwise, if there is one SSB available, it is possible that UE will threat this group as an available one.</w:t>
      </w:r>
    </w:p>
    <w:p w:rsidR="00D86DE8" w:rsidRDefault="00D86DE8" w:rsidP="00D86DE8"/>
    <w:p w:rsidR="00D86DE8" w:rsidRDefault="00D86DE8" w:rsidP="00D86DE8">
      <w:r>
        <w:rPr>
          <w:noProof/>
          <w:lang w:val="en-US" w:eastAsia="zh-CN"/>
        </w:rPr>
        <w:drawing>
          <wp:inline distT="0" distB="0" distL="0" distR="0" wp14:anchorId="0D6FED3B" wp14:editId="19EC9ED1">
            <wp:extent cx="5274310" cy="854075"/>
            <wp:effectExtent l="0" t="0" r="254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854075"/>
                    </a:xfrm>
                    <a:prstGeom prst="rect">
                      <a:avLst/>
                    </a:prstGeom>
                  </pic:spPr>
                </pic:pic>
              </a:graphicData>
            </a:graphic>
          </wp:inline>
        </w:drawing>
      </w:r>
    </w:p>
    <w:p w:rsidR="00D86DE8" w:rsidRDefault="00D86DE8" w:rsidP="00D86DE8">
      <w:r>
        <w:rPr>
          <w:noProof/>
          <w:lang w:val="en-US" w:eastAsia="zh-CN"/>
        </w:rPr>
        <w:lastRenderedPageBreak/>
        <w:drawing>
          <wp:inline distT="0" distB="0" distL="0" distR="0" wp14:anchorId="5CA0295D" wp14:editId="075FA9D5">
            <wp:extent cx="5274310" cy="86106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861060"/>
                    </a:xfrm>
                    <a:prstGeom prst="rect">
                      <a:avLst/>
                    </a:prstGeom>
                  </pic:spPr>
                </pic:pic>
              </a:graphicData>
            </a:graphic>
          </wp:inline>
        </w:drawing>
      </w:r>
    </w:p>
    <w:p w:rsidR="00D86DE8" w:rsidRDefault="00D86DE8" w:rsidP="00D86DE8">
      <w:r>
        <w:t>Fig. Example for option 1a and 1b.</w:t>
      </w:r>
    </w:p>
    <w:p w:rsidR="00D86DE8" w:rsidRDefault="00D86DE8" w:rsidP="00D86DE8">
      <w:r>
        <w:rPr>
          <w:rFonts w:hint="eastAsia"/>
        </w:rPr>
        <w:t>H</w:t>
      </w:r>
      <w:r>
        <w:t xml:space="preserve">owever, for other RRM requirements, it means there is no SSB at all for 12 SSB bursts. It needs further investigation whether UE will have some expected behavior (i.e. triggering RLF). In additions, in FR2-2, the LBT failure possibility is much lower than FR1, thus option 1a seem to be more realistic approach. </w:t>
      </w:r>
    </w:p>
    <w:p w:rsidR="00D86DE8" w:rsidRDefault="00D86DE8" w:rsidP="00D86DE8">
      <w:r>
        <w:t>For option 1a, it means there is exact one SSB muted within 12 SSB burst, where the muted SSB can be randomly chosen. Then, Pcca can be modelled as the possibility of an available SSB group (all SSB are available). As also commented during last meeting that whether it should be modelled as “at least one SSB not available”. Then, Pcca is defined on per SSB basis. The possibility of an available SSB group is Pcca</w:t>
      </w:r>
      <w:r>
        <w:rPr>
          <w:vertAlign w:val="superscript"/>
        </w:rPr>
        <w:t>12</w:t>
      </w:r>
      <w:r>
        <w:t>, and the possibility of an unavailable SSB group is 1- Pcca</w:t>
      </w:r>
      <w:r>
        <w:rPr>
          <w:vertAlign w:val="superscript"/>
        </w:rPr>
        <w:t>12</w:t>
      </w:r>
      <w:r>
        <w:rPr>
          <w:vertAlign w:val="subscript"/>
        </w:rPr>
        <w:t xml:space="preserve"> </w:t>
      </w:r>
      <w:r>
        <w:t>which is rather high, and it will lead to longer test time.</w:t>
      </w:r>
    </w:p>
    <w:p w:rsidR="00D86DE8" w:rsidRDefault="00D86DE8" w:rsidP="00D86DE8">
      <w:pPr>
        <w:rPr>
          <w:b/>
          <w:lang w:eastAsia="zh-CN"/>
        </w:rPr>
      </w:pPr>
      <w:r>
        <w:t>In Rel-16 NR-U, some UE behaviour upon exceeding Lmax is considered as follows:</w:t>
      </w:r>
    </w:p>
    <w:tbl>
      <w:tblPr>
        <w:tblStyle w:val="TableGrid"/>
        <w:tblW w:w="0" w:type="auto"/>
        <w:tblLook w:val="04A0" w:firstRow="1" w:lastRow="0" w:firstColumn="1" w:lastColumn="0" w:noHBand="0" w:noVBand="1"/>
      </w:tblPr>
      <w:tblGrid>
        <w:gridCol w:w="9562"/>
      </w:tblGrid>
      <w:tr w:rsidR="00D86DE8" w:rsidTr="00D86DE8">
        <w:tc>
          <w:tcPr>
            <w:tcW w:w="9562" w:type="dxa"/>
          </w:tcPr>
          <w:p w:rsidR="00D86DE8" w:rsidRPr="007E371C" w:rsidRDefault="00D86DE8" w:rsidP="00D86DE8">
            <w:pPr>
              <w:overflowPunct w:val="0"/>
              <w:autoSpaceDE w:val="0"/>
              <w:autoSpaceDN w:val="0"/>
              <w:adjustRightInd w:val="0"/>
              <w:textAlignment w:val="baseline"/>
              <w:rPr>
                <w:rFonts w:eastAsia="宋体"/>
                <w:b/>
                <w:bCs/>
                <w:color w:val="00B050"/>
                <w:u w:val="single"/>
              </w:rPr>
            </w:pPr>
            <w:r w:rsidRPr="007E371C">
              <w:rPr>
                <w:rFonts w:eastAsia="宋体"/>
                <w:b/>
                <w:bCs/>
                <w:color w:val="00B050"/>
                <w:u w:val="single"/>
                <w:lang w:val="en-US"/>
              </w:rPr>
              <w:t>List of test cases in which exceeding Lmax values may be considered</w:t>
            </w:r>
          </w:p>
          <w:p w:rsidR="00D86DE8" w:rsidRPr="007E371C" w:rsidRDefault="00D86DE8" w:rsidP="00D86DE8">
            <w:pPr>
              <w:overflowPunct w:val="0"/>
              <w:autoSpaceDE w:val="0"/>
              <w:autoSpaceDN w:val="0"/>
              <w:adjustRightInd w:val="0"/>
              <w:spacing w:after="0"/>
              <w:textAlignment w:val="baseline"/>
              <w:rPr>
                <w:rFonts w:ascii="Calibri" w:eastAsia="Times New Roman" w:hAnsi="Calibri" w:cs="Calibri"/>
                <w:color w:val="00B050"/>
                <w:sz w:val="22"/>
                <w:szCs w:val="22"/>
                <w:lang w:val="en-US" w:eastAsia="da-DK"/>
              </w:rPr>
            </w:pPr>
            <w:r w:rsidRPr="007E371C">
              <w:rPr>
                <w:rFonts w:eastAsia="等线"/>
                <w:i/>
                <w:color w:val="00B050"/>
                <w:lang w:eastAsia="zh-CN"/>
              </w:rPr>
              <w:t>Tentative agreements:</w:t>
            </w:r>
          </w:p>
          <w:p w:rsidR="00D86DE8" w:rsidRPr="007E371C" w:rsidRDefault="00D86DE8" w:rsidP="00D86DE8">
            <w:pPr>
              <w:numPr>
                <w:ilvl w:val="0"/>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 xml:space="preserve">Consider having particular test cases to verify the correct UE behaviour for the following cases: </w:t>
            </w:r>
          </w:p>
          <w:p w:rsidR="00D86DE8" w:rsidRPr="007E371C" w:rsidRDefault="00D86DE8" w:rsidP="00D86DE8">
            <w:pPr>
              <w:numPr>
                <w:ilvl w:val="1"/>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Initiating the measurements on neighbour upon exceeding Mp and Mq in Cell reselection</w:t>
            </w:r>
          </w:p>
          <w:p w:rsidR="00D86DE8" w:rsidRPr="007E371C" w:rsidRDefault="00D86DE8" w:rsidP="00D86DE8">
            <w:pPr>
              <w:numPr>
                <w:ilvl w:val="1"/>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Initiate cell selection procedures for the selected PLMN upon L1 exceeding L1,max in RRC release with redirection</w:t>
            </w:r>
          </w:p>
          <w:p w:rsidR="00D86DE8" w:rsidRPr="007E371C" w:rsidRDefault="00D86DE8" w:rsidP="00D86DE8">
            <w:pPr>
              <w:numPr>
                <w:ilvl w:val="1"/>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Report RSRP_0 upon L1 exceeding L1,max for L1-RSRP measurement</w:t>
            </w:r>
          </w:p>
          <w:p w:rsidR="00D86DE8" w:rsidRPr="007E371C" w:rsidRDefault="00D86DE8" w:rsidP="00D86DE8">
            <w:pPr>
              <w:numPr>
                <w:ilvl w:val="0"/>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For SCell activation in NR-U, exceeding Lmax should be avoided.</w:t>
            </w:r>
          </w:p>
          <w:p w:rsidR="00D86DE8" w:rsidRPr="007E371C" w:rsidRDefault="00D86DE8" w:rsidP="00D86DE8">
            <w:pPr>
              <w:numPr>
                <w:ilvl w:val="0"/>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For SFTD measurement NR-U, exceeding Lmax should be avoided.</w:t>
            </w:r>
          </w:p>
          <w:p w:rsidR="00D86DE8" w:rsidRPr="00D86DE8" w:rsidRDefault="00D86DE8" w:rsidP="001E24D0">
            <w:pPr>
              <w:numPr>
                <w:ilvl w:val="0"/>
                <w:numId w:val="46"/>
              </w:numPr>
              <w:overflowPunct w:val="0"/>
              <w:autoSpaceDE w:val="0"/>
              <w:autoSpaceDN w:val="0"/>
              <w:adjustRightInd w:val="0"/>
              <w:spacing w:before="120" w:after="120" w:line="259" w:lineRule="auto"/>
              <w:textAlignment w:val="baseline"/>
              <w:rPr>
                <w:rFonts w:ascii="Calibri" w:eastAsia="Times New Roman" w:hAnsi="Calibri" w:cs="Calibri"/>
                <w:color w:val="00B050"/>
                <w:sz w:val="22"/>
                <w:szCs w:val="22"/>
                <w:lang w:val="en-US" w:eastAsia="da-DK"/>
              </w:rPr>
            </w:pPr>
            <w:r w:rsidRPr="007E371C">
              <w:rPr>
                <w:rFonts w:eastAsia="Yu Mincho"/>
                <w:color w:val="00B050"/>
                <w:szCs w:val="24"/>
                <w:lang w:eastAsia="zh-CN"/>
              </w:rPr>
              <w:t xml:space="preserve">For intra-frequency and inter- frequency measurement for NR-U, exceeding LPSS/SSS,gaps,max should be avoided.. </w:t>
            </w:r>
          </w:p>
        </w:tc>
      </w:tr>
    </w:tbl>
    <w:p w:rsidR="00D86DE8" w:rsidRDefault="00D86DE8" w:rsidP="001E24D0">
      <w:pPr>
        <w:rPr>
          <w:b/>
          <w:lang w:eastAsia="zh-CN"/>
        </w:rPr>
      </w:pPr>
    </w:p>
    <w:p w:rsidR="00D86DE8" w:rsidRDefault="00D86DE8" w:rsidP="001E24D0">
      <w:pPr>
        <w:rPr>
          <w:lang w:eastAsia="zh-CN"/>
        </w:rPr>
      </w:pPr>
      <w:r w:rsidRPr="00D86DE8">
        <w:rPr>
          <w:lang w:eastAsia="zh-CN"/>
        </w:rPr>
        <w:t xml:space="preserve">From our understanding, the probability of CCA failure is rather low in FR2-2, thus </w:t>
      </w:r>
      <w:r>
        <w:rPr>
          <w:lang w:eastAsia="zh-CN"/>
        </w:rPr>
        <w:t>exceeding Lmax shall be avoided in test cases.</w:t>
      </w:r>
    </w:p>
    <w:p w:rsidR="00D86DE8" w:rsidRPr="004027EE" w:rsidRDefault="00D86DE8" w:rsidP="001E24D0">
      <w:pPr>
        <w:rPr>
          <w:b/>
          <w:lang w:eastAsia="zh-CN"/>
        </w:rPr>
      </w:pPr>
      <w:r w:rsidRPr="004027EE">
        <w:rPr>
          <w:b/>
          <w:lang w:eastAsia="zh-CN"/>
        </w:rPr>
        <w:t xml:space="preserve">Proposal </w:t>
      </w:r>
      <w:r w:rsidR="00F23DE2">
        <w:rPr>
          <w:b/>
          <w:lang w:eastAsia="zh-CN"/>
        </w:rPr>
        <w:t>4</w:t>
      </w:r>
      <w:r w:rsidRPr="004027EE">
        <w:rPr>
          <w:b/>
          <w:lang w:eastAsia="zh-CN"/>
        </w:rPr>
        <w:t>: Exceeding Lmax shall be avoided in all test cases.</w:t>
      </w:r>
    </w:p>
    <w:p w:rsidR="00D86DE8" w:rsidRDefault="00D86DE8" w:rsidP="001E24D0">
      <w:pPr>
        <w:rPr>
          <w:lang w:eastAsia="zh-CN"/>
        </w:rPr>
      </w:pPr>
      <w:r>
        <w:rPr>
          <w:lang w:eastAsia="zh-CN"/>
        </w:rPr>
        <w:t>Based on proposal 1, then the CCA model of option 1a shall be adopted.</w:t>
      </w:r>
    </w:p>
    <w:p w:rsidR="00D86DE8" w:rsidRPr="004027EE" w:rsidRDefault="00D86DE8" w:rsidP="001E24D0">
      <w:pPr>
        <w:rPr>
          <w:b/>
          <w:lang w:eastAsia="zh-CN"/>
        </w:rPr>
      </w:pPr>
      <w:r w:rsidRPr="004027EE">
        <w:rPr>
          <w:b/>
          <w:lang w:eastAsia="zh-CN"/>
        </w:rPr>
        <w:t xml:space="preserve">Proposal </w:t>
      </w:r>
      <w:r w:rsidR="00F23DE2">
        <w:rPr>
          <w:b/>
          <w:lang w:eastAsia="zh-CN"/>
        </w:rPr>
        <w:t>5</w:t>
      </w:r>
      <w:r w:rsidRPr="004027EE">
        <w:rPr>
          <w:b/>
          <w:lang w:eastAsia="zh-CN"/>
        </w:rPr>
        <w:t>: For CCA model in test cases, a</w:t>
      </w:r>
      <w:r w:rsidRPr="004027EE">
        <w:rPr>
          <w:b/>
          <w:szCs w:val="24"/>
          <w:lang w:eastAsia="zh-CN"/>
        </w:rPr>
        <w:t>n unavailable SSB/SMTC group can be modelled as that there is exactly one SSB not transmitted by TE in N consecutive SSB/SMTC occasions</w:t>
      </w:r>
    </w:p>
    <w:p w:rsidR="00D86DE8" w:rsidRPr="007875FE" w:rsidRDefault="00D86DE8" w:rsidP="001E24D0">
      <w:pPr>
        <w:rPr>
          <w:b/>
          <w:lang w:eastAsia="zh-CN"/>
        </w:rPr>
      </w:pPr>
    </w:p>
    <w:p w:rsidR="00DF0231" w:rsidRDefault="00DF0231" w:rsidP="00DF0231">
      <w:pPr>
        <w:pStyle w:val="Heading1"/>
        <w:numPr>
          <w:ilvl w:val="0"/>
          <w:numId w:val="1"/>
        </w:numPr>
        <w:rPr>
          <w:lang w:val="en-US"/>
        </w:rPr>
      </w:pPr>
      <w:r w:rsidRPr="002D2977">
        <w:rPr>
          <w:lang w:val="en-US"/>
        </w:rPr>
        <w:t>Conclusions</w:t>
      </w:r>
    </w:p>
    <w:p w:rsidR="00480939" w:rsidRPr="00480939" w:rsidRDefault="00480939" w:rsidP="00480939">
      <w:pPr>
        <w:rPr>
          <w:b/>
          <w:lang w:eastAsia="zh-CN"/>
        </w:rPr>
      </w:pPr>
      <w:r w:rsidRPr="00480939">
        <w:rPr>
          <w:b/>
          <w:lang w:eastAsia="zh-CN"/>
        </w:rPr>
        <w:t xml:space="preserve">Proposal 1: For licensed operation, create dedicated test cases for FR2-2 in existing sections (A.7). </w:t>
      </w:r>
    </w:p>
    <w:p w:rsidR="00480939" w:rsidRPr="00480939" w:rsidRDefault="00480939" w:rsidP="00480939">
      <w:pPr>
        <w:rPr>
          <w:b/>
          <w:lang w:eastAsia="zh-CN"/>
        </w:rPr>
      </w:pPr>
      <w:r w:rsidRPr="00480939">
        <w:rPr>
          <w:b/>
          <w:lang w:eastAsia="zh-CN"/>
        </w:rPr>
        <w:t>Proposal 2:  Following SCS/BW configurations to be used in test cases for FR2-2</w:t>
      </w:r>
    </w:p>
    <w:p w:rsidR="00480939" w:rsidRPr="00480939" w:rsidRDefault="00480939" w:rsidP="00480939">
      <w:pPr>
        <w:rPr>
          <w:b/>
          <w:lang w:eastAsia="zh-CN"/>
        </w:rPr>
      </w:pPr>
      <w:r w:rsidRPr="00480939">
        <w:rPr>
          <w:b/>
          <w:lang w:eastAsia="zh-CN"/>
        </w:rPr>
        <w:t xml:space="preserve">Proposal 3: Discuss whether UE is required to be tested using configurations for 480/960 kHz when the corresponding SCS is supported. </w:t>
      </w:r>
    </w:p>
    <w:p w:rsidR="00480939" w:rsidRPr="00480939" w:rsidRDefault="00480939" w:rsidP="00480939">
      <w:pPr>
        <w:rPr>
          <w:b/>
          <w:lang w:eastAsia="zh-CN"/>
        </w:rPr>
      </w:pPr>
      <w:r w:rsidRPr="00480939">
        <w:rPr>
          <w:b/>
          <w:lang w:eastAsia="zh-CN"/>
        </w:rPr>
        <w:t>Proposal 4: Exceeding Lmax shall be avoided in all test cases.</w:t>
      </w:r>
    </w:p>
    <w:p w:rsidR="00480939" w:rsidRPr="004027EE" w:rsidRDefault="00480939" w:rsidP="00480939">
      <w:pPr>
        <w:rPr>
          <w:b/>
          <w:lang w:eastAsia="zh-CN"/>
        </w:rPr>
      </w:pPr>
      <w:r w:rsidRPr="00480939">
        <w:rPr>
          <w:b/>
          <w:lang w:eastAsia="zh-CN"/>
        </w:rPr>
        <w:lastRenderedPageBreak/>
        <w:t>Proposal 5: For CCA model in test cases, an unavailable SSB/SMTC group can be modelled as that there is exactly one SSB not transmitted by TE in N consecutive SSB/SMTC occasions</w:t>
      </w:r>
    </w:p>
    <w:p w:rsidR="007875FE" w:rsidRPr="00506B1A" w:rsidRDefault="007875FE" w:rsidP="00506B1A">
      <w:pPr>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D062C5" w:rsidRPr="00D062C5">
        <w:rPr>
          <w:rFonts w:eastAsiaTheme="minorEastAsia"/>
          <w:lang w:eastAsia="zh-CN"/>
        </w:rPr>
        <w:t>R4-2210590</w:t>
      </w:r>
      <w:r w:rsidR="00D062C5" w:rsidRPr="00D062C5">
        <w:t xml:space="preserve"> </w:t>
      </w:r>
      <w:r w:rsidR="00D062C5" w:rsidRPr="00D062C5">
        <w:rPr>
          <w:rFonts w:eastAsiaTheme="minorEastAsia"/>
          <w:lang w:eastAsia="zh-CN"/>
        </w:rPr>
        <w:t>WF on NR extension to 71 GHz RRM requirements (Part 1)</w:t>
      </w:r>
      <w:r w:rsidR="00D062C5">
        <w:rPr>
          <w:rFonts w:eastAsiaTheme="minorEastAsia"/>
          <w:lang w:eastAsia="zh-CN"/>
        </w:rPr>
        <w:t xml:space="preserve">, </w:t>
      </w:r>
      <w:r w:rsidR="00D062C5" w:rsidRPr="00D062C5">
        <w:rPr>
          <w:rFonts w:eastAsiaTheme="minorEastAsia"/>
          <w:lang w:eastAsia="zh-CN"/>
        </w:rPr>
        <w:t>Qualcomm</w:t>
      </w:r>
      <w:r>
        <w:rPr>
          <w:rFonts w:eastAsiaTheme="minorEastAsia"/>
          <w:lang w:eastAsia="zh-CN"/>
        </w:rPr>
        <w:t xml:space="preserve"> </w:t>
      </w:r>
    </w:p>
    <w:p w:rsidR="00796CC2" w:rsidRPr="00796CC2" w:rsidRDefault="00796CC2" w:rsidP="00796CC2"/>
    <w:p w:rsidR="007E1DD2" w:rsidRPr="005C6E36" w:rsidRDefault="007E1DD2">
      <w:pPr>
        <w:rPr>
          <w:rFonts w:eastAsiaTheme="minorEastAsia"/>
          <w:lang w:eastAsia="zh-CN"/>
        </w:rPr>
      </w:pPr>
    </w:p>
    <w:sectPr w:rsidR="007E1DD2" w:rsidRPr="005C6E36"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620" w:rsidRDefault="00061620">
      <w:pPr>
        <w:spacing w:after="0"/>
      </w:pPr>
      <w:r>
        <w:separator/>
      </w:r>
    </w:p>
  </w:endnote>
  <w:endnote w:type="continuationSeparator" w:id="0">
    <w:p w:rsidR="00061620" w:rsidRDefault="000616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7E6" w:rsidRDefault="001E17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1E17E6" w:rsidRDefault="001E17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7E6" w:rsidRDefault="001E17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85047">
      <w:rPr>
        <w:rStyle w:val="PageNumber"/>
      </w:rPr>
      <w:t>4</w:t>
    </w:r>
    <w:r>
      <w:rPr>
        <w:rStyle w:val="PageNumber"/>
      </w:rPr>
      <w:fldChar w:fldCharType="end"/>
    </w:r>
  </w:p>
  <w:p w:rsidR="001E17E6" w:rsidRDefault="001E17E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620" w:rsidRDefault="00061620">
      <w:pPr>
        <w:spacing w:after="0"/>
      </w:pPr>
      <w:r>
        <w:separator/>
      </w:r>
    </w:p>
  </w:footnote>
  <w:footnote w:type="continuationSeparator" w:id="0">
    <w:p w:rsidR="00061620" w:rsidRDefault="0006162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4C9B"/>
    <w:multiLevelType w:val="hybridMultilevel"/>
    <w:tmpl w:val="B11892CA"/>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0"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300969"/>
    <w:multiLevelType w:val="hybridMultilevel"/>
    <w:tmpl w:val="5E9AD5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35"/>
  </w:num>
  <w:num w:numId="3">
    <w:abstractNumId w:val="42"/>
  </w:num>
  <w:num w:numId="4">
    <w:abstractNumId w:val="41"/>
  </w:num>
  <w:num w:numId="5">
    <w:abstractNumId w:val="1"/>
  </w:num>
  <w:num w:numId="6">
    <w:abstractNumId w:val="20"/>
  </w:num>
  <w:num w:numId="7">
    <w:abstractNumId w:val="8"/>
  </w:num>
  <w:num w:numId="8">
    <w:abstractNumId w:val="29"/>
  </w:num>
  <w:num w:numId="9">
    <w:abstractNumId w:val="33"/>
  </w:num>
  <w:num w:numId="10">
    <w:abstractNumId w:val="21"/>
  </w:num>
  <w:num w:numId="11">
    <w:abstractNumId w:val="23"/>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38"/>
  </w:num>
  <w:num w:numId="17">
    <w:abstractNumId w:val="37"/>
  </w:num>
  <w:num w:numId="18">
    <w:abstractNumId w:val="16"/>
  </w:num>
  <w:num w:numId="19">
    <w:abstractNumId w:val="2"/>
  </w:num>
  <w:num w:numId="20">
    <w:abstractNumId w:val="15"/>
  </w:num>
  <w:num w:numId="21">
    <w:abstractNumId w:val="34"/>
  </w:num>
  <w:num w:numId="22">
    <w:abstractNumId w:val="26"/>
  </w:num>
  <w:num w:numId="23">
    <w:abstractNumId w:val="25"/>
  </w:num>
  <w:num w:numId="24">
    <w:abstractNumId w:val="30"/>
  </w:num>
  <w:num w:numId="25">
    <w:abstractNumId w:val="31"/>
  </w:num>
  <w:num w:numId="26">
    <w:abstractNumId w:val="3"/>
  </w:num>
  <w:num w:numId="27">
    <w:abstractNumId w:val="9"/>
  </w:num>
  <w:num w:numId="28">
    <w:abstractNumId w:val="7"/>
  </w:num>
  <w:num w:numId="29">
    <w:abstractNumId w:val="19"/>
  </w:num>
  <w:num w:numId="30">
    <w:abstractNumId w:val="32"/>
  </w:num>
  <w:num w:numId="31">
    <w:abstractNumId w:val="36"/>
  </w:num>
  <w:num w:numId="32">
    <w:abstractNumId w:val="22"/>
  </w:num>
  <w:num w:numId="33">
    <w:abstractNumId w:val="10"/>
  </w:num>
  <w:num w:numId="34">
    <w:abstractNumId w:val="24"/>
  </w:num>
  <w:num w:numId="35">
    <w:abstractNumId w:val="28"/>
  </w:num>
  <w:num w:numId="36">
    <w:abstractNumId w:val="4"/>
  </w:num>
  <w:num w:numId="37">
    <w:abstractNumId w:val="18"/>
  </w:num>
  <w:num w:numId="38">
    <w:abstractNumId w:val="25"/>
  </w:num>
  <w:num w:numId="39">
    <w:abstractNumId w:val="24"/>
  </w:num>
  <w:num w:numId="40">
    <w:abstractNumId w:val="5"/>
  </w:num>
  <w:num w:numId="41">
    <w:abstractNumId w:val="40"/>
  </w:num>
  <w:num w:numId="42">
    <w:abstractNumId w:val="11"/>
  </w:num>
  <w:num w:numId="43">
    <w:abstractNumId w:val="43"/>
  </w:num>
  <w:num w:numId="44">
    <w:abstractNumId w:val="12"/>
  </w:num>
  <w:num w:numId="45">
    <w:abstractNumId w:val="14"/>
  </w:num>
  <w:num w:numId="46">
    <w:abstractNumId w:val="0"/>
  </w:num>
  <w:num w:numId="47">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16765"/>
    <w:rsid w:val="00025036"/>
    <w:rsid w:val="00035B7C"/>
    <w:rsid w:val="00035D42"/>
    <w:rsid w:val="00040779"/>
    <w:rsid w:val="0004356B"/>
    <w:rsid w:val="0004558E"/>
    <w:rsid w:val="00046547"/>
    <w:rsid w:val="00055B5D"/>
    <w:rsid w:val="00061620"/>
    <w:rsid w:val="00063B55"/>
    <w:rsid w:val="00063E08"/>
    <w:rsid w:val="000676A1"/>
    <w:rsid w:val="00067A48"/>
    <w:rsid w:val="00067B89"/>
    <w:rsid w:val="000731A5"/>
    <w:rsid w:val="00076C0A"/>
    <w:rsid w:val="00086874"/>
    <w:rsid w:val="00087858"/>
    <w:rsid w:val="000903D2"/>
    <w:rsid w:val="00092907"/>
    <w:rsid w:val="00096503"/>
    <w:rsid w:val="00097E39"/>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39EE"/>
    <w:rsid w:val="000F7DE7"/>
    <w:rsid w:val="0010016B"/>
    <w:rsid w:val="00100360"/>
    <w:rsid w:val="0010262D"/>
    <w:rsid w:val="00104362"/>
    <w:rsid w:val="00107AF6"/>
    <w:rsid w:val="00110BAD"/>
    <w:rsid w:val="0011207E"/>
    <w:rsid w:val="001137CA"/>
    <w:rsid w:val="001230FF"/>
    <w:rsid w:val="001241FC"/>
    <w:rsid w:val="00124231"/>
    <w:rsid w:val="00127EDD"/>
    <w:rsid w:val="001328F2"/>
    <w:rsid w:val="00132B63"/>
    <w:rsid w:val="001343DA"/>
    <w:rsid w:val="001365E9"/>
    <w:rsid w:val="001406A8"/>
    <w:rsid w:val="0014128A"/>
    <w:rsid w:val="00141870"/>
    <w:rsid w:val="001435CB"/>
    <w:rsid w:val="00151949"/>
    <w:rsid w:val="00152334"/>
    <w:rsid w:val="001531EC"/>
    <w:rsid w:val="00153CFF"/>
    <w:rsid w:val="00161981"/>
    <w:rsid w:val="001632F9"/>
    <w:rsid w:val="00163724"/>
    <w:rsid w:val="00165992"/>
    <w:rsid w:val="001734E7"/>
    <w:rsid w:val="00175B04"/>
    <w:rsid w:val="0017747E"/>
    <w:rsid w:val="0018314E"/>
    <w:rsid w:val="00184719"/>
    <w:rsid w:val="0019343D"/>
    <w:rsid w:val="00195679"/>
    <w:rsid w:val="00197964"/>
    <w:rsid w:val="001A0A8D"/>
    <w:rsid w:val="001A1E7C"/>
    <w:rsid w:val="001B00A2"/>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32120"/>
    <w:rsid w:val="002323DE"/>
    <w:rsid w:val="002328DD"/>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2697"/>
    <w:rsid w:val="003567C2"/>
    <w:rsid w:val="00356FB6"/>
    <w:rsid w:val="003622B2"/>
    <w:rsid w:val="00362F43"/>
    <w:rsid w:val="003664ED"/>
    <w:rsid w:val="00376522"/>
    <w:rsid w:val="00377D59"/>
    <w:rsid w:val="003844DE"/>
    <w:rsid w:val="0038462A"/>
    <w:rsid w:val="0038557C"/>
    <w:rsid w:val="003866C4"/>
    <w:rsid w:val="003924F3"/>
    <w:rsid w:val="0039404F"/>
    <w:rsid w:val="003A5CBC"/>
    <w:rsid w:val="003A5E2B"/>
    <w:rsid w:val="003B169F"/>
    <w:rsid w:val="003B362C"/>
    <w:rsid w:val="003B3884"/>
    <w:rsid w:val="003C092B"/>
    <w:rsid w:val="003C6DC4"/>
    <w:rsid w:val="003D6F09"/>
    <w:rsid w:val="003D77C1"/>
    <w:rsid w:val="003E097F"/>
    <w:rsid w:val="003E6285"/>
    <w:rsid w:val="003E7C96"/>
    <w:rsid w:val="003F0F9F"/>
    <w:rsid w:val="003F4698"/>
    <w:rsid w:val="003F762D"/>
    <w:rsid w:val="00401473"/>
    <w:rsid w:val="004027EE"/>
    <w:rsid w:val="00415933"/>
    <w:rsid w:val="00423683"/>
    <w:rsid w:val="00423FB0"/>
    <w:rsid w:val="004273E7"/>
    <w:rsid w:val="00430F24"/>
    <w:rsid w:val="00433560"/>
    <w:rsid w:val="00435D65"/>
    <w:rsid w:val="00435EBD"/>
    <w:rsid w:val="00440643"/>
    <w:rsid w:val="00451B80"/>
    <w:rsid w:val="00455FD0"/>
    <w:rsid w:val="004569BB"/>
    <w:rsid w:val="00466D02"/>
    <w:rsid w:val="00477263"/>
    <w:rsid w:val="00480939"/>
    <w:rsid w:val="00485549"/>
    <w:rsid w:val="0049501A"/>
    <w:rsid w:val="004A0F19"/>
    <w:rsid w:val="004A29B2"/>
    <w:rsid w:val="004A678E"/>
    <w:rsid w:val="004A7CF2"/>
    <w:rsid w:val="004A7F44"/>
    <w:rsid w:val="004B14C1"/>
    <w:rsid w:val="004B1ECE"/>
    <w:rsid w:val="004B4633"/>
    <w:rsid w:val="004C11F4"/>
    <w:rsid w:val="004C4868"/>
    <w:rsid w:val="004D3C97"/>
    <w:rsid w:val="004D5EAE"/>
    <w:rsid w:val="004E3732"/>
    <w:rsid w:val="004E5D51"/>
    <w:rsid w:val="004F0167"/>
    <w:rsid w:val="004F344B"/>
    <w:rsid w:val="00501A1D"/>
    <w:rsid w:val="00502991"/>
    <w:rsid w:val="00505B5F"/>
    <w:rsid w:val="00506B1A"/>
    <w:rsid w:val="00513ECE"/>
    <w:rsid w:val="00514A5F"/>
    <w:rsid w:val="0052002B"/>
    <w:rsid w:val="005235DB"/>
    <w:rsid w:val="005237D2"/>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5582"/>
    <w:rsid w:val="005B6053"/>
    <w:rsid w:val="005C337F"/>
    <w:rsid w:val="005C6478"/>
    <w:rsid w:val="005C6E36"/>
    <w:rsid w:val="005D15A2"/>
    <w:rsid w:val="005D231A"/>
    <w:rsid w:val="005D3DC0"/>
    <w:rsid w:val="005D6BEF"/>
    <w:rsid w:val="005E29AA"/>
    <w:rsid w:val="005E4CCD"/>
    <w:rsid w:val="005F5231"/>
    <w:rsid w:val="005F74CF"/>
    <w:rsid w:val="006014ED"/>
    <w:rsid w:val="00604490"/>
    <w:rsid w:val="0060650F"/>
    <w:rsid w:val="00607CE8"/>
    <w:rsid w:val="00616123"/>
    <w:rsid w:val="0061679F"/>
    <w:rsid w:val="00622EBC"/>
    <w:rsid w:val="00622FBA"/>
    <w:rsid w:val="00625728"/>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E32EA"/>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255"/>
    <w:rsid w:val="00732D90"/>
    <w:rsid w:val="007334B6"/>
    <w:rsid w:val="00734B34"/>
    <w:rsid w:val="00736D84"/>
    <w:rsid w:val="00742C68"/>
    <w:rsid w:val="00751E52"/>
    <w:rsid w:val="00763EF7"/>
    <w:rsid w:val="00766048"/>
    <w:rsid w:val="007711B8"/>
    <w:rsid w:val="0077159B"/>
    <w:rsid w:val="00771E1C"/>
    <w:rsid w:val="007825B4"/>
    <w:rsid w:val="00782C5D"/>
    <w:rsid w:val="00784099"/>
    <w:rsid w:val="00786C50"/>
    <w:rsid w:val="007875FE"/>
    <w:rsid w:val="007902A8"/>
    <w:rsid w:val="00796CC2"/>
    <w:rsid w:val="007A103E"/>
    <w:rsid w:val="007A336E"/>
    <w:rsid w:val="007A37DA"/>
    <w:rsid w:val="007A52D1"/>
    <w:rsid w:val="007A535E"/>
    <w:rsid w:val="007A6ED4"/>
    <w:rsid w:val="007A730E"/>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21B76"/>
    <w:rsid w:val="00826A80"/>
    <w:rsid w:val="00826D4C"/>
    <w:rsid w:val="00835745"/>
    <w:rsid w:val="00836937"/>
    <w:rsid w:val="00836C28"/>
    <w:rsid w:val="008408E7"/>
    <w:rsid w:val="00840E09"/>
    <w:rsid w:val="00841386"/>
    <w:rsid w:val="00843454"/>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12052"/>
    <w:rsid w:val="00A1597D"/>
    <w:rsid w:val="00A22790"/>
    <w:rsid w:val="00A25160"/>
    <w:rsid w:val="00A26AB0"/>
    <w:rsid w:val="00A34913"/>
    <w:rsid w:val="00A35F07"/>
    <w:rsid w:val="00A36D03"/>
    <w:rsid w:val="00A4190D"/>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2D48"/>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4E66"/>
    <w:rsid w:val="00B55463"/>
    <w:rsid w:val="00B56E67"/>
    <w:rsid w:val="00B60998"/>
    <w:rsid w:val="00B65457"/>
    <w:rsid w:val="00B71C35"/>
    <w:rsid w:val="00B72BEC"/>
    <w:rsid w:val="00B73A82"/>
    <w:rsid w:val="00B76F4D"/>
    <w:rsid w:val="00B77412"/>
    <w:rsid w:val="00B77752"/>
    <w:rsid w:val="00B83BC0"/>
    <w:rsid w:val="00B85047"/>
    <w:rsid w:val="00B87A6F"/>
    <w:rsid w:val="00B91712"/>
    <w:rsid w:val="00B92509"/>
    <w:rsid w:val="00B9429B"/>
    <w:rsid w:val="00BA0FB3"/>
    <w:rsid w:val="00BA4C0A"/>
    <w:rsid w:val="00BB00FB"/>
    <w:rsid w:val="00BB2A32"/>
    <w:rsid w:val="00BB6484"/>
    <w:rsid w:val="00BB766D"/>
    <w:rsid w:val="00BC24F8"/>
    <w:rsid w:val="00BC3920"/>
    <w:rsid w:val="00BC47AB"/>
    <w:rsid w:val="00BD0D7C"/>
    <w:rsid w:val="00BD2AB1"/>
    <w:rsid w:val="00BD3A7F"/>
    <w:rsid w:val="00BE09C1"/>
    <w:rsid w:val="00BE0E5D"/>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05B0"/>
    <w:rsid w:val="00C710B7"/>
    <w:rsid w:val="00C73515"/>
    <w:rsid w:val="00C741F1"/>
    <w:rsid w:val="00C74442"/>
    <w:rsid w:val="00C754BC"/>
    <w:rsid w:val="00C76E52"/>
    <w:rsid w:val="00C83525"/>
    <w:rsid w:val="00CA1729"/>
    <w:rsid w:val="00CA1984"/>
    <w:rsid w:val="00CA1DAE"/>
    <w:rsid w:val="00CA234E"/>
    <w:rsid w:val="00CA7429"/>
    <w:rsid w:val="00CB6216"/>
    <w:rsid w:val="00CC09A6"/>
    <w:rsid w:val="00CC3973"/>
    <w:rsid w:val="00CC4578"/>
    <w:rsid w:val="00CC5C60"/>
    <w:rsid w:val="00CD0284"/>
    <w:rsid w:val="00CD0A91"/>
    <w:rsid w:val="00CD160F"/>
    <w:rsid w:val="00CD1A9E"/>
    <w:rsid w:val="00CD638E"/>
    <w:rsid w:val="00CE0DA0"/>
    <w:rsid w:val="00CE477D"/>
    <w:rsid w:val="00CF030B"/>
    <w:rsid w:val="00CF1B90"/>
    <w:rsid w:val="00CF1DFC"/>
    <w:rsid w:val="00CF2856"/>
    <w:rsid w:val="00CF5CE7"/>
    <w:rsid w:val="00CF5EF5"/>
    <w:rsid w:val="00CF7481"/>
    <w:rsid w:val="00CF7EE3"/>
    <w:rsid w:val="00D062C5"/>
    <w:rsid w:val="00D0739E"/>
    <w:rsid w:val="00D13FC8"/>
    <w:rsid w:val="00D14E7C"/>
    <w:rsid w:val="00D26163"/>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86DE8"/>
    <w:rsid w:val="00D94E39"/>
    <w:rsid w:val="00D9789C"/>
    <w:rsid w:val="00DB10D2"/>
    <w:rsid w:val="00DB1DD4"/>
    <w:rsid w:val="00DB61B3"/>
    <w:rsid w:val="00DC49A6"/>
    <w:rsid w:val="00DD0915"/>
    <w:rsid w:val="00DD09A1"/>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82ED7"/>
    <w:rsid w:val="00E83483"/>
    <w:rsid w:val="00E85BF2"/>
    <w:rsid w:val="00E85E5E"/>
    <w:rsid w:val="00E91110"/>
    <w:rsid w:val="00E9184C"/>
    <w:rsid w:val="00E94DD3"/>
    <w:rsid w:val="00EA2254"/>
    <w:rsid w:val="00EA49BA"/>
    <w:rsid w:val="00EA4E79"/>
    <w:rsid w:val="00EA5149"/>
    <w:rsid w:val="00EB02DF"/>
    <w:rsid w:val="00EB2795"/>
    <w:rsid w:val="00EB7895"/>
    <w:rsid w:val="00ED34F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3DE2"/>
    <w:rsid w:val="00F2531A"/>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2919450">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35070691">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77745699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206251">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6EF3C-7427-473F-A44C-B0ECCD82C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14157</TotalTime>
  <Pages>1</Pages>
  <Words>1091</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285</cp:revision>
  <dcterms:created xsi:type="dcterms:W3CDTF">2019-09-18T02:52:00Z</dcterms:created>
  <dcterms:modified xsi:type="dcterms:W3CDTF">2022-08-10T12:08:00Z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(3)06j+2vEuxRtmV4+jSLU3hY0VxPEiUHNr1iY19+Urpf+QEYqalSnqOWMo+1nJ4QD++3p0nRwI
2hMHQa51rnS6miZWSwg920x39wVjj/L7ndhsXJqZuucfwqUpG5YhcWQPS4bjBX6dOZb4n3bJ
WbZ+EdKIQlojrwOXeu6R2FAoBNZsSGy/GcjGzdkknbV1ZwcstSRN6WqR3z4d2oWQliuOPQtg
vl44wPZ8meCz8pnsTR</vt:lpwstr>
  </property>
  <property fmtid="{D5CDD505-2E9C-101B-9397-08002B2CF9AE}" pid="3" name="_2015_ms_pID_7253431">
    <vt:lpwstr>eBflE0oTm0So2gu74tUyHiFdvH1P+63bUetilUj2Bwqcdxa6q8dA4E
Lzr6/Cd262uveEPjs2M6mBqaoHvKvIzOaKUfmFSI3zYiiBKHZMAOec3bkB3Cn8IZ/mbR23iV
Pwr1UvPAKiJLPsobXeX5jw5wO6ByXFvsOhHBP5GFVb1q/qnKa3afxzulHxj9GM6EWfRnT95+
5B9bfaZRA3upRc7dD5heuG/rH5eavJataeWQ</vt:lpwstr>
  </property>
  <property fmtid="{D5CDD505-2E9C-101B-9397-08002B2CF9AE}" pid="4" name="_2015_ms_pID_7253432">
    <vt:lpwstr>GHXdEKC7LrVuPDVfVGqD+u4=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