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5ECEDEBE"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rsidR="00D6636C">
        <w:t>-bis-</w:t>
      </w:r>
      <w:r>
        <w:t>e</w:t>
      </w:r>
      <w:r>
        <w:tab/>
      </w:r>
      <w:r>
        <w:tab/>
      </w:r>
      <w:r w:rsidR="00BC2F5C" w:rsidRPr="00BC2F5C">
        <w:t>R4-</w:t>
      </w:r>
      <w:r w:rsidR="00283FE9" w:rsidRPr="00283FE9">
        <w:t xml:space="preserve"> </w:t>
      </w:r>
      <w:r w:rsidR="00283FE9" w:rsidRPr="00283FE9">
        <w:t>2201880</w:t>
      </w:r>
    </w:p>
    <w:p w14:paraId="50DC9730" w14:textId="28E87563" w:rsidR="00D309CC" w:rsidRPr="002F2CF6" w:rsidRDefault="001F61DB" w:rsidP="00BC2F5A">
      <w:pPr>
        <w:pStyle w:val="CH"/>
        <w:tabs>
          <w:tab w:val="clear" w:pos="7920"/>
        </w:tabs>
        <w:rPr>
          <w:b w:val="0"/>
        </w:rPr>
      </w:pPr>
      <w:r w:rsidRPr="001F61DB">
        <w:t xml:space="preserve">Electronic meeting, </w:t>
      </w:r>
      <w:r w:rsidR="007738A4" w:rsidRPr="007738A4">
        <w:t>January 17-25,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273F080" w:rsidR="00D309CC" w:rsidRPr="002F2CF6" w:rsidRDefault="00D309CC" w:rsidP="00D05F34">
      <w:pPr>
        <w:pStyle w:val="CH"/>
        <w:spacing w:after="120"/>
        <w:rPr>
          <w:b w:val="0"/>
        </w:rPr>
      </w:pPr>
      <w:r w:rsidRPr="002F2CF6">
        <w:t>Agenda item:</w:t>
      </w:r>
      <w:r w:rsidRPr="002F2CF6">
        <w:tab/>
      </w:r>
      <w:r w:rsidR="00E776F7">
        <w:t>7</w:t>
      </w:r>
      <w:r w:rsidR="00257889">
        <w:t>.2.</w:t>
      </w:r>
      <w:r w:rsidR="00F4599B">
        <w:t>2.2</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12105DCD" w:rsidR="00D309CC" w:rsidRPr="002F2CF6" w:rsidRDefault="00D309CC" w:rsidP="00D05F34">
      <w:pPr>
        <w:pStyle w:val="CH"/>
        <w:spacing w:after="120"/>
        <w:ind w:left="2268" w:hanging="2268"/>
      </w:pPr>
      <w:r w:rsidRPr="002F2CF6">
        <w:t>Title:</w:t>
      </w:r>
      <w:r w:rsidRPr="002F2CF6">
        <w:tab/>
      </w:r>
      <w:r w:rsidR="00703188">
        <w:t>Views on s</w:t>
      </w:r>
      <w:r w:rsidR="005C36F8">
        <w:t>ignalling</w:t>
      </w:r>
      <w:r w:rsidR="00AE53F4">
        <w:t xml:space="preserve"> </w:t>
      </w:r>
      <w:r w:rsidR="00D3659A">
        <w:t xml:space="preserve">for </w:t>
      </w:r>
      <w:r w:rsidR="00F4599B">
        <w:t>Wider CBW</w:t>
      </w:r>
      <w:r w:rsidR="005C36F8">
        <w:t xml:space="preserve"> </w:t>
      </w:r>
      <w:r w:rsidR="00D3659A">
        <w:t>method</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12E51B70" w14:textId="18EB3E18" w:rsidR="000E0EC4" w:rsidRDefault="00032C6C" w:rsidP="009F653F">
      <w:pPr>
        <w:rPr>
          <w:rFonts w:ascii="Arial" w:hAnsi="Arial" w:cs="Arial"/>
          <w:sz w:val="22"/>
          <w:szCs w:val="22"/>
        </w:rPr>
      </w:pPr>
      <w:r>
        <w:rPr>
          <w:rFonts w:ascii="Arial" w:hAnsi="Arial" w:cs="Arial"/>
          <w:sz w:val="22"/>
          <w:szCs w:val="22"/>
        </w:rPr>
        <w:t>For</w:t>
      </w:r>
      <w:r w:rsidR="00D733AB" w:rsidRPr="007C2483">
        <w:rPr>
          <w:rFonts w:ascii="Arial" w:hAnsi="Arial" w:cs="Arial"/>
          <w:sz w:val="22"/>
          <w:szCs w:val="22"/>
        </w:rPr>
        <w:t xml:space="preserve"> this contribution</w:t>
      </w:r>
      <w:r w:rsidR="007C2483">
        <w:rPr>
          <w:rFonts w:ascii="Arial" w:hAnsi="Arial" w:cs="Arial"/>
          <w:sz w:val="22"/>
          <w:szCs w:val="22"/>
        </w:rPr>
        <w:t xml:space="preserve"> </w:t>
      </w:r>
      <w:r w:rsidR="00B66F4E">
        <w:rPr>
          <w:rFonts w:ascii="Arial" w:hAnsi="Arial" w:cs="Arial"/>
          <w:sz w:val="22"/>
          <w:szCs w:val="22"/>
        </w:rPr>
        <w:t xml:space="preserve">we share our views on </w:t>
      </w:r>
      <w:r w:rsidR="00A765FF">
        <w:rPr>
          <w:rFonts w:ascii="Arial" w:hAnsi="Arial" w:cs="Arial"/>
          <w:sz w:val="22"/>
          <w:szCs w:val="22"/>
        </w:rPr>
        <w:t>s</w:t>
      </w:r>
      <w:r w:rsidR="00C07653" w:rsidRPr="00C07653">
        <w:rPr>
          <w:rFonts w:ascii="Arial" w:hAnsi="Arial" w:cs="Arial"/>
          <w:sz w:val="22"/>
          <w:szCs w:val="22"/>
        </w:rPr>
        <w:t>ignalling</w:t>
      </w:r>
      <w:r w:rsidR="00A765FF">
        <w:rPr>
          <w:rFonts w:ascii="Arial" w:hAnsi="Arial" w:cs="Arial"/>
          <w:sz w:val="22"/>
          <w:szCs w:val="22"/>
        </w:rPr>
        <w:t xml:space="preserve"> framework</w:t>
      </w:r>
      <w:r w:rsidR="00C07653" w:rsidRPr="00C07653">
        <w:rPr>
          <w:rFonts w:ascii="Arial" w:hAnsi="Arial" w:cs="Arial"/>
          <w:sz w:val="22"/>
          <w:szCs w:val="22"/>
        </w:rPr>
        <w:t xml:space="preserve"> </w:t>
      </w:r>
      <w:r w:rsidR="00C07653">
        <w:rPr>
          <w:rFonts w:ascii="Arial" w:hAnsi="Arial" w:cs="Arial"/>
          <w:sz w:val="22"/>
          <w:szCs w:val="22"/>
        </w:rPr>
        <w:t xml:space="preserve">for the </w:t>
      </w:r>
      <w:r w:rsidR="00DF1618">
        <w:rPr>
          <w:rFonts w:ascii="Arial" w:hAnsi="Arial" w:cs="Arial"/>
          <w:sz w:val="22"/>
          <w:szCs w:val="22"/>
        </w:rPr>
        <w:t>Wider CBW</w:t>
      </w:r>
      <w:r w:rsidR="002E5C76">
        <w:rPr>
          <w:rFonts w:ascii="Arial" w:hAnsi="Arial" w:cs="Arial"/>
          <w:sz w:val="22"/>
          <w:szCs w:val="22"/>
        </w:rPr>
        <w:t xml:space="preserve"> method</w:t>
      </w:r>
      <w:r w:rsidR="00096CA8">
        <w:rPr>
          <w:rFonts w:ascii="Arial" w:hAnsi="Arial" w:cs="Arial"/>
          <w:sz w:val="22"/>
          <w:szCs w:val="22"/>
        </w:rPr>
        <w:t xml:space="preserve"> </w:t>
      </w:r>
      <w:r w:rsidR="00C07653">
        <w:rPr>
          <w:rFonts w:ascii="Arial" w:hAnsi="Arial" w:cs="Arial"/>
          <w:sz w:val="22"/>
          <w:szCs w:val="22"/>
        </w:rPr>
        <w:t>[1]</w:t>
      </w:r>
      <w:r w:rsidR="00150836">
        <w:rPr>
          <w:rFonts w:ascii="Arial" w:hAnsi="Arial" w:cs="Arial"/>
          <w:sz w:val="22"/>
          <w:szCs w:val="22"/>
        </w:rPr>
        <w:t xml:space="preserve"> (</w:t>
      </w:r>
      <w:r w:rsidR="00150836" w:rsidRPr="00150836">
        <w:rPr>
          <w:rFonts w:ascii="Arial" w:hAnsi="Arial" w:cs="Arial"/>
          <w:sz w:val="22"/>
          <w:szCs w:val="22"/>
        </w:rPr>
        <w:t>use of larger channel bandwidths than licensed bandwidth</w:t>
      </w:r>
      <w:r w:rsidR="00150836">
        <w:rPr>
          <w:rFonts w:ascii="Arial" w:hAnsi="Arial" w:cs="Arial"/>
          <w:sz w:val="22"/>
          <w:szCs w:val="22"/>
        </w:rPr>
        <w:t>)</w:t>
      </w:r>
      <w:r w:rsidR="00C07653" w:rsidRPr="00C07653">
        <w:rPr>
          <w:rFonts w:ascii="Arial" w:hAnsi="Arial" w:cs="Arial"/>
          <w:sz w:val="22"/>
          <w:szCs w:val="22"/>
        </w:rPr>
        <w:t xml:space="preserve"> based on </w:t>
      </w:r>
      <w:r w:rsidR="005A7AFD">
        <w:rPr>
          <w:rFonts w:ascii="Arial" w:hAnsi="Arial" w:cs="Arial"/>
          <w:sz w:val="22"/>
          <w:szCs w:val="22"/>
        </w:rPr>
        <w:t xml:space="preserve">RAN1 and RAN2 </w:t>
      </w:r>
      <w:r w:rsidR="00C07653" w:rsidRPr="00C07653">
        <w:rPr>
          <w:rFonts w:ascii="Arial" w:hAnsi="Arial" w:cs="Arial"/>
          <w:sz w:val="22"/>
          <w:szCs w:val="22"/>
        </w:rPr>
        <w:t>LS response</w:t>
      </w:r>
      <w:r w:rsidR="005A7AFD">
        <w:rPr>
          <w:rFonts w:ascii="Arial" w:hAnsi="Arial" w:cs="Arial"/>
          <w:sz w:val="22"/>
          <w:szCs w:val="22"/>
        </w:rPr>
        <w:t>s</w:t>
      </w:r>
      <w:r w:rsidR="00460FE4" w:rsidRPr="00460FE4">
        <w:rPr>
          <w:rFonts w:ascii="Arial" w:hAnsi="Arial" w:cs="Arial"/>
          <w:sz w:val="22"/>
          <w:szCs w:val="22"/>
        </w:rPr>
        <w:t xml:space="preserve"> </w:t>
      </w:r>
      <w:r w:rsidR="00707CF3">
        <w:rPr>
          <w:rFonts w:ascii="Arial" w:hAnsi="Arial" w:cs="Arial"/>
          <w:sz w:val="22"/>
          <w:szCs w:val="22"/>
        </w:rPr>
        <w:t>[</w:t>
      </w:r>
      <w:r w:rsidR="00C07653">
        <w:rPr>
          <w:rFonts w:ascii="Arial" w:hAnsi="Arial" w:cs="Arial"/>
          <w:sz w:val="22"/>
          <w:szCs w:val="22"/>
        </w:rPr>
        <w:t>2</w:t>
      </w:r>
      <w:r w:rsidR="00707CF3">
        <w:rPr>
          <w:rFonts w:ascii="Arial" w:hAnsi="Arial" w:cs="Arial"/>
          <w:sz w:val="22"/>
          <w:szCs w:val="22"/>
        </w:rPr>
        <w:t>]</w:t>
      </w:r>
      <w:r w:rsidR="00C07653">
        <w:rPr>
          <w:rFonts w:ascii="Arial" w:hAnsi="Arial" w:cs="Arial"/>
          <w:sz w:val="22"/>
          <w:szCs w:val="22"/>
        </w:rPr>
        <w:t>[3]</w:t>
      </w:r>
      <w:r w:rsidR="00605EEC">
        <w:rPr>
          <w:rFonts w:ascii="Arial" w:hAnsi="Arial" w:cs="Arial"/>
          <w:sz w:val="22"/>
          <w:szCs w:val="22"/>
        </w:rPr>
        <w:t>.</w:t>
      </w:r>
    </w:p>
    <w:p w14:paraId="63053F7E" w14:textId="13B9D02D" w:rsidR="00C365FA" w:rsidRDefault="00C365FA" w:rsidP="00C5766E">
      <w:pPr>
        <w:pStyle w:val="Heading1"/>
        <w:numPr>
          <w:ilvl w:val="0"/>
          <w:numId w:val="17"/>
        </w:numPr>
        <w:ind w:left="1170" w:hanging="1170"/>
      </w:pPr>
      <w:r>
        <w:t>Discussion</w:t>
      </w:r>
    </w:p>
    <w:p w14:paraId="363AB5C4" w14:textId="5A73FD54" w:rsidR="00096CA8" w:rsidRDefault="006834F4" w:rsidP="006834F4">
      <w:pPr>
        <w:pStyle w:val="Heading2"/>
      </w:pPr>
      <w:r>
        <w:t>2</w:t>
      </w:r>
      <w:r w:rsidRPr="00F67EF5">
        <w:t>.</w:t>
      </w:r>
      <w:r>
        <w:t>1</w:t>
      </w:r>
      <w:r w:rsidRPr="00F67EF5">
        <w:tab/>
      </w:r>
      <w:r w:rsidR="00266BA8">
        <w:t>Views on RAN1/</w:t>
      </w:r>
      <w:r w:rsidR="00096CA8">
        <w:t xml:space="preserve">RAN2 </w:t>
      </w:r>
      <w:r w:rsidR="00266BA8">
        <w:t>LS r</w:t>
      </w:r>
      <w:r w:rsidR="00096CA8">
        <w:t>esponse</w:t>
      </w:r>
      <w:r w:rsidR="00516403">
        <w:t>s</w:t>
      </w:r>
    </w:p>
    <w:p w14:paraId="420A00E0" w14:textId="03F336D3" w:rsidR="006834F4" w:rsidRPr="006F7ACF" w:rsidRDefault="004B223C" w:rsidP="006F7ACF">
      <w:pPr>
        <w:rPr>
          <w:rFonts w:cs="Arial"/>
          <w:sz w:val="22"/>
          <w:szCs w:val="22"/>
          <w:lang w:val="en-US"/>
        </w:rPr>
      </w:pPr>
      <w:r>
        <w:rPr>
          <w:rFonts w:ascii="Arial" w:hAnsi="Arial" w:cs="Arial"/>
          <w:sz w:val="22"/>
          <w:szCs w:val="22"/>
          <w:lang w:val="en-US"/>
        </w:rPr>
        <w:t>RAN2 provided</w:t>
      </w:r>
      <w:r w:rsidR="00B718E4" w:rsidRPr="006F7ACF">
        <w:rPr>
          <w:rFonts w:ascii="Arial" w:hAnsi="Arial" w:cs="Arial"/>
          <w:sz w:val="22"/>
          <w:szCs w:val="22"/>
          <w:lang w:val="en-US"/>
        </w:rPr>
        <w:t xml:space="preserve"> the followin</w:t>
      </w:r>
      <w:r w:rsidR="005F5FF0" w:rsidRPr="006F7ACF">
        <w:rPr>
          <w:rFonts w:ascii="Arial" w:hAnsi="Arial" w:cs="Arial"/>
          <w:sz w:val="22"/>
          <w:szCs w:val="22"/>
          <w:lang w:val="en-US"/>
        </w:rPr>
        <w:t xml:space="preserve">g comments </w:t>
      </w:r>
      <w:r>
        <w:rPr>
          <w:rFonts w:ascii="Arial" w:hAnsi="Arial" w:cs="Arial"/>
          <w:sz w:val="22"/>
          <w:szCs w:val="22"/>
          <w:lang w:val="en-US"/>
        </w:rPr>
        <w:t>on the wider CBW method</w:t>
      </w:r>
      <w:r w:rsidR="005F5FF0" w:rsidRPr="006F7ACF">
        <w:rPr>
          <w:rFonts w:ascii="Arial" w:hAnsi="Arial" w:cs="Arial"/>
          <w:sz w:val="22"/>
          <w:szCs w:val="22"/>
          <w:lang w:val="en-US"/>
        </w:rPr>
        <w:t xml:space="preserve"> [</w:t>
      </w:r>
      <w:r w:rsidR="00F75192">
        <w:rPr>
          <w:rFonts w:ascii="Arial" w:hAnsi="Arial" w:cs="Arial"/>
          <w:sz w:val="22"/>
          <w:szCs w:val="22"/>
          <w:lang w:val="en-US"/>
        </w:rPr>
        <w:t>3</w:t>
      </w:r>
      <w:r w:rsidR="005F5FF0" w:rsidRPr="006F7ACF">
        <w:rPr>
          <w:rFonts w:ascii="Arial" w:hAnsi="Arial" w:cs="Arial"/>
          <w:sz w:val="22"/>
          <w:szCs w:val="22"/>
          <w:lang w:val="en-US"/>
        </w:rPr>
        <w:t>]:</w:t>
      </w:r>
      <w:r w:rsidR="006834F4" w:rsidRPr="006F7ACF">
        <w:rPr>
          <w:rFonts w:ascii="Arial" w:hAnsi="Arial" w:cs="Arial"/>
          <w:sz w:val="22"/>
          <w:szCs w:val="22"/>
          <w:lang w:val="en-US"/>
        </w:rPr>
        <w:t xml:space="preserve"> </w:t>
      </w:r>
    </w:p>
    <w:tbl>
      <w:tblPr>
        <w:tblStyle w:val="TableGrid"/>
        <w:tblW w:w="0" w:type="auto"/>
        <w:tblLook w:val="04A0" w:firstRow="1" w:lastRow="0" w:firstColumn="1" w:lastColumn="0" w:noHBand="0" w:noVBand="1"/>
      </w:tblPr>
      <w:tblGrid>
        <w:gridCol w:w="9631"/>
      </w:tblGrid>
      <w:tr w:rsidR="00A77DB9" w:rsidRPr="00DC7941" w14:paraId="212985F8" w14:textId="77777777" w:rsidTr="00A77DB9">
        <w:tc>
          <w:tcPr>
            <w:tcW w:w="9631" w:type="dxa"/>
          </w:tcPr>
          <w:p w14:paraId="440B313B" w14:textId="42799D26" w:rsidR="00F75192" w:rsidRPr="006F7ACF" w:rsidRDefault="00516403" w:rsidP="006F7ACF">
            <w:pPr>
              <w:pStyle w:val="Header"/>
              <w:numPr>
                <w:ilvl w:val="1"/>
                <w:numId w:val="26"/>
              </w:numPr>
              <w:tabs>
                <w:tab w:val="left" w:pos="720"/>
                <w:tab w:val="center" w:pos="4153"/>
                <w:tab w:val="right" w:pos="8306"/>
              </w:tabs>
              <w:spacing w:after="120"/>
              <w:ind w:left="646"/>
              <w:rPr>
                <w:rFonts w:cs="Arial"/>
                <w:b w:val="0"/>
                <w:sz w:val="20"/>
                <w:lang w:eastAsia="zh-CN"/>
              </w:rPr>
            </w:pPr>
            <w:r>
              <w:rPr>
                <w:rFonts w:cs="Arial"/>
                <w:b w:val="0"/>
                <w:sz w:val="20"/>
                <w:lang w:eastAsia="zh-CN"/>
              </w:rPr>
              <w:t>C</w:t>
            </w:r>
            <w:r w:rsidR="00F75192" w:rsidRPr="006F7ACF">
              <w:rPr>
                <w:rFonts w:cs="Arial"/>
                <w:b w:val="0"/>
                <w:sz w:val="20"/>
                <w:lang w:eastAsia="zh-CN"/>
              </w:rPr>
              <w:t xml:space="preserve">larify if there is any limitation for the UL carrier positions (not just BWP positions) legacy UEs support for </w:t>
            </w:r>
            <w:r w:rsidR="00F75192" w:rsidRPr="006F7ACF">
              <w:rPr>
                <w:rFonts w:cs="Arial"/>
                <w:b w:val="0"/>
                <w:i/>
                <w:iCs/>
                <w:sz w:val="20"/>
                <w:lang w:eastAsia="zh-CN"/>
              </w:rPr>
              <w:t>uplinkChannelBW-PerSCS-List</w:t>
            </w:r>
            <w:r w:rsidR="00F75192" w:rsidRPr="006F7ACF">
              <w:rPr>
                <w:rFonts w:cs="Arial"/>
                <w:b w:val="0"/>
                <w:sz w:val="20"/>
                <w:lang w:eastAsia="zh-CN"/>
              </w:rPr>
              <w:t xml:space="preserve"> and </w:t>
            </w:r>
            <w:r w:rsidR="00F75192" w:rsidRPr="006F7ACF">
              <w:rPr>
                <w:rFonts w:cs="Arial"/>
                <w:b w:val="0"/>
                <w:i/>
                <w:iCs/>
                <w:sz w:val="20"/>
                <w:lang w:eastAsia="zh-CN"/>
              </w:rPr>
              <w:t>scs-SpecificCarrierList</w:t>
            </w:r>
            <w:r w:rsidR="00F75192" w:rsidRPr="006F7ACF">
              <w:rPr>
                <w:rFonts w:cs="Arial"/>
                <w:b w:val="0"/>
                <w:sz w:val="20"/>
                <w:lang w:eastAsia="zh-CN"/>
              </w:rPr>
              <w:t xml:space="preserve"> in symmetric operating bands with a fixed duplex distance and asymmetric UL/DL channel bandwidth.</w:t>
            </w:r>
          </w:p>
          <w:p w14:paraId="7C6C84DD" w14:textId="77777777" w:rsidR="00F75192" w:rsidRPr="006F7ACF" w:rsidRDefault="00F75192" w:rsidP="006F7ACF">
            <w:pPr>
              <w:pStyle w:val="Header"/>
              <w:tabs>
                <w:tab w:val="left" w:pos="720"/>
                <w:tab w:val="center" w:pos="4153"/>
                <w:tab w:val="right" w:pos="8306"/>
              </w:tabs>
              <w:spacing w:after="120"/>
              <w:ind w:left="646"/>
              <w:rPr>
                <w:rFonts w:cs="Arial"/>
                <w:b w:val="0"/>
                <w:color w:val="5B9BD5" w:themeColor="accent5"/>
                <w:sz w:val="20"/>
                <w:lang w:eastAsia="zh-CN"/>
              </w:rPr>
            </w:pPr>
            <w:r w:rsidRPr="006F7ACF">
              <w:rPr>
                <w:rFonts w:cs="Arial"/>
                <w:b w:val="0"/>
                <w:color w:val="5B9BD5" w:themeColor="accent5"/>
                <w:sz w:val="20"/>
                <w:lang w:eastAsia="zh-CN"/>
              </w:rPr>
              <w:t>RAN2 response: RAN2 specifications currently assume that network only configures channel bandwidth that corresponds to the channel bandwidth values defined in TS 38.101-1 and TS 38.101-2.</w:t>
            </w:r>
          </w:p>
          <w:p w14:paraId="1CABC65E" w14:textId="4CD86769" w:rsidR="00F75192" w:rsidRPr="006F7ACF" w:rsidRDefault="00516403" w:rsidP="006F7ACF">
            <w:pPr>
              <w:pStyle w:val="Header"/>
              <w:numPr>
                <w:ilvl w:val="1"/>
                <w:numId w:val="26"/>
              </w:numPr>
              <w:tabs>
                <w:tab w:val="left" w:pos="720"/>
                <w:tab w:val="center" w:pos="4153"/>
                <w:tab w:val="right" w:pos="8306"/>
              </w:tabs>
              <w:spacing w:after="120"/>
              <w:ind w:left="646"/>
              <w:rPr>
                <w:rFonts w:cs="Arial"/>
                <w:b w:val="0"/>
                <w:sz w:val="20"/>
                <w:lang w:eastAsia="zh-CN"/>
              </w:rPr>
            </w:pPr>
            <w:bookmarkStart w:id="2" w:name="_Hlk92382819"/>
            <w:r>
              <w:rPr>
                <w:rFonts w:cs="Arial"/>
                <w:b w:val="0"/>
                <w:sz w:val="20"/>
                <w:lang w:eastAsia="zh-CN"/>
              </w:rPr>
              <w:t>C</w:t>
            </w:r>
            <w:r w:rsidR="00F75192" w:rsidRPr="006F7ACF">
              <w:rPr>
                <w:rFonts w:cs="Arial"/>
                <w:b w:val="0"/>
                <w:sz w:val="20"/>
                <w:lang w:eastAsia="zh-CN"/>
              </w:rPr>
              <w:t xml:space="preserve">onfirm UE behaviour if it is possible to configure a carrier that is not fully contained in the NR band, i.e. the carrier can extend beyond the low edge of the band and/or the high edge of the band? </w:t>
            </w:r>
          </w:p>
          <w:bookmarkEnd w:id="2"/>
          <w:p w14:paraId="133CDE51" w14:textId="2F655202" w:rsidR="00A77DB9" w:rsidRPr="006F7ACF" w:rsidRDefault="00F75192" w:rsidP="006F7ACF">
            <w:pPr>
              <w:pStyle w:val="Header"/>
              <w:tabs>
                <w:tab w:val="left" w:pos="720"/>
                <w:tab w:val="center" w:pos="4153"/>
                <w:tab w:val="right" w:pos="8306"/>
              </w:tabs>
              <w:spacing w:after="120"/>
              <w:ind w:left="646"/>
              <w:rPr>
                <w:rFonts w:cs="Arial"/>
                <w:sz w:val="20"/>
                <w:lang w:eastAsia="zh-CN"/>
              </w:rPr>
            </w:pPr>
            <w:r w:rsidRPr="006F7ACF">
              <w:rPr>
                <w:rFonts w:cs="Arial"/>
                <w:b w:val="0"/>
                <w:color w:val="5B9BD5" w:themeColor="accent5"/>
                <w:sz w:val="20"/>
                <w:lang w:eastAsia="zh-CN"/>
              </w:rPr>
              <w:t xml:space="preserve">RAN2 response: RAN2 assumes network only configures channel bandwidth according to UE capabilities. UE behaviour is not specified when the channel bandwidth configuration exceeds the frequency band borders. </w:t>
            </w:r>
          </w:p>
        </w:tc>
      </w:tr>
    </w:tbl>
    <w:p w14:paraId="3B8662A1" w14:textId="061837FB" w:rsidR="008F14C5" w:rsidRPr="006F7ACF" w:rsidRDefault="008F14C5" w:rsidP="008F14C5">
      <w:pPr>
        <w:rPr>
          <w:rFonts w:ascii="Arial" w:hAnsi="Arial" w:cs="Arial"/>
          <w:sz w:val="22"/>
          <w:szCs w:val="22"/>
          <w:lang w:val="en-US"/>
        </w:rPr>
      </w:pPr>
      <w:r w:rsidRPr="006F7ACF">
        <w:rPr>
          <w:rFonts w:ascii="Arial" w:hAnsi="Arial" w:cs="Arial"/>
          <w:sz w:val="22"/>
          <w:szCs w:val="22"/>
          <w:lang w:val="en-US"/>
        </w:rPr>
        <w:t>The RAN2 response is not clearly supportive of utilizing the Wider CBW method without the use of further signaling. Rather RAN2 indicates uncertainty for the UE behavior and states that network configuration is not s</w:t>
      </w:r>
      <w:r w:rsidR="002A295A" w:rsidRPr="006F7ACF">
        <w:rPr>
          <w:rFonts w:ascii="Arial" w:hAnsi="Arial" w:cs="Arial"/>
          <w:sz w:val="22"/>
          <w:szCs w:val="22"/>
          <w:lang w:val="en-US"/>
        </w:rPr>
        <w:t>pecified</w:t>
      </w:r>
      <w:r w:rsidRPr="006F7ACF">
        <w:rPr>
          <w:rFonts w:ascii="Arial" w:hAnsi="Arial" w:cs="Arial"/>
          <w:sz w:val="22"/>
          <w:szCs w:val="22"/>
          <w:lang w:val="en-US"/>
        </w:rPr>
        <w:t xml:space="preserve"> for the case of CBW outside the band edges.</w:t>
      </w:r>
      <w:r w:rsidR="00481E34" w:rsidRPr="006F7ACF">
        <w:rPr>
          <w:rFonts w:ascii="Arial" w:hAnsi="Arial" w:cs="Arial"/>
          <w:sz w:val="22"/>
          <w:szCs w:val="22"/>
          <w:lang w:val="en-US"/>
        </w:rPr>
        <w:t xml:space="preserve">  </w:t>
      </w:r>
    </w:p>
    <w:p w14:paraId="2D827F80" w14:textId="09630C91" w:rsidR="008F14C5" w:rsidRDefault="008F14C5" w:rsidP="008F14C5">
      <w:pPr>
        <w:rPr>
          <w:rFonts w:ascii="Arial" w:hAnsi="Arial" w:cs="Arial"/>
          <w:i/>
          <w:iCs/>
          <w:sz w:val="22"/>
          <w:szCs w:val="22"/>
          <w:lang w:val="en-US"/>
        </w:rPr>
      </w:pPr>
      <w:r w:rsidRPr="006F7ACF">
        <w:rPr>
          <w:rFonts w:ascii="Arial" w:hAnsi="Arial" w:cs="Arial"/>
          <w:i/>
          <w:iCs/>
          <w:sz w:val="22"/>
          <w:szCs w:val="22"/>
          <w:lang w:val="en-US"/>
        </w:rPr>
        <w:t>Observation 1: RAN2 to not supportive of using the Wider CBW method</w:t>
      </w:r>
      <w:r w:rsidR="00247A24">
        <w:rPr>
          <w:rFonts w:ascii="Arial" w:hAnsi="Arial" w:cs="Arial"/>
          <w:i/>
          <w:iCs/>
          <w:sz w:val="22"/>
          <w:szCs w:val="22"/>
          <w:lang w:val="en-US"/>
        </w:rPr>
        <w:t xml:space="preserve"> for legacy UEs</w:t>
      </w:r>
      <w:r w:rsidRPr="006F7ACF">
        <w:rPr>
          <w:rFonts w:ascii="Arial" w:hAnsi="Arial" w:cs="Arial"/>
          <w:i/>
          <w:iCs/>
          <w:sz w:val="22"/>
          <w:szCs w:val="22"/>
          <w:lang w:val="en-US"/>
        </w:rPr>
        <w:t xml:space="preserve"> outside of the </w:t>
      </w:r>
      <w:r w:rsidR="002E05C2" w:rsidRPr="006F7ACF">
        <w:rPr>
          <w:rFonts w:ascii="Arial" w:hAnsi="Arial" w:cs="Arial"/>
          <w:i/>
          <w:iCs/>
          <w:sz w:val="22"/>
          <w:szCs w:val="22"/>
          <w:lang w:val="en-US"/>
        </w:rPr>
        <w:t>NR</w:t>
      </w:r>
      <w:r w:rsidR="005C3E99" w:rsidRPr="006F7ACF">
        <w:rPr>
          <w:rFonts w:ascii="Arial" w:hAnsi="Arial" w:cs="Arial"/>
          <w:i/>
          <w:iCs/>
          <w:sz w:val="22"/>
          <w:szCs w:val="22"/>
          <w:lang w:val="en-US"/>
        </w:rPr>
        <w:t xml:space="preserve"> band </w:t>
      </w:r>
      <w:r w:rsidRPr="006F7ACF">
        <w:rPr>
          <w:rFonts w:ascii="Arial" w:hAnsi="Arial" w:cs="Arial"/>
          <w:i/>
          <w:iCs/>
          <w:sz w:val="22"/>
          <w:szCs w:val="22"/>
          <w:lang w:val="en-US"/>
        </w:rPr>
        <w:t xml:space="preserve">due to unclear behavior.  </w:t>
      </w:r>
      <w:r w:rsidR="008D6FC7" w:rsidRPr="003F7340">
        <w:t xml:space="preserve"> </w:t>
      </w:r>
      <w:r w:rsidR="008D6FC7" w:rsidRPr="003F7340">
        <w:rPr>
          <w:rFonts w:ascii="Arial" w:hAnsi="Arial" w:cs="Arial"/>
          <w:i/>
          <w:iCs/>
          <w:sz w:val="22"/>
          <w:szCs w:val="22"/>
          <w:lang w:val="en-US"/>
        </w:rPr>
        <w:t>The Wider CBW method cannot be used for legacy UEs in case CBW is not fully contained in the NR band</w:t>
      </w:r>
      <w:r w:rsidR="006D45A7">
        <w:rPr>
          <w:rFonts w:ascii="Arial" w:hAnsi="Arial" w:cs="Arial"/>
          <w:i/>
          <w:iCs/>
          <w:sz w:val="22"/>
          <w:szCs w:val="22"/>
          <w:lang w:val="en-US"/>
        </w:rPr>
        <w:t>.</w:t>
      </w:r>
    </w:p>
    <w:p w14:paraId="1D00A7D9" w14:textId="2CEB0F74" w:rsidR="00D52656" w:rsidRPr="006F7ACF" w:rsidRDefault="009B37C6" w:rsidP="006F7ACF">
      <w:pPr>
        <w:rPr>
          <w:rFonts w:ascii="Arial" w:hAnsi="Arial" w:cs="Arial"/>
          <w:sz w:val="22"/>
          <w:szCs w:val="22"/>
          <w:lang w:val="en-US"/>
        </w:rPr>
      </w:pPr>
      <w:r w:rsidRPr="0016366F">
        <w:rPr>
          <w:rFonts w:ascii="Arial" w:hAnsi="Arial" w:cs="Arial"/>
          <w:sz w:val="22"/>
          <w:szCs w:val="22"/>
          <w:lang w:val="en-US"/>
        </w:rPr>
        <w:t xml:space="preserve">There is no </w:t>
      </w:r>
      <w:r>
        <w:rPr>
          <w:rFonts w:ascii="Arial" w:hAnsi="Arial" w:cs="Arial"/>
          <w:sz w:val="22"/>
          <w:szCs w:val="22"/>
          <w:lang w:val="en-US"/>
        </w:rPr>
        <w:t xml:space="preserve">issue with the </w:t>
      </w:r>
      <w:r w:rsidRPr="0016366F">
        <w:rPr>
          <w:rFonts w:ascii="Arial" w:hAnsi="Arial" w:cs="Arial"/>
          <w:sz w:val="22"/>
          <w:szCs w:val="22"/>
          <w:lang w:val="en-US"/>
        </w:rPr>
        <w:t xml:space="preserve">Wider CBW method </w:t>
      </w:r>
      <w:r>
        <w:rPr>
          <w:rFonts w:ascii="Arial" w:hAnsi="Arial" w:cs="Arial"/>
          <w:sz w:val="22"/>
          <w:szCs w:val="22"/>
          <w:lang w:val="en-US"/>
        </w:rPr>
        <w:t xml:space="preserve">using undefined CBW values and the method </w:t>
      </w:r>
      <w:r w:rsidRPr="0016366F">
        <w:rPr>
          <w:rFonts w:ascii="Arial" w:hAnsi="Arial" w:cs="Arial"/>
          <w:sz w:val="22"/>
          <w:szCs w:val="22"/>
          <w:lang w:val="en-US"/>
        </w:rPr>
        <w:t>is expected to use the CBW listed in TS 38.101-1.</w:t>
      </w:r>
      <w:r>
        <w:rPr>
          <w:rFonts w:ascii="Arial" w:hAnsi="Arial" w:cs="Arial"/>
          <w:sz w:val="22"/>
          <w:szCs w:val="22"/>
          <w:lang w:val="en-US"/>
        </w:rPr>
        <w:t xml:space="preserve">  </w:t>
      </w:r>
      <w:r w:rsidR="00D52656">
        <w:rPr>
          <w:rFonts w:ascii="Arial" w:hAnsi="Arial" w:cs="Arial"/>
          <w:sz w:val="22"/>
          <w:szCs w:val="22"/>
          <w:lang w:val="en-US"/>
        </w:rPr>
        <w:t>I</w:t>
      </w:r>
      <w:r w:rsidR="00D52656" w:rsidRPr="006F7ACF">
        <w:rPr>
          <w:rFonts w:ascii="Arial" w:hAnsi="Arial" w:cs="Arial"/>
          <w:sz w:val="22"/>
          <w:szCs w:val="22"/>
          <w:lang w:val="en-US"/>
        </w:rPr>
        <w:t xml:space="preserve">f UE CBW is configured in a way that some portion of CBW falls out of frequency band, then UE may deny such configuration (i.e., UE behavior is undefined). </w:t>
      </w:r>
    </w:p>
    <w:p w14:paraId="02621E88" w14:textId="5FEBEAE0" w:rsidR="008F14C5" w:rsidRPr="006F7ACF" w:rsidRDefault="00F176D8" w:rsidP="008F14C5">
      <w:pPr>
        <w:rPr>
          <w:rFonts w:ascii="Arial" w:hAnsi="Arial" w:cs="Arial"/>
          <w:i/>
          <w:iCs/>
          <w:sz w:val="22"/>
          <w:szCs w:val="22"/>
          <w:lang w:val="en-US"/>
        </w:rPr>
      </w:pPr>
      <w:r w:rsidRPr="006F7ACF">
        <w:rPr>
          <w:rFonts w:ascii="Arial" w:hAnsi="Arial" w:cs="Arial"/>
          <w:i/>
          <w:iCs/>
          <w:sz w:val="22"/>
          <w:szCs w:val="22"/>
          <w:lang w:val="en-US"/>
        </w:rPr>
        <w:t xml:space="preserve">Observation 2: </w:t>
      </w:r>
      <w:r w:rsidR="008F14C5" w:rsidRPr="006F7ACF">
        <w:rPr>
          <w:rFonts w:ascii="Arial" w:hAnsi="Arial" w:cs="Arial"/>
          <w:i/>
          <w:iCs/>
          <w:sz w:val="22"/>
          <w:szCs w:val="22"/>
          <w:lang w:val="en-US"/>
        </w:rPr>
        <w:t xml:space="preserve">It is worth noting that RAN4 doesn’t intend to define RBs beyond the </w:t>
      </w:r>
      <w:r w:rsidR="00841268">
        <w:rPr>
          <w:rFonts w:ascii="Arial" w:hAnsi="Arial" w:cs="Arial"/>
          <w:i/>
          <w:iCs/>
          <w:sz w:val="22"/>
          <w:szCs w:val="22"/>
          <w:lang w:val="en-US"/>
        </w:rPr>
        <w:t xml:space="preserve">NR </w:t>
      </w:r>
      <w:r w:rsidR="008F14C5" w:rsidRPr="006F7ACF">
        <w:rPr>
          <w:rFonts w:ascii="Arial" w:hAnsi="Arial" w:cs="Arial"/>
          <w:i/>
          <w:iCs/>
          <w:sz w:val="22"/>
          <w:szCs w:val="22"/>
          <w:lang w:val="en-US"/>
        </w:rPr>
        <w:t>frequency band borders, but merely to allow the excess portion of the CBW filter to extend beyond the band borders.</w:t>
      </w:r>
    </w:p>
    <w:p w14:paraId="45EC37F4" w14:textId="77777777" w:rsidR="008F14C5" w:rsidRPr="006C5B60" w:rsidRDefault="008F14C5" w:rsidP="008F14C5">
      <w:pPr>
        <w:rPr>
          <w:rFonts w:ascii="Arial" w:hAnsi="Arial" w:cs="Arial"/>
          <w:sz w:val="22"/>
          <w:szCs w:val="22"/>
          <w:lang w:val="en-US"/>
        </w:rPr>
      </w:pPr>
      <w:r>
        <w:rPr>
          <w:rFonts w:ascii="Arial" w:hAnsi="Arial" w:cs="Arial"/>
          <w:sz w:val="22"/>
          <w:szCs w:val="22"/>
          <w:lang w:val="en-US"/>
        </w:rPr>
        <w:lastRenderedPageBreak/>
        <w:t>RAN1 provided</w:t>
      </w:r>
      <w:r w:rsidRPr="006C5B60">
        <w:rPr>
          <w:rFonts w:ascii="Arial" w:hAnsi="Arial" w:cs="Arial"/>
          <w:sz w:val="22"/>
          <w:szCs w:val="22"/>
          <w:lang w:val="en-US"/>
        </w:rPr>
        <w:t xml:space="preserve"> the following comments </w:t>
      </w:r>
      <w:r>
        <w:rPr>
          <w:rFonts w:ascii="Arial" w:hAnsi="Arial" w:cs="Arial"/>
          <w:sz w:val="22"/>
          <w:szCs w:val="22"/>
          <w:lang w:val="en-US"/>
        </w:rPr>
        <w:t>on the wider CBW method</w:t>
      </w:r>
      <w:r w:rsidRPr="006C5B60">
        <w:rPr>
          <w:rFonts w:ascii="Arial" w:hAnsi="Arial" w:cs="Arial"/>
          <w:sz w:val="22"/>
          <w:szCs w:val="22"/>
          <w:lang w:val="en-US"/>
        </w:rPr>
        <w:t xml:space="preserve"> [</w:t>
      </w:r>
      <w:r>
        <w:rPr>
          <w:rFonts w:ascii="Arial" w:hAnsi="Arial" w:cs="Arial"/>
          <w:sz w:val="22"/>
          <w:szCs w:val="22"/>
          <w:lang w:val="en-US"/>
        </w:rPr>
        <w:t>2</w:t>
      </w:r>
      <w:r w:rsidRPr="006C5B60">
        <w:rPr>
          <w:rFonts w:ascii="Arial" w:hAnsi="Arial" w:cs="Arial"/>
          <w:sz w:val="22"/>
          <w:szCs w:val="22"/>
          <w:lang w:val="en-US"/>
        </w:rPr>
        <w:t xml:space="preserve">]: </w:t>
      </w:r>
    </w:p>
    <w:tbl>
      <w:tblPr>
        <w:tblStyle w:val="TableGrid"/>
        <w:tblW w:w="0" w:type="auto"/>
        <w:tblLook w:val="04A0" w:firstRow="1" w:lastRow="0" w:firstColumn="1" w:lastColumn="0" w:noHBand="0" w:noVBand="1"/>
      </w:tblPr>
      <w:tblGrid>
        <w:gridCol w:w="9631"/>
      </w:tblGrid>
      <w:tr w:rsidR="008F14C5" w14:paraId="11CE237F" w14:textId="77777777" w:rsidTr="00E34D45">
        <w:tc>
          <w:tcPr>
            <w:tcW w:w="9631" w:type="dxa"/>
          </w:tcPr>
          <w:p w14:paraId="122B6D46" w14:textId="77777777" w:rsidR="008F14C5" w:rsidRDefault="008F14C5" w:rsidP="00E34D45">
            <w:pPr>
              <w:pStyle w:val="Header"/>
              <w:numPr>
                <w:ilvl w:val="1"/>
                <w:numId w:val="26"/>
              </w:numPr>
              <w:spacing w:after="120"/>
              <w:ind w:left="644"/>
              <w:textAlignment w:val="auto"/>
              <w:rPr>
                <w:rFonts w:eastAsia="SimSun" w:cs="Arial"/>
                <w:b w:val="0"/>
                <w:noProof w:val="0"/>
                <w:sz w:val="20"/>
                <w:lang w:eastAsia="zh-CN"/>
              </w:rPr>
            </w:pPr>
            <w:r>
              <w:rPr>
                <w:rFonts w:eastAsia="SimSun" w:cs="Arial"/>
                <w:b w:val="0"/>
                <w:noProof w:val="0"/>
                <w:sz w:val="20"/>
                <w:lang w:eastAsia="zh-CN"/>
              </w:rPr>
              <w:t xml:space="preserve">Clarify if there is any limitation for the UL carrier positions (not just BWP positions) legacy UEs support for </w:t>
            </w:r>
            <w:r>
              <w:rPr>
                <w:rFonts w:eastAsia="SimSun" w:cs="Arial"/>
                <w:b w:val="0"/>
                <w:i/>
                <w:iCs/>
                <w:noProof w:val="0"/>
                <w:sz w:val="20"/>
                <w:lang w:eastAsia="zh-CN"/>
              </w:rPr>
              <w:t>uplinkChannelBW-PerSCS-List</w:t>
            </w:r>
            <w:r>
              <w:rPr>
                <w:rFonts w:eastAsia="SimSun" w:cs="Arial"/>
                <w:b w:val="0"/>
                <w:noProof w:val="0"/>
                <w:sz w:val="20"/>
                <w:lang w:eastAsia="zh-CN"/>
              </w:rPr>
              <w:t xml:space="preserve"> and </w:t>
            </w:r>
            <w:r>
              <w:rPr>
                <w:rFonts w:eastAsia="SimSun" w:cs="Arial"/>
                <w:b w:val="0"/>
                <w:i/>
                <w:iCs/>
                <w:noProof w:val="0"/>
                <w:sz w:val="20"/>
                <w:lang w:eastAsia="zh-CN"/>
              </w:rPr>
              <w:t>scs-SpecificCarrierList</w:t>
            </w:r>
            <w:r>
              <w:rPr>
                <w:rFonts w:eastAsia="SimSun" w:cs="Arial"/>
                <w:b w:val="0"/>
                <w:noProof w:val="0"/>
                <w:sz w:val="20"/>
                <w:lang w:eastAsia="zh-CN"/>
              </w:rPr>
              <w:t xml:space="preserve"> in symmetric operating bands with a fixed duplex distance and asymmetric UL/DL channel bandwidth.</w:t>
            </w:r>
          </w:p>
          <w:p w14:paraId="270BE3E8" w14:textId="77777777" w:rsidR="008F14C5" w:rsidRDefault="008F14C5" w:rsidP="00E34D45">
            <w:pPr>
              <w:pStyle w:val="Header"/>
              <w:spacing w:after="120"/>
              <w:ind w:left="644"/>
              <w:textAlignment w:val="auto"/>
              <w:rPr>
                <w:rFonts w:eastAsia="SimSun" w:cs="Arial"/>
                <w:b w:val="0"/>
                <w:noProof w:val="0"/>
                <w:color w:val="5B9BD5" w:themeColor="accent5"/>
                <w:sz w:val="20"/>
                <w:lang w:eastAsia="zh-CN"/>
              </w:rPr>
            </w:pPr>
            <w:r>
              <w:rPr>
                <w:rFonts w:eastAsia="SimSun" w:cs="Arial"/>
                <w:bCs/>
                <w:noProof w:val="0"/>
                <w:color w:val="5B9BD5" w:themeColor="accent5"/>
                <w:sz w:val="20"/>
                <w:lang w:eastAsia="zh-CN"/>
              </w:rPr>
              <w:t>RAN1 response:</w:t>
            </w:r>
            <w:r>
              <w:rPr>
                <w:rFonts w:eastAsia="SimSun" w:cs="Arial"/>
                <w:b w:val="0"/>
                <w:noProof w:val="0"/>
                <w:color w:val="5B9BD5" w:themeColor="accent5"/>
                <w:sz w:val="20"/>
                <w:lang w:eastAsia="zh-CN"/>
              </w:rPr>
              <w:t xml:space="preserve"> RAN1 specifications do not place any limitations to this for FDD bands as RAN1 specifications are agnostic to the definitions of operating bands, bandwidths and duplex distances while for TDD bands RAN1 requires that the active UL and DL BWP pair must have the same center frequency. It is RAN1 understanding that RAN2 capability and configuration signalling and RAN4 band, duplex and bandwidth definitions place restrictions to carrier positions.</w:t>
            </w:r>
          </w:p>
          <w:p w14:paraId="0E330E15" w14:textId="77777777" w:rsidR="008F14C5" w:rsidRDefault="008F14C5" w:rsidP="00E34D45">
            <w:pPr>
              <w:pStyle w:val="Header"/>
              <w:numPr>
                <w:ilvl w:val="1"/>
                <w:numId w:val="26"/>
              </w:numPr>
              <w:spacing w:after="120"/>
              <w:ind w:left="644"/>
              <w:textAlignment w:val="auto"/>
              <w:rPr>
                <w:rFonts w:eastAsia="SimSun" w:cs="Arial"/>
                <w:b w:val="0"/>
                <w:noProof w:val="0"/>
                <w:sz w:val="20"/>
                <w:lang w:eastAsia="zh-CN"/>
              </w:rPr>
            </w:pPr>
            <w:r>
              <w:rPr>
                <w:rFonts w:eastAsia="SimSun" w:cs="Arial"/>
                <w:b w:val="0"/>
                <w:noProof w:val="0"/>
                <w:sz w:val="20"/>
                <w:lang w:eastAsia="zh-CN"/>
              </w:rPr>
              <w:t xml:space="preserve">Confirm UE behaviour if it is possible to configure a carrier that is not fully contained in the NR band, i.e. the carrier can extend beyond the low edge of the band and/or the high edge of the band? </w:t>
            </w:r>
          </w:p>
          <w:p w14:paraId="57AFE417" w14:textId="77777777" w:rsidR="008F14C5" w:rsidRPr="00E34D45" w:rsidRDefault="008F14C5" w:rsidP="00E34D45">
            <w:pPr>
              <w:pStyle w:val="Header"/>
              <w:spacing w:after="120"/>
              <w:ind w:left="644"/>
              <w:textAlignment w:val="auto"/>
              <w:rPr>
                <w:rFonts w:eastAsia="SimSun" w:cs="Arial"/>
                <w:lang w:eastAsia="zh-CN"/>
              </w:rPr>
            </w:pPr>
            <w:r>
              <w:rPr>
                <w:rFonts w:eastAsia="SimSun" w:cs="Arial"/>
                <w:bCs/>
                <w:noProof w:val="0"/>
                <w:color w:val="5B9BD5" w:themeColor="accent5"/>
                <w:sz w:val="20"/>
                <w:lang w:eastAsia="zh-CN"/>
              </w:rPr>
              <w:t>RAN1 response:</w:t>
            </w:r>
            <w:r>
              <w:rPr>
                <w:rFonts w:eastAsia="SimSun" w:cs="Arial"/>
                <w:b w:val="0"/>
                <w:noProof w:val="0"/>
                <w:color w:val="5B9BD5" w:themeColor="accent5"/>
                <w:sz w:val="20"/>
                <w:lang w:eastAsia="zh-CN"/>
              </w:rPr>
              <w:t xml:space="preserve"> RAN1 understanding is that there is no defined UE behaviour for a carrier that is not fully contained in a NR band as the UE capability of supported maximum bandwidth is defined on a per CC/per Band/Per BC basis, which assumes the indicated BW for a given CC is within a defined NR band.</w:t>
            </w:r>
          </w:p>
        </w:tc>
      </w:tr>
    </w:tbl>
    <w:p w14:paraId="2C346A26" w14:textId="77777777" w:rsidR="008F14C5" w:rsidRDefault="008F14C5" w:rsidP="008F14C5">
      <w:pPr>
        <w:rPr>
          <w:rFonts w:ascii="Arial" w:hAnsi="Arial" w:cs="Arial"/>
          <w:sz w:val="22"/>
          <w:szCs w:val="22"/>
          <w:lang w:val="en-US"/>
        </w:rPr>
      </w:pPr>
    </w:p>
    <w:p w14:paraId="3CE3B9F1" w14:textId="7397A02F" w:rsidR="002329A0" w:rsidRPr="003F7340" w:rsidRDefault="002329A0" w:rsidP="006F7ACF">
      <w:pPr>
        <w:rPr>
          <w:rFonts w:ascii="Arial" w:hAnsi="Arial" w:cs="Arial"/>
          <w:color w:val="2F5496" w:themeColor="accent1" w:themeShade="BF"/>
          <w:sz w:val="22"/>
          <w:szCs w:val="22"/>
        </w:rPr>
      </w:pPr>
      <w:r>
        <w:rPr>
          <w:rFonts w:ascii="Arial" w:hAnsi="Arial" w:cs="Arial"/>
          <w:sz w:val="22"/>
          <w:szCs w:val="22"/>
        </w:rPr>
        <w:t xml:space="preserve">The </w:t>
      </w:r>
      <w:r w:rsidRPr="006F7ACF">
        <w:rPr>
          <w:rFonts w:ascii="Arial" w:hAnsi="Arial" w:cs="Arial"/>
          <w:sz w:val="22"/>
          <w:szCs w:val="22"/>
        </w:rPr>
        <w:t xml:space="preserve">RAN1 response </w:t>
      </w:r>
      <w:r w:rsidR="00843B82">
        <w:rPr>
          <w:rFonts w:ascii="Arial" w:hAnsi="Arial" w:cs="Arial"/>
          <w:sz w:val="22"/>
          <w:szCs w:val="22"/>
        </w:rPr>
        <w:t xml:space="preserve">raises similar concerns to operating beyond the NR band edge but for operation within the NR band </w:t>
      </w:r>
      <w:r w:rsidRPr="006F7ACF">
        <w:rPr>
          <w:rFonts w:ascii="Arial" w:hAnsi="Arial" w:cs="Arial"/>
          <w:sz w:val="22"/>
          <w:szCs w:val="22"/>
        </w:rPr>
        <w:t>does not put constraints for Wider CBW method</w:t>
      </w:r>
      <w:r w:rsidR="00843B82">
        <w:rPr>
          <w:rFonts w:ascii="Arial" w:hAnsi="Arial" w:cs="Arial"/>
          <w:sz w:val="22"/>
          <w:szCs w:val="22"/>
        </w:rPr>
        <w:t>.</w:t>
      </w:r>
    </w:p>
    <w:p w14:paraId="5A4A3766" w14:textId="6C88618D" w:rsidR="009A194F" w:rsidRPr="006F7ACF" w:rsidRDefault="009A194F" w:rsidP="009A194F">
      <w:pPr>
        <w:rPr>
          <w:rFonts w:ascii="Arial" w:hAnsi="Arial" w:cs="Arial"/>
          <w:i/>
          <w:iCs/>
          <w:sz w:val="22"/>
          <w:szCs w:val="22"/>
          <w:lang w:val="en-US"/>
        </w:rPr>
      </w:pPr>
      <w:r w:rsidRPr="006F7ACF">
        <w:rPr>
          <w:rFonts w:ascii="Arial" w:hAnsi="Arial" w:cs="Arial"/>
          <w:i/>
          <w:iCs/>
          <w:sz w:val="22"/>
          <w:szCs w:val="22"/>
          <w:lang w:val="en-US"/>
        </w:rPr>
        <w:t xml:space="preserve">Observation </w:t>
      </w:r>
      <w:r w:rsidR="00F176D8" w:rsidRPr="006F7ACF">
        <w:rPr>
          <w:rFonts w:ascii="Arial" w:hAnsi="Arial" w:cs="Arial"/>
          <w:i/>
          <w:iCs/>
          <w:sz w:val="22"/>
          <w:szCs w:val="22"/>
          <w:lang w:val="en-US"/>
        </w:rPr>
        <w:t>3</w:t>
      </w:r>
      <w:r w:rsidRPr="006F7ACF">
        <w:rPr>
          <w:rFonts w:ascii="Arial" w:hAnsi="Arial" w:cs="Arial"/>
          <w:i/>
          <w:iCs/>
          <w:sz w:val="22"/>
          <w:szCs w:val="22"/>
          <w:lang w:val="en-US"/>
        </w:rPr>
        <w:t xml:space="preserve">: RAN1 also raises concern about CBW being outside of the </w:t>
      </w:r>
      <w:r w:rsidR="0082719B" w:rsidRPr="006F7ACF">
        <w:rPr>
          <w:rFonts w:ascii="Arial" w:hAnsi="Arial" w:cs="Arial"/>
          <w:i/>
          <w:iCs/>
          <w:sz w:val="22"/>
          <w:szCs w:val="22"/>
          <w:lang w:val="en-US"/>
        </w:rPr>
        <w:t>NR</w:t>
      </w:r>
      <w:r w:rsidRPr="006F7ACF">
        <w:rPr>
          <w:rFonts w:ascii="Arial" w:hAnsi="Arial" w:cs="Arial"/>
          <w:i/>
          <w:iCs/>
          <w:sz w:val="22"/>
          <w:szCs w:val="22"/>
          <w:lang w:val="en-US"/>
        </w:rPr>
        <w:t xml:space="preserve"> band borders.  However, beyond this limitation, and for BWP operating within the band borders, RAN1 states their specifications are compatible with the Wider CBW method</w:t>
      </w:r>
      <w:r w:rsidR="006D646C">
        <w:rPr>
          <w:rFonts w:ascii="Arial" w:hAnsi="Arial" w:cs="Arial"/>
          <w:i/>
          <w:iCs/>
          <w:sz w:val="22"/>
          <w:szCs w:val="22"/>
          <w:lang w:val="en-US"/>
        </w:rPr>
        <w:t>.</w:t>
      </w:r>
    </w:p>
    <w:p w14:paraId="1A861F07" w14:textId="454F3F65" w:rsidR="004E323C" w:rsidRPr="00CE76EB" w:rsidRDefault="004E323C" w:rsidP="004E323C">
      <w:pPr>
        <w:rPr>
          <w:rFonts w:ascii="Arial" w:hAnsi="Arial" w:cs="Arial"/>
          <w:sz w:val="22"/>
          <w:szCs w:val="22"/>
          <w:lang w:val="en-US"/>
        </w:rPr>
      </w:pPr>
      <w:r>
        <w:rPr>
          <w:rFonts w:ascii="Arial" w:hAnsi="Arial" w:cs="Arial"/>
          <w:sz w:val="22"/>
          <w:szCs w:val="22"/>
          <w:lang w:val="en-US"/>
        </w:rPr>
        <w:t>For discussion, we</w:t>
      </w:r>
      <w:r w:rsidRPr="00CE76EB">
        <w:rPr>
          <w:rFonts w:ascii="Arial" w:hAnsi="Arial" w:cs="Arial"/>
          <w:sz w:val="22"/>
          <w:szCs w:val="22"/>
          <w:lang w:val="en-US"/>
        </w:rPr>
        <w:t xml:space="preserve"> consider 2 scenarios:</w:t>
      </w:r>
    </w:p>
    <w:p w14:paraId="266116BA" w14:textId="77777777" w:rsidR="004E323C" w:rsidRPr="00CE76EB" w:rsidRDefault="004E323C" w:rsidP="004E323C">
      <w:pPr>
        <w:ind w:left="284"/>
        <w:rPr>
          <w:rFonts w:ascii="Arial" w:hAnsi="Arial" w:cs="Arial"/>
          <w:sz w:val="22"/>
          <w:szCs w:val="22"/>
          <w:lang w:val="en-US"/>
        </w:rPr>
      </w:pPr>
      <w:r w:rsidRPr="00CE76EB">
        <w:rPr>
          <w:rFonts w:ascii="Arial" w:hAnsi="Arial" w:cs="Arial"/>
          <w:sz w:val="22"/>
          <w:szCs w:val="22"/>
          <w:lang w:val="en-US"/>
        </w:rPr>
        <w:t xml:space="preserve">Scenario #1: NW configures the UE CBW within the frequency band. In </w:t>
      </w:r>
      <w:r>
        <w:rPr>
          <w:rFonts w:ascii="Arial" w:hAnsi="Arial" w:cs="Arial"/>
          <w:sz w:val="22"/>
          <w:szCs w:val="22"/>
          <w:lang w:val="en-US"/>
        </w:rPr>
        <w:t>this</w:t>
      </w:r>
      <w:r w:rsidRPr="00CE76EB">
        <w:rPr>
          <w:rFonts w:ascii="Arial" w:hAnsi="Arial" w:cs="Arial"/>
          <w:sz w:val="22"/>
          <w:szCs w:val="22"/>
          <w:lang w:val="en-US"/>
        </w:rPr>
        <w:t xml:space="preserve"> case the configuration can be applicable to legacy Rel-15/16 UEs. No issues expected </w:t>
      </w:r>
      <w:r>
        <w:rPr>
          <w:rFonts w:ascii="Arial" w:hAnsi="Arial" w:cs="Arial"/>
          <w:sz w:val="22"/>
          <w:szCs w:val="22"/>
          <w:lang w:val="en-US"/>
        </w:rPr>
        <w:t>and no new signaling is required for</w:t>
      </w:r>
      <w:r w:rsidRPr="00CE76EB">
        <w:rPr>
          <w:rFonts w:ascii="Arial" w:hAnsi="Arial" w:cs="Arial"/>
          <w:sz w:val="22"/>
          <w:szCs w:val="22"/>
          <w:lang w:val="en-US"/>
        </w:rPr>
        <w:t xml:space="preserve"> this case</w:t>
      </w:r>
      <w:r>
        <w:rPr>
          <w:rFonts w:ascii="Arial" w:hAnsi="Arial" w:cs="Arial"/>
          <w:sz w:val="22"/>
          <w:szCs w:val="22"/>
          <w:lang w:val="en-US"/>
        </w:rPr>
        <w:t>.</w:t>
      </w:r>
    </w:p>
    <w:p w14:paraId="75B1A679" w14:textId="4D1D43DC" w:rsidR="004E323C" w:rsidRDefault="004E323C" w:rsidP="004E323C">
      <w:pPr>
        <w:ind w:left="284"/>
        <w:rPr>
          <w:rFonts w:ascii="Arial" w:hAnsi="Arial" w:cs="Arial"/>
          <w:sz w:val="22"/>
          <w:szCs w:val="22"/>
          <w:lang w:val="en-US"/>
        </w:rPr>
      </w:pPr>
      <w:r w:rsidRPr="00CE76EB">
        <w:rPr>
          <w:rFonts w:ascii="Arial" w:hAnsi="Arial" w:cs="Arial"/>
          <w:sz w:val="22"/>
          <w:szCs w:val="22"/>
          <w:lang w:val="en-US"/>
        </w:rPr>
        <w:t>Scenario #2: NW configures the UE CBW and the CBW configuration exceeds the frequency band borders. In such case additional signaling is required to inform UE that this is an intended behavior (</w:t>
      </w:r>
      <w:r w:rsidR="002973C2" w:rsidRPr="00CE76EB">
        <w:rPr>
          <w:rFonts w:ascii="Arial" w:hAnsi="Arial" w:cs="Arial"/>
          <w:sz w:val="22"/>
          <w:szCs w:val="22"/>
          <w:lang w:val="en-US"/>
        </w:rPr>
        <w:t>i.e.,</w:t>
      </w:r>
      <w:r w:rsidRPr="00CE76EB">
        <w:rPr>
          <w:rFonts w:ascii="Arial" w:hAnsi="Arial" w:cs="Arial"/>
          <w:sz w:val="22"/>
          <w:szCs w:val="22"/>
          <w:lang w:val="en-US"/>
        </w:rPr>
        <w:t xml:space="preserve"> extra signaling needs to be defined to inform UE that it operates under irregular BW scenario)</w:t>
      </w:r>
    </w:p>
    <w:p w14:paraId="6C3C3AF7" w14:textId="76C128C2" w:rsidR="009A194F" w:rsidRPr="006F7ACF" w:rsidRDefault="009A194F" w:rsidP="009A194F">
      <w:pPr>
        <w:rPr>
          <w:rFonts w:ascii="Arial" w:hAnsi="Arial" w:cs="Arial"/>
          <w:sz w:val="22"/>
          <w:szCs w:val="22"/>
          <w:lang w:val="en-US"/>
        </w:rPr>
      </w:pPr>
      <w:r w:rsidRPr="006F7ACF">
        <w:rPr>
          <w:rFonts w:ascii="Arial" w:hAnsi="Arial" w:cs="Arial"/>
          <w:sz w:val="22"/>
          <w:szCs w:val="22"/>
          <w:lang w:val="en-US"/>
        </w:rPr>
        <w:t xml:space="preserve">RAN1,2 response clarifies the existing behavior, and this means that legacy UEs can’t be configured with CBW exceeding frequency band edges, however this doesn’t preclude new UEs from configuring.  In this case, RAN4 needs to define behavior and </w:t>
      </w:r>
      <w:r w:rsidR="001C41CE" w:rsidRPr="006F7ACF">
        <w:rPr>
          <w:rFonts w:ascii="Arial" w:hAnsi="Arial" w:cs="Arial"/>
          <w:sz w:val="22"/>
          <w:szCs w:val="22"/>
          <w:lang w:val="en-US"/>
        </w:rPr>
        <w:t>signaling</w:t>
      </w:r>
      <w:r w:rsidRPr="006F7ACF">
        <w:rPr>
          <w:rFonts w:ascii="Arial" w:hAnsi="Arial" w:cs="Arial"/>
          <w:sz w:val="22"/>
          <w:szCs w:val="22"/>
          <w:lang w:val="en-US"/>
        </w:rPr>
        <w:t>.</w:t>
      </w:r>
    </w:p>
    <w:p w14:paraId="5DAEF9AF" w14:textId="47135F53" w:rsidR="009A194F" w:rsidRPr="00CE76EB" w:rsidRDefault="009A194F" w:rsidP="009A194F">
      <w:pPr>
        <w:rPr>
          <w:rFonts w:ascii="Arial" w:hAnsi="Arial" w:cs="Arial"/>
          <w:sz w:val="22"/>
          <w:szCs w:val="22"/>
          <w:lang w:val="en-US"/>
        </w:rPr>
      </w:pPr>
      <w:r w:rsidRPr="006F7ACF">
        <w:rPr>
          <w:rFonts w:ascii="Arial" w:hAnsi="Arial" w:cs="Arial"/>
          <w:i/>
          <w:iCs/>
          <w:sz w:val="22"/>
          <w:szCs w:val="22"/>
          <w:lang w:val="en-US"/>
        </w:rPr>
        <w:t xml:space="preserve">Proposal 1: </w:t>
      </w:r>
      <w:r w:rsidR="00E56969">
        <w:rPr>
          <w:rFonts w:ascii="Arial" w:hAnsi="Arial" w:cs="Arial"/>
          <w:i/>
          <w:iCs/>
          <w:sz w:val="22"/>
          <w:szCs w:val="22"/>
          <w:lang w:val="en-US"/>
        </w:rPr>
        <w:t>For new</w:t>
      </w:r>
      <w:r w:rsidR="00F572B9">
        <w:rPr>
          <w:rFonts w:ascii="Arial" w:hAnsi="Arial" w:cs="Arial"/>
          <w:i/>
          <w:iCs/>
          <w:sz w:val="22"/>
          <w:szCs w:val="22"/>
          <w:lang w:val="en-US"/>
        </w:rPr>
        <w:t xml:space="preserve"> UEs, if</w:t>
      </w:r>
      <w:r w:rsidRPr="006F7ACF">
        <w:rPr>
          <w:rFonts w:ascii="Arial" w:hAnsi="Arial" w:cs="Arial"/>
          <w:i/>
          <w:iCs/>
          <w:sz w:val="22"/>
          <w:szCs w:val="22"/>
          <w:lang w:val="en-US"/>
        </w:rPr>
        <w:t xml:space="preserve"> the UE </w:t>
      </w:r>
      <w:r w:rsidR="00E56969">
        <w:rPr>
          <w:rFonts w:ascii="Arial" w:hAnsi="Arial" w:cs="Arial"/>
          <w:i/>
          <w:iCs/>
          <w:sz w:val="22"/>
          <w:szCs w:val="22"/>
          <w:lang w:val="en-US"/>
        </w:rPr>
        <w:t xml:space="preserve">signals it </w:t>
      </w:r>
      <w:r w:rsidRPr="006F7ACF">
        <w:rPr>
          <w:rFonts w:ascii="Arial" w:hAnsi="Arial" w:cs="Arial"/>
          <w:i/>
          <w:iCs/>
          <w:sz w:val="22"/>
          <w:szCs w:val="22"/>
          <w:lang w:val="en-US"/>
        </w:rPr>
        <w:t xml:space="preserve">is capable of placing its CBW filter beyond the band borders, then it is possible to </w:t>
      </w:r>
      <w:r w:rsidR="00CC3F1F">
        <w:rPr>
          <w:rFonts w:ascii="Arial" w:hAnsi="Arial" w:cs="Arial"/>
          <w:i/>
          <w:iCs/>
          <w:sz w:val="22"/>
          <w:szCs w:val="22"/>
          <w:lang w:val="en-US"/>
        </w:rPr>
        <w:t xml:space="preserve">for the NW to </w:t>
      </w:r>
      <w:r w:rsidRPr="006F7ACF">
        <w:rPr>
          <w:rFonts w:ascii="Arial" w:hAnsi="Arial" w:cs="Arial"/>
          <w:i/>
          <w:iCs/>
          <w:sz w:val="22"/>
          <w:szCs w:val="22"/>
          <w:lang w:val="en-US"/>
        </w:rPr>
        <w:t>configure the UE to meet RAN1,2 specifications, and RAN4 needs to define this behavior.</w:t>
      </w:r>
    </w:p>
    <w:p w14:paraId="2AC5016A" w14:textId="08774E60" w:rsidR="00D210E2" w:rsidRDefault="00540914" w:rsidP="00540914">
      <w:pPr>
        <w:pStyle w:val="Heading1"/>
      </w:pPr>
      <w:r>
        <w:t>3</w:t>
      </w:r>
      <w:r w:rsidR="00D210E2" w:rsidRPr="00F67EF5">
        <w:tab/>
      </w:r>
      <w:r w:rsidR="002D2057">
        <w:t xml:space="preserve">New </w:t>
      </w:r>
      <w:r w:rsidR="00B423BE">
        <w:t>Signalling</w:t>
      </w:r>
      <w:r w:rsidR="00D210E2">
        <w:t xml:space="preserve"> </w:t>
      </w:r>
      <w:r w:rsidR="000309BF">
        <w:t>to Indicate UE Behaviour</w:t>
      </w:r>
    </w:p>
    <w:p w14:paraId="66B2745D" w14:textId="1209A5EB" w:rsidR="001451DE" w:rsidRDefault="001451DE" w:rsidP="002D2057">
      <w:pPr>
        <w:pStyle w:val="Heading2"/>
      </w:pPr>
      <w:r w:rsidRPr="00E318DB">
        <w:t xml:space="preserve">3.1 Legacy </w:t>
      </w:r>
      <w:r w:rsidR="002D2057" w:rsidRPr="00E318DB">
        <w:t>UE Operation</w:t>
      </w:r>
    </w:p>
    <w:p w14:paraId="42CA616E" w14:textId="4E873BF5" w:rsidR="000B3F5A" w:rsidRDefault="00ED7AEA" w:rsidP="00632E7E">
      <w:pPr>
        <w:rPr>
          <w:rFonts w:ascii="Arial" w:hAnsi="Arial" w:cs="Arial"/>
          <w:sz w:val="22"/>
          <w:szCs w:val="22"/>
        </w:rPr>
      </w:pPr>
      <w:r>
        <w:rPr>
          <w:rFonts w:ascii="Arial" w:hAnsi="Arial" w:cs="Arial"/>
          <w:sz w:val="22"/>
          <w:szCs w:val="22"/>
        </w:rPr>
        <w:t>Legacy UE</w:t>
      </w:r>
      <w:r w:rsidR="000B3F5A">
        <w:rPr>
          <w:rFonts w:ascii="Arial" w:hAnsi="Arial" w:cs="Arial"/>
          <w:sz w:val="22"/>
          <w:szCs w:val="22"/>
        </w:rPr>
        <w:t xml:space="preserve"> are </w:t>
      </w:r>
      <w:r w:rsidR="00475331">
        <w:rPr>
          <w:rFonts w:ascii="Arial" w:hAnsi="Arial" w:cs="Arial"/>
          <w:sz w:val="22"/>
          <w:szCs w:val="22"/>
        </w:rPr>
        <w:t xml:space="preserve">current Rel-15,16 UEs.  These do not </w:t>
      </w:r>
      <w:r w:rsidR="00E76BEA">
        <w:rPr>
          <w:rFonts w:ascii="Arial" w:hAnsi="Arial" w:cs="Arial"/>
          <w:sz w:val="22"/>
          <w:szCs w:val="22"/>
        </w:rPr>
        <w:t xml:space="preserve">yet </w:t>
      </w:r>
      <w:r w:rsidR="00475331">
        <w:rPr>
          <w:rFonts w:ascii="Arial" w:hAnsi="Arial" w:cs="Arial"/>
          <w:sz w:val="22"/>
          <w:szCs w:val="22"/>
        </w:rPr>
        <w:t>have signalling capability</w:t>
      </w:r>
      <w:r w:rsidR="00E76BEA">
        <w:rPr>
          <w:rFonts w:ascii="Arial" w:hAnsi="Arial" w:cs="Arial"/>
          <w:sz w:val="22"/>
          <w:szCs w:val="22"/>
        </w:rPr>
        <w:t xml:space="preserve"> to operate CBW filters beyond the operating band borders.</w:t>
      </w:r>
      <w:r w:rsidR="00294172">
        <w:rPr>
          <w:rFonts w:ascii="Arial" w:hAnsi="Arial" w:cs="Arial"/>
          <w:sz w:val="22"/>
          <w:szCs w:val="22"/>
        </w:rPr>
        <w:t xml:space="preserve">  Yet they can utilize the proposed Wider CBW </w:t>
      </w:r>
      <w:r w:rsidR="00CF02CD">
        <w:rPr>
          <w:rFonts w:ascii="Arial" w:hAnsi="Arial" w:cs="Arial"/>
          <w:sz w:val="22"/>
          <w:szCs w:val="22"/>
        </w:rPr>
        <w:t>method,</w:t>
      </w:r>
      <w:r w:rsidR="00294172">
        <w:rPr>
          <w:rFonts w:ascii="Arial" w:hAnsi="Arial" w:cs="Arial"/>
          <w:sz w:val="22"/>
          <w:szCs w:val="22"/>
        </w:rPr>
        <w:t xml:space="preserve"> </w:t>
      </w:r>
      <w:r w:rsidR="00D20016">
        <w:rPr>
          <w:rFonts w:ascii="Arial" w:hAnsi="Arial" w:cs="Arial"/>
          <w:sz w:val="22"/>
          <w:szCs w:val="22"/>
        </w:rPr>
        <w:t>and</w:t>
      </w:r>
      <w:r w:rsidR="00294172">
        <w:rPr>
          <w:rFonts w:ascii="Arial" w:hAnsi="Arial" w:cs="Arial"/>
          <w:sz w:val="22"/>
          <w:szCs w:val="22"/>
        </w:rPr>
        <w:t xml:space="preserve"> the NW is able to </w:t>
      </w:r>
      <w:r w:rsidR="00B87DB1">
        <w:rPr>
          <w:rFonts w:ascii="Arial" w:hAnsi="Arial" w:cs="Arial"/>
          <w:sz w:val="22"/>
          <w:szCs w:val="22"/>
        </w:rPr>
        <w:t xml:space="preserve">schedule them such that the CBW filter </w:t>
      </w:r>
      <w:r w:rsidR="00E22D3F">
        <w:rPr>
          <w:rFonts w:ascii="Arial" w:hAnsi="Arial" w:cs="Arial"/>
          <w:sz w:val="22"/>
          <w:szCs w:val="22"/>
        </w:rPr>
        <w:t>lies</w:t>
      </w:r>
      <w:r w:rsidR="00B87DB1">
        <w:rPr>
          <w:rFonts w:ascii="Arial" w:hAnsi="Arial" w:cs="Arial"/>
          <w:sz w:val="22"/>
          <w:szCs w:val="22"/>
        </w:rPr>
        <w:t xml:space="preserve"> within the NR band borders.</w:t>
      </w:r>
      <w:r w:rsidR="00E22D3F">
        <w:rPr>
          <w:rFonts w:ascii="Arial" w:hAnsi="Arial" w:cs="Arial"/>
          <w:sz w:val="22"/>
          <w:szCs w:val="22"/>
        </w:rPr>
        <w:t xml:space="preserve">  For this case there is no unclear or undefined behavior.</w:t>
      </w:r>
    </w:p>
    <w:p w14:paraId="13B0BD44" w14:textId="1B455896" w:rsidR="00EA37D7" w:rsidRPr="00E318DB" w:rsidRDefault="00BE6C0E" w:rsidP="00632E7E">
      <w:pPr>
        <w:rPr>
          <w:rFonts w:ascii="Arial" w:hAnsi="Arial" w:cs="Arial"/>
          <w:sz w:val="22"/>
          <w:szCs w:val="22"/>
        </w:rPr>
      </w:pPr>
      <w:r>
        <w:rPr>
          <w:rFonts w:ascii="Arial" w:hAnsi="Arial" w:cs="Arial"/>
          <w:sz w:val="22"/>
          <w:szCs w:val="22"/>
        </w:rPr>
        <w:lastRenderedPageBreak/>
        <w:t>All</w:t>
      </w:r>
      <w:r w:rsidR="00670496">
        <w:rPr>
          <w:rFonts w:ascii="Arial" w:hAnsi="Arial" w:cs="Arial"/>
          <w:sz w:val="22"/>
          <w:szCs w:val="22"/>
        </w:rPr>
        <w:t xml:space="preserve"> the currently proposed Irregular CBW band are FDD.  </w:t>
      </w:r>
      <w:r w:rsidR="00632E7E" w:rsidRPr="00E318DB">
        <w:rPr>
          <w:rFonts w:ascii="Arial" w:hAnsi="Arial" w:cs="Arial"/>
          <w:sz w:val="22"/>
          <w:szCs w:val="22"/>
        </w:rPr>
        <w:t>T</w:t>
      </w:r>
      <w:r w:rsidR="00B67309" w:rsidRPr="00E318DB">
        <w:rPr>
          <w:rFonts w:ascii="Arial" w:hAnsi="Arial" w:cs="Arial"/>
          <w:sz w:val="22"/>
          <w:szCs w:val="22"/>
        </w:rPr>
        <w:t xml:space="preserve">o further simplify this </w:t>
      </w:r>
      <w:r w:rsidR="00632E7E" w:rsidRPr="00E318DB">
        <w:rPr>
          <w:rFonts w:ascii="Arial" w:hAnsi="Arial" w:cs="Arial"/>
          <w:sz w:val="22"/>
          <w:szCs w:val="22"/>
        </w:rPr>
        <w:t xml:space="preserve">case </w:t>
      </w:r>
      <w:r w:rsidR="00B67309" w:rsidRPr="00E318DB">
        <w:rPr>
          <w:rFonts w:ascii="Arial" w:hAnsi="Arial" w:cs="Arial"/>
          <w:sz w:val="22"/>
          <w:szCs w:val="22"/>
        </w:rPr>
        <w:t xml:space="preserve">for legacy UEs operating in TDD </w:t>
      </w:r>
      <w:r w:rsidR="00EA37D7" w:rsidRPr="00E318DB">
        <w:rPr>
          <w:rFonts w:ascii="Arial" w:hAnsi="Arial" w:cs="Arial"/>
          <w:sz w:val="22"/>
          <w:szCs w:val="22"/>
        </w:rPr>
        <w:t xml:space="preserve">bands, the CC </w:t>
      </w:r>
      <w:r>
        <w:rPr>
          <w:rFonts w:ascii="Arial" w:hAnsi="Arial" w:cs="Arial"/>
          <w:sz w:val="22"/>
          <w:szCs w:val="22"/>
        </w:rPr>
        <w:t>must be</w:t>
      </w:r>
      <w:r w:rsidR="00EA37D7" w:rsidRPr="00E318DB">
        <w:rPr>
          <w:rFonts w:ascii="Arial" w:hAnsi="Arial" w:cs="Arial"/>
          <w:sz w:val="22"/>
          <w:szCs w:val="22"/>
        </w:rPr>
        <w:t xml:space="preserve"> centred within the CBW </w:t>
      </w:r>
      <w:r w:rsidR="004635FF" w:rsidRPr="00E318DB">
        <w:rPr>
          <w:rFonts w:ascii="Arial" w:hAnsi="Arial" w:cs="Arial"/>
          <w:sz w:val="22"/>
          <w:szCs w:val="22"/>
        </w:rPr>
        <w:t>to align CC between UL and DL</w:t>
      </w:r>
    </w:p>
    <w:p w14:paraId="694D41F3" w14:textId="4E643FBE" w:rsidR="000E2E08" w:rsidRDefault="00632E7E" w:rsidP="00632E7E">
      <w:pPr>
        <w:rPr>
          <w:rFonts w:ascii="Arial" w:hAnsi="Arial" w:cs="Arial"/>
          <w:i/>
          <w:iCs/>
          <w:sz w:val="22"/>
          <w:szCs w:val="22"/>
        </w:rPr>
      </w:pPr>
      <w:r w:rsidRPr="00E318DB">
        <w:rPr>
          <w:rFonts w:ascii="Arial" w:hAnsi="Arial" w:cs="Arial"/>
          <w:i/>
          <w:iCs/>
          <w:sz w:val="22"/>
          <w:szCs w:val="22"/>
        </w:rPr>
        <w:t xml:space="preserve">Proposal </w:t>
      </w:r>
      <w:r w:rsidR="00ED7AEA">
        <w:rPr>
          <w:rFonts w:ascii="Arial" w:hAnsi="Arial" w:cs="Arial"/>
          <w:i/>
          <w:iCs/>
          <w:sz w:val="22"/>
          <w:szCs w:val="22"/>
        </w:rPr>
        <w:t>2</w:t>
      </w:r>
      <w:r w:rsidRPr="00E318DB">
        <w:rPr>
          <w:rFonts w:ascii="Arial" w:hAnsi="Arial" w:cs="Arial"/>
          <w:i/>
          <w:iCs/>
          <w:sz w:val="22"/>
          <w:szCs w:val="22"/>
        </w:rPr>
        <w:t xml:space="preserve">: </w:t>
      </w:r>
      <w:r w:rsidR="000E2E08" w:rsidRPr="000E2E08">
        <w:rPr>
          <w:rFonts w:ascii="Arial" w:hAnsi="Arial" w:cs="Arial"/>
          <w:i/>
          <w:iCs/>
          <w:sz w:val="22"/>
          <w:szCs w:val="22"/>
        </w:rPr>
        <w:t>For legacy UEs, no new signalling is needed.  The NW can perform scheduling to avoid placement of the Wider CBW near the NR band edges.</w:t>
      </w:r>
    </w:p>
    <w:p w14:paraId="13140669" w14:textId="044CC76A" w:rsidR="00632E7E" w:rsidRPr="00E318DB" w:rsidRDefault="00632E7E" w:rsidP="00632E7E">
      <w:pPr>
        <w:rPr>
          <w:rFonts w:ascii="Arial" w:hAnsi="Arial" w:cs="Arial"/>
          <w:sz w:val="22"/>
          <w:szCs w:val="22"/>
        </w:rPr>
      </w:pPr>
      <w:r w:rsidRPr="00E318DB">
        <w:rPr>
          <w:rFonts w:ascii="Arial" w:hAnsi="Arial" w:cs="Arial"/>
          <w:sz w:val="22"/>
          <w:szCs w:val="22"/>
        </w:rPr>
        <w:t xml:space="preserve">An example </w:t>
      </w:r>
      <w:r w:rsidR="00544EBD">
        <w:rPr>
          <w:rFonts w:ascii="Arial" w:hAnsi="Arial" w:cs="Arial"/>
          <w:sz w:val="22"/>
          <w:szCs w:val="22"/>
        </w:rPr>
        <w:t xml:space="preserve">of Legacy operation with the Wider CBW method </w:t>
      </w:r>
      <w:r w:rsidRPr="00E318DB">
        <w:rPr>
          <w:rFonts w:ascii="Arial" w:hAnsi="Arial" w:cs="Arial"/>
          <w:sz w:val="22"/>
          <w:szCs w:val="22"/>
        </w:rPr>
        <w:t>is briefly summarized here:  The first signalling mechanism is the SSB which contains synchronization signals (SS), PBCH and the MIB. The MIB tells the UE the offset, SCS and number of RBs (24 minimum) to use for CORESET#0 [</w:t>
      </w:r>
      <w:r w:rsidR="00246739" w:rsidRPr="00E318DB">
        <w:rPr>
          <w:rFonts w:ascii="Arial" w:hAnsi="Arial" w:cs="Arial"/>
          <w:sz w:val="22"/>
          <w:szCs w:val="22"/>
        </w:rPr>
        <w:t>4</w:t>
      </w:r>
      <w:r w:rsidRPr="00E318DB">
        <w:rPr>
          <w:rFonts w:ascii="Arial" w:hAnsi="Arial" w:cs="Arial"/>
          <w:sz w:val="22"/>
          <w:szCs w:val="22"/>
        </w:rPr>
        <w:t>,</w:t>
      </w:r>
      <w:r w:rsidR="00246739" w:rsidRPr="00E318DB">
        <w:rPr>
          <w:rFonts w:ascii="Arial" w:hAnsi="Arial" w:cs="Arial"/>
          <w:sz w:val="22"/>
          <w:szCs w:val="22"/>
        </w:rPr>
        <w:t>5</w:t>
      </w:r>
      <w:r w:rsidRPr="00E318DB">
        <w:rPr>
          <w:rFonts w:ascii="Arial" w:hAnsi="Arial" w:cs="Arial"/>
          <w:sz w:val="22"/>
          <w:szCs w:val="22"/>
        </w:rPr>
        <w:t>].  Next, within CORESET#0 the first SIB1 is sent which gives the UE a fixed reference Point A.</w:t>
      </w:r>
      <w:r w:rsidR="009D5E7A" w:rsidRPr="00E318DB">
        <w:rPr>
          <w:rFonts w:ascii="Arial" w:hAnsi="Arial" w:cs="Arial"/>
          <w:sz w:val="22"/>
          <w:szCs w:val="22"/>
        </w:rPr>
        <w:t xml:space="preserve">  </w:t>
      </w:r>
      <w:r w:rsidR="0084384E" w:rsidRPr="00E318DB">
        <w:rPr>
          <w:rFonts w:ascii="Arial" w:hAnsi="Arial" w:cs="Arial"/>
          <w:sz w:val="22"/>
          <w:szCs w:val="22"/>
        </w:rPr>
        <w:t>The Point A</w:t>
      </w:r>
      <w:r w:rsidR="009D5E7A" w:rsidRPr="00E318DB">
        <w:rPr>
          <w:rFonts w:ascii="Arial" w:hAnsi="Arial" w:cs="Arial"/>
          <w:sz w:val="22"/>
          <w:szCs w:val="22"/>
        </w:rPr>
        <w:t xml:space="preserve"> is independent of the channel boundary and </w:t>
      </w:r>
      <w:r w:rsidR="007D64A4" w:rsidRPr="00E318DB">
        <w:rPr>
          <w:rFonts w:ascii="Arial" w:hAnsi="Arial" w:cs="Arial"/>
          <w:sz w:val="22"/>
          <w:szCs w:val="22"/>
        </w:rPr>
        <w:t>can be located within or outside the band edges.</w:t>
      </w:r>
      <w:r w:rsidRPr="00E318DB">
        <w:rPr>
          <w:rFonts w:ascii="Arial" w:hAnsi="Arial" w:cs="Arial"/>
          <w:sz w:val="22"/>
          <w:szCs w:val="22"/>
        </w:rPr>
        <w:t xml:space="preserve"> </w:t>
      </w:r>
      <w:r w:rsidR="00872018">
        <w:rPr>
          <w:rFonts w:ascii="Arial" w:hAnsi="Arial" w:cs="Arial"/>
          <w:sz w:val="22"/>
          <w:szCs w:val="22"/>
        </w:rPr>
        <w:t xml:space="preserve"> In this example, Point A is located below the Band </w:t>
      </w:r>
      <w:r w:rsidR="00CF02CD">
        <w:rPr>
          <w:rFonts w:ascii="Arial" w:hAnsi="Arial" w:cs="Arial"/>
          <w:sz w:val="22"/>
          <w:szCs w:val="22"/>
        </w:rPr>
        <w:t>Edge,</w:t>
      </w:r>
      <w:r w:rsidR="009E2BC6">
        <w:rPr>
          <w:rFonts w:ascii="Arial" w:hAnsi="Arial" w:cs="Arial"/>
          <w:sz w:val="22"/>
          <w:szCs w:val="22"/>
        </w:rPr>
        <w:t xml:space="preserve"> but the location is not </w:t>
      </w:r>
      <w:r w:rsidR="00205ACA">
        <w:rPr>
          <w:rFonts w:ascii="Arial" w:hAnsi="Arial" w:cs="Arial"/>
          <w:sz w:val="22"/>
          <w:szCs w:val="22"/>
        </w:rPr>
        <w:t>significant</w:t>
      </w:r>
      <w:r w:rsidR="00872018">
        <w:rPr>
          <w:rFonts w:ascii="Arial" w:hAnsi="Arial" w:cs="Arial"/>
          <w:sz w:val="22"/>
          <w:szCs w:val="22"/>
        </w:rPr>
        <w:t>.</w:t>
      </w:r>
      <w:r w:rsidR="002C52A2">
        <w:rPr>
          <w:rFonts w:ascii="Arial" w:hAnsi="Arial" w:cs="Arial"/>
          <w:sz w:val="22"/>
          <w:szCs w:val="22"/>
        </w:rPr>
        <w:t xml:space="preserve"> </w:t>
      </w:r>
      <w:r w:rsidRPr="00E318DB">
        <w:rPr>
          <w:rFonts w:ascii="Arial" w:hAnsi="Arial" w:cs="Arial"/>
          <w:sz w:val="22"/>
          <w:szCs w:val="22"/>
        </w:rPr>
        <w:t xml:space="preserve"> Next, the Initial BWP is used, typically with the same PRBs as the CORESET#0 and the NW performs random access procedure and RRC connection is established during several handshakes with the UE.  </w:t>
      </w:r>
      <w:r w:rsidR="00B3282C">
        <w:rPr>
          <w:rFonts w:ascii="Arial" w:hAnsi="Arial" w:cs="Arial"/>
          <w:sz w:val="22"/>
          <w:szCs w:val="22"/>
        </w:rPr>
        <w:t>The NW learns that the UE</w:t>
      </w:r>
      <w:r w:rsidR="00205ACA">
        <w:rPr>
          <w:rFonts w:ascii="Arial" w:hAnsi="Arial" w:cs="Arial"/>
          <w:sz w:val="22"/>
          <w:szCs w:val="22"/>
        </w:rPr>
        <w:t xml:space="preserve"> has no </w:t>
      </w:r>
      <w:r w:rsidR="003B5784">
        <w:rPr>
          <w:rFonts w:ascii="Arial" w:hAnsi="Arial" w:cs="Arial"/>
          <w:sz w:val="22"/>
          <w:szCs w:val="22"/>
        </w:rPr>
        <w:t>signalling to have the capability to operate below the band edge, because it is a legacy device.</w:t>
      </w:r>
    </w:p>
    <w:p w14:paraId="0246A09F" w14:textId="3AB5176B" w:rsidR="00632E7E" w:rsidRPr="00E318DB" w:rsidRDefault="00632E7E" w:rsidP="00632E7E">
      <w:pPr>
        <w:rPr>
          <w:rFonts w:ascii="Arial" w:hAnsi="Arial" w:cs="Arial"/>
          <w:sz w:val="22"/>
          <w:szCs w:val="22"/>
        </w:rPr>
      </w:pPr>
      <w:r w:rsidRPr="00E318DB">
        <w:rPr>
          <w:rFonts w:ascii="Arial" w:hAnsi="Arial" w:cs="Arial"/>
          <w:sz w:val="22"/>
          <w:szCs w:val="22"/>
        </w:rPr>
        <w:t xml:space="preserve">At this point, the NW can proceed to setup the PRBs to be used </w:t>
      </w:r>
      <w:r w:rsidR="00A47671" w:rsidRPr="00E318DB">
        <w:rPr>
          <w:rFonts w:ascii="Arial" w:hAnsi="Arial" w:cs="Arial"/>
          <w:sz w:val="22"/>
          <w:szCs w:val="22"/>
        </w:rPr>
        <w:t>for</w:t>
      </w:r>
      <w:r w:rsidRPr="00E318DB">
        <w:rPr>
          <w:rFonts w:ascii="Arial" w:hAnsi="Arial" w:cs="Arial"/>
          <w:sz w:val="22"/>
          <w:szCs w:val="22"/>
        </w:rPr>
        <w:t xml:space="preserve"> Wider Channel BW for the UE in the legacy manner.  The NW will </w:t>
      </w:r>
      <w:r w:rsidR="00D43852" w:rsidRPr="00E318DB">
        <w:rPr>
          <w:rFonts w:ascii="Arial" w:hAnsi="Arial" w:cs="Arial"/>
          <w:sz w:val="22"/>
          <w:szCs w:val="22"/>
        </w:rPr>
        <w:t xml:space="preserve">then </w:t>
      </w:r>
      <w:r w:rsidRPr="00E318DB">
        <w:rPr>
          <w:rFonts w:ascii="Arial" w:hAnsi="Arial" w:cs="Arial"/>
          <w:sz w:val="22"/>
          <w:szCs w:val="22"/>
        </w:rPr>
        <w:t xml:space="preserve">use SIB1 to signal to the UE to setup BWP#1.  </w:t>
      </w:r>
      <w:r w:rsidR="004647C4" w:rsidRPr="00E318DB">
        <w:rPr>
          <w:rFonts w:ascii="Arial" w:hAnsi="Arial" w:cs="Arial"/>
          <w:sz w:val="22"/>
          <w:szCs w:val="22"/>
        </w:rPr>
        <w:t xml:space="preserve">The NW is aware of the </w:t>
      </w:r>
      <w:r w:rsidR="009B34C5">
        <w:rPr>
          <w:rFonts w:ascii="Arial" w:hAnsi="Arial" w:cs="Arial"/>
          <w:sz w:val="22"/>
          <w:szCs w:val="22"/>
        </w:rPr>
        <w:t>band</w:t>
      </w:r>
      <w:r w:rsidR="009B34C5" w:rsidRPr="00E318DB">
        <w:rPr>
          <w:rFonts w:ascii="Arial" w:hAnsi="Arial" w:cs="Arial"/>
          <w:sz w:val="22"/>
          <w:szCs w:val="22"/>
        </w:rPr>
        <w:t xml:space="preserve"> </w:t>
      </w:r>
      <w:r w:rsidR="004647C4" w:rsidRPr="00E318DB">
        <w:rPr>
          <w:rFonts w:ascii="Arial" w:hAnsi="Arial" w:cs="Arial"/>
          <w:sz w:val="22"/>
          <w:szCs w:val="22"/>
        </w:rPr>
        <w:t xml:space="preserve">edge and avoids setting up the BWP in an area that might overlap the edge of the defined regular BW channel.  </w:t>
      </w:r>
      <w:r w:rsidRPr="00E318DB">
        <w:rPr>
          <w:rFonts w:ascii="Arial" w:hAnsi="Arial" w:cs="Arial"/>
          <w:sz w:val="22"/>
          <w:szCs w:val="22"/>
        </w:rPr>
        <w:t xml:space="preserve">The SIB1 Offset to Point A, tells the UE where the lowest in-grid PRB is located.  This is the first PRB within the channel filter.  The higher layer parameter </w:t>
      </w:r>
      <w:r w:rsidRPr="00E318DB">
        <w:rPr>
          <w:rFonts w:ascii="Arial" w:hAnsi="Arial" w:cs="Arial"/>
          <w:i/>
          <w:sz w:val="22"/>
          <w:szCs w:val="22"/>
        </w:rPr>
        <w:t xml:space="preserve">carrierBandwidth </w:t>
      </w:r>
      <w:r w:rsidRPr="00E318DB">
        <w:rPr>
          <w:rFonts w:ascii="Arial" w:hAnsi="Arial" w:cs="Arial"/>
          <w:iCs/>
          <w:sz w:val="22"/>
          <w:szCs w:val="22"/>
        </w:rPr>
        <w:t xml:space="preserve">within SIB1 tells the UE how wide to set the Rx filter.  In this case, the NW selects the next larger filter for the values of Offset to Point A and </w:t>
      </w:r>
      <w:r w:rsidRPr="00E318DB">
        <w:rPr>
          <w:rFonts w:ascii="Arial" w:hAnsi="Arial" w:cs="Arial"/>
          <w:i/>
          <w:sz w:val="22"/>
          <w:szCs w:val="22"/>
        </w:rPr>
        <w:t xml:space="preserve">carrierBandwidth.  </w:t>
      </w:r>
      <w:r w:rsidRPr="00E318DB">
        <w:rPr>
          <w:rFonts w:ascii="Arial" w:hAnsi="Arial" w:cs="Arial"/>
          <w:iCs/>
          <w:sz w:val="22"/>
          <w:szCs w:val="22"/>
        </w:rPr>
        <w:t xml:space="preserve">The NW then tells the UE the size of the BWP to use within the PRB grid in terms of PRB start and the number of PRBs to include in the BWP.  </w:t>
      </w:r>
      <w:r w:rsidRPr="00E318DB">
        <w:rPr>
          <w:rFonts w:ascii="Arial" w:hAnsi="Arial" w:cs="Arial"/>
          <w:sz w:val="22"/>
          <w:szCs w:val="22"/>
        </w:rPr>
        <w:t>After receiving this information in SIB1, the UE has sufficient information and will locate the CC, set the filter to the next wider BW, and to know which PRBs to keep [5].</w:t>
      </w:r>
    </w:p>
    <w:p w14:paraId="6A8CA942" w14:textId="77777777" w:rsidR="00632E7E" w:rsidRPr="00E318DB" w:rsidRDefault="00632E7E" w:rsidP="00632E7E">
      <w:pPr>
        <w:pStyle w:val="ListParagraph"/>
        <w:ind w:left="0"/>
        <w:rPr>
          <w:rFonts w:ascii="Arial" w:hAnsi="Arial" w:cs="Arial"/>
          <w:sz w:val="22"/>
          <w:szCs w:val="22"/>
        </w:rPr>
      </w:pPr>
    </w:p>
    <w:p w14:paraId="31463D58" w14:textId="134673A0" w:rsidR="00632E7E" w:rsidRPr="00E318DB" w:rsidRDefault="00632E7E" w:rsidP="00632E7E">
      <w:pPr>
        <w:pStyle w:val="ListParagraph"/>
        <w:ind w:left="0"/>
        <w:rPr>
          <w:rFonts w:ascii="Arial" w:hAnsi="Arial" w:cs="Arial"/>
          <w:sz w:val="22"/>
          <w:szCs w:val="22"/>
        </w:rPr>
      </w:pPr>
      <w:r w:rsidRPr="00E318DB">
        <w:rPr>
          <w:rFonts w:ascii="Arial" w:hAnsi="Arial" w:cs="Arial"/>
          <w:sz w:val="22"/>
          <w:szCs w:val="22"/>
        </w:rPr>
        <w:t xml:space="preserve">As a further example, in Figure </w:t>
      </w:r>
      <w:r w:rsidR="00B67E05" w:rsidRPr="00E318DB">
        <w:rPr>
          <w:rFonts w:ascii="Arial" w:hAnsi="Arial" w:cs="Arial"/>
          <w:sz w:val="22"/>
          <w:szCs w:val="22"/>
        </w:rPr>
        <w:t>1</w:t>
      </w:r>
      <w:r w:rsidRPr="00E318DB">
        <w:rPr>
          <w:rFonts w:ascii="Arial" w:hAnsi="Arial" w:cs="Arial"/>
          <w:sz w:val="22"/>
          <w:szCs w:val="22"/>
        </w:rPr>
        <w:t xml:space="preserve">, the NW sets up 7MHz of PRBs on a Legacy UE.  When switching to BWP#1, the UE adjusts its CC frequency, sets the filter BW to the next wider CBW, 10 MHz, and sets the PHY to use the BWP#1 RBs (blue).  </w:t>
      </w:r>
      <w:r w:rsidR="002108CE">
        <w:rPr>
          <w:rFonts w:ascii="Arial" w:hAnsi="Arial" w:cs="Arial"/>
          <w:sz w:val="22"/>
          <w:szCs w:val="22"/>
        </w:rPr>
        <w:t xml:space="preserve">The </w:t>
      </w:r>
      <w:r w:rsidR="003776AE">
        <w:rPr>
          <w:rFonts w:ascii="Arial" w:hAnsi="Arial" w:cs="Arial"/>
          <w:sz w:val="22"/>
          <w:szCs w:val="22"/>
        </w:rPr>
        <w:t>NW never schedules BWP that would require the UE to set its CBW filter below the band edge.</w:t>
      </w:r>
    </w:p>
    <w:p w14:paraId="6EAC26D1" w14:textId="77777777" w:rsidR="00632E7E" w:rsidRPr="00E318DB" w:rsidRDefault="00632E7E" w:rsidP="00632E7E">
      <w:pPr>
        <w:pStyle w:val="ListParagraph"/>
        <w:ind w:left="0"/>
        <w:rPr>
          <w:rFonts w:ascii="Arial" w:hAnsi="Arial" w:cs="Arial"/>
          <w:sz w:val="22"/>
          <w:szCs w:val="22"/>
        </w:rPr>
      </w:pPr>
    </w:p>
    <w:p w14:paraId="5D5A1590" w14:textId="50503697" w:rsidR="00632E7E" w:rsidRPr="006120F0" w:rsidRDefault="00DE48BB" w:rsidP="00632E7E">
      <w:pPr>
        <w:pStyle w:val="ListParagraph"/>
        <w:keepNext/>
        <w:ind w:left="270"/>
      </w:pPr>
      <w:r w:rsidRPr="00DE48BB">
        <w:rPr>
          <w:noProof/>
        </w:rPr>
        <w:drawing>
          <wp:inline distT="0" distB="0" distL="0" distR="0" wp14:anchorId="147851BF" wp14:editId="2AA7B2A7">
            <wp:extent cx="6122035" cy="23679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367915"/>
                    </a:xfrm>
                    <a:prstGeom prst="rect">
                      <a:avLst/>
                    </a:prstGeom>
                    <a:noFill/>
                    <a:ln>
                      <a:noFill/>
                    </a:ln>
                  </pic:spPr>
                </pic:pic>
              </a:graphicData>
            </a:graphic>
          </wp:inline>
        </w:drawing>
      </w:r>
    </w:p>
    <w:p w14:paraId="63FA160B" w14:textId="3E16C26C" w:rsidR="00632E7E" w:rsidRPr="006120F0" w:rsidRDefault="00632E7E" w:rsidP="006F7ACF">
      <w:pPr>
        <w:pStyle w:val="Caption"/>
        <w:rPr>
          <w:rFonts w:ascii="Arial" w:hAnsi="Arial" w:cs="Arial"/>
          <w:sz w:val="22"/>
          <w:szCs w:val="22"/>
        </w:rPr>
      </w:pPr>
      <w:r w:rsidRPr="006120F0">
        <w:t xml:space="preserve">Figure </w:t>
      </w:r>
      <w:r w:rsidR="00B67E05" w:rsidRPr="006120F0">
        <w:t>1</w:t>
      </w:r>
      <w:r w:rsidRPr="006120F0">
        <w:t xml:space="preserve"> – Example signalling for the NW setting up 7MHz Irregular BW in the center of the CBW, on a capable UE.</w:t>
      </w:r>
      <w:r w:rsidR="00C74BAE">
        <w:t xml:space="preserve">  The NW never schedules BWP that would require the UE to set its CBW filter outside the band edge.</w:t>
      </w:r>
    </w:p>
    <w:p w14:paraId="0C2C90F2" w14:textId="0F61A242" w:rsidR="00632E7E" w:rsidRDefault="008C3098" w:rsidP="00632E7E">
      <w:pPr>
        <w:pStyle w:val="Heading2"/>
      </w:pPr>
      <w:r>
        <w:lastRenderedPageBreak/>
        <w:t>3</w:t>
      </w:r>
      <w:r w:rsidR="00632E7E" w:rsidRPr="00F67EF5">
        <w:t>.</w:t>
      </w:r>
      <w:r w:rsidR="00632E7E">
        <w:t>3</w:t>
      </w:r>
      <w:r w:rsidR="00632E7E" w:rsidRPr="00F67EF5">
        <w:tab/>
      </w:r>
      <w:r w:rsidR="003D67FD">
        <w:t xml:space="preserve">New </w:t>
      </w:r>
      <w:r w:rsidR="00E545E6">
        <w:t xml:space="preserve">UE Operation with </w:t>
      </w:r>
      <w:r w:rsidR="00632E7E">
        <w:t xml:space="preserve">Signalling for Wider CBW </w:t>
      </w:r>
      <w:r w:rsidR="00A2152E">
        <w:t>method</w:t>
      </w:r>
    </w:p>
    <w:p w14:paraId="24C14B70" w14:textId="21B799EF" w:rsidR="00632E7E" w:rsidRDefault="00632E7E" w:rsidP="00632E7E">
      <w:pPr>
        <w:rPr>
          <w:rFonts w:ascii="Arial" w:hAnsi="Arial" w:cs="Arial"/>
          <w:sz w:val="22"/>
          <w:szCs w:val="22"/>
        </w:rPr>
      </w:pPr>
      <w:r>
        <w:rPr>
          <w:rFonts w:ascii="Arial" w:hAnsi="Arial" w:cs="Arial"/>
          <w:sz w:val="22"/>
          <w:szCs w:val="22"/>
        </w:rPr>
        <w:t xml:space="preserve">For new UEs (e.g., Rel-17 or Rel-18), a </w:t>
      </w:r>
      <w:r w:rsidR="008C3098">
        <w:rPr>
          <w:rFonts w:ascii="Arial" w:hAnsi="Arial" w:cs="Arial"/>
          <w:sz w:val="22"/>
          <w:szCs w:val="22"/>
        </w:rPr>
        <w:t>new</w:t>
      </w:r>
      <w:r>
        <w:rPr>
          <w:rFonts w:ascii="Arial" w:hAnsi="Arial" w:cs="Arial"/>
          <w:sz w:val="22"/>
          <w:szCs w:val="22"/>
        </w:rPr>
        <w:t xml:space="preserve"> signalling can indicate to the NW that a UE is capable of utilizing the Next Wider CBW method</w:t>
      </w:r>
      <w:r w:rsidR="00FD1D11">
        <w:rPr>
          <w:rFonts w:ascii="Arial" w:hAnsi="Arial" w:cs="Arial"/>
          <w:sz w:val="22"/>
          <w:szCs w:val="22"/>
        </w:rPr>
        <w:t xml:space="preserve"> beyond the NR band edges</w:t>
      </w:r>
      <w:r>
        <w:rPr>
          <w:rFonts w:ascii="Arial" w:hAnsi="Arial" w:cs="Arial"/>
          <w:sz w:val="22"/>
          <w:szCs w:val="22"/>
        </w:rPr>
        <w:t xml:space="preserve">. </w:t>
      </w:r>
      <w:r w:rsidR="00827062">
        <w:rPr>
          <w:rFonts w:ascii="Arial" w:hAnsi="Arial" w:cs="Arial"/>
          <w:sz w:val="22"/>
          <w:szCs w:val="22"/>
        </w:rPr>
        <w:t xml:space="preserve"> This new signalling will need </w:t>
      </w:r>
      <w:r w:rsidR="00226222">
        <w:rPr>
          <w:rFonts w:ascii="Arial" w:hAnsi="Arial" w:cs="Arial"/>
          <w:sz w:val="22"/>
          <w:szCs w:val="22"/>
        </w:rPr>
        <w:t xml:space="preserve">RAN2 support for augmentation </w:t>
      </w:r>
      <w:r w:rsidR="00FE2D7D">
        <w:rPr>
          <w:rFonts w:ascii="Arial" w:hAnsi="Arial" w:cs="Arial"/>
          <w:sz w:val="22"/>
          <w:szCs w:val="22"/>
        </w:rPr>
        <w:t>and adoption in</w:t>
      </w:r>
      <w:r w:rsidR="00226222">
        <w:rPr>
          <w:rFonts w:ascii="Arial" w:hAnsi="Arial" w:cs="Arial"/>
          <w:sz w:val="22"/>
          <w:szCs w:val="22"/>
        </w:rPr>
        <w:t>to the st</w:t>
      </w:r>
      <w:r w:rsidR="005E17CB">
        <w:rPr>
          <w:rFonts w:ascii="Arial" w:hAnsi="Arial" w:cs="Arial"/>
          <w:sz w:val="22"/>
          <w:szCs w:val="22"/>
        </w:rPr>
        <w:t>andard</w:t>
      </w:r>
      <w:r w:rsidR="00226222">
        <w:rPr>
          <w:rFonts w:ascii="Arial" w:hAnsi="Arial" w:cs="Arial"/>
          <w:sz w:val="22"/>
          <w:szCs w:val="22"/>
        </w:rPr>
        <w:t>.</w:t>
      </w:r>
      <w:r>
        <w:rPr>
          <w:rFonts w:ascii="Arial" w:hAnsi="Arial" w:cs="Arial"/>
          <w:sz w:val="22"/>
          <w:szCs w:val="22"/>
        </w:rPr>
        <w:t xml:space="preserve"> </w:t>
      </w:r>
      <w:r w:rsidR="005E17CB">
        <w:rPr>
          <w:rFonts w:ascii="Arial" w:hAnsi="Arial" w:cs="Arial"/>
          <w:sz w:val="22"/>
          <w:szCs w:val="22"/>
        </w:rPr>
        <w:t xml:space="preserve">With the new signalling, the </w:t>
      </w:r>
      <w:r w:rsidR="00B91812">
        <w:rPr>
          <w:rFonts w:ascii="Arial" w:hAnsi="Arial" w:cs="Arial"/>
          <w:sz w:val="22"/>
          <w:szCs w:val="22"/>
        </w:rPr>
        <w:t xml:space="preserve">UE </w:t>
      </w:r>
      <w:r w:rsidR="00F4364A">
        <w:rPr>
          <w:rFonts w:ascii="Arial" w:hAnsi="Arial" w:cs="Arial"/>
          <w:sz w:val="22"/>
          <w:szCs w:val="22"/>
        </w:rPr>
        <w:t xml:space="preserve">will </w:t>
      </w:r>
      <w:r w:rsidR="00900D6F">
        <w:rPr>
          <w:rFonts w:ascii="Arial" w:hAnsi="Arial" w:cs="Arial"/>
          <w:sz w:val="22"/>
          <w:szCs w:val="22"/>
        </w:rPr>
        <w:t xml:space="preserve">clearly communicate its capability to operate </w:t>
      </w:r>
      <w:r w:rsidR="00F4364A">
        <w:rPr>
          <w:rFonts w:ascii="Arial" w:hAnsi="Arial" w:cs="Arial"/>
          <w:sz w:val="22"/>
          <w:szCs w:val="22"/>
        </w:rPr>
        <w:t xml:space="preserve">for Wider CBW beyond the </w:t>
      </w:r>
      <w:r w:rsidR="00F60BD0">
        <w:rPr>
          <w:rFonts w:ascii="Arial" w:hAnsi="Arial" w:cs="Arial"/>
          <w:sz w:val="22"/>
          <w:szCs w:val="22"/>
        </w:rPr>
        <w:t>NR</w:t>
      </w:r>
      <w:r w:rsidR="00F4364A">
        <w:rPr>
          <w:rFonts w:ascii="Arial" w:hAnsi="Arial" w:cs="Arial"/>
          <w:sz w:val="22"/>
          <w:szCs w:val="22"/>
        </w:rPr>
        <w:t xml:space="preserve"> band edges</w:t>
      </w:r>
      <w:r w:rsidR="00D648AB">
        <w:rPr>
          <w:rFonts w:ascii="Arial" w:hAnsi="Arial" w:cs="Arial"/>
          <w:sz w:val="22"/>
          <w:szCs w:val="22"/>
        </w:rPr>
        <w:t>.</w:t>
      </w:r>
      <w:r w:rsidR="00B91812">
        <w:rPr>
          <w:rFonts w:ascii="Arial" w:hAnsi="Arial" w:cs="Arial"/>
          <w:sz w:val="22"/>
          <w:szCs w:val="22"/>
        </w:rPr>
        <w:t xml:space="preserve"> </w:t>
      </w:r>
    </w:p>
    <w:p w14:paraId="1E1652BF" w14:textId="2CC65F37" w:rsidR="0013414B" w:rsidRDefault="00DA0303" w:rsidP="00632E7E">
      <w:pPr>
        <w:rPr>
          <w:rFonts w:ascii="Arial" w:hAnsi="Arial" w:cs="Arial"/>
          <w:i/>
          <w:iCs/>
          <w:sz w:val="22"/>
          <w:szCs w:val="22"/>
          <w:lang w:val="en-US"/>
        </w:rPr>
      </w:pPr>
      <w:r w:rsidRPr="006E17EE">
        <w:rPr>
          <w:rFonts w:ascii="Arial" w:hAnsi="Arial" w:cs="Arial"/>
          <w:i/>
          <w:iCs/>
          <w:sz w:val="22"/>
          <w:szCs w:val="22"/>
          <w:lang w:val="en-US"/>
        </w:rPr>
        <w:t xml:space="preserve">Proposal </w:t>
      </w:r>
      <w:r w:rsidR="00ED7AEA">
        <w:rPr>
          <w:rFonts w:ascii="Arial" w:hAnsi="Arial" w:cs="Arial"/>
          <w:i/>
          <w:iCs/>
          <w:sz w:val="22"/>
          <w:szCs w:val="22"/>
          <w:lang w:val="en-US"/>
        </w:rPr>
        <w:t>3</w:t>
      </w:r>
      <w:r w:rsidR="00897CC6" w:rsidRPr="006E17EE">
        <w:rPr>
          <w:rFonts w:ascii="Arial" w:hAnsi="Arial" w:cs="Arial"/>
          <w:i/>
          <w:iCs/>
          <w:sz w:val="22"/>
          <w:szCs w:val="22"/>
          <w:lang w:val="en-US"/>
        </w:rPr>
        <w:t>:</w:t>
      </w:r>
      <w:r w:rsidR="006E17EE" w:rsidRPr="006E17EE">
        <w:rPr>
          <w:rFonts w:ascii="Arial" w:hAnsi="Arial" w:cs="Arial"/>
          <w:i/>
          <w:iCs/>
          <w:sz w:val="22"/>
          <w:szCs w:val="22"/>
          <w:lang w:val="en-US"/>
        </w:rPr>
        <w:t xml:space="preserve"> </w:t>
      </w:r>
      <w:r w:rsidR="006E17EE">
        <w:rPr>
          <w:rFonts w:ascii="Arial" w:hAnsi="Arial" w:cs="Arial"/>
          <w:i/>
          <w:iCs/>
          <w:sz w:val="22"/>
          <w:szCs w:val="22"/>
          <w:lang w:val="en-US"/>
        </w:rPr>
        <w:t xml:space="preserve">New signaling </w:t>
      </w:r>
      <w:r w:rsidR="008E3954">
        <w:rPr>
          <w:rFonts w:ascii="Arial" w:hAnsi="Arial" w:cs="Arial"/>
          <w:i/>
          <w:iCs/>
          <w:sz w:val="22"/>
          <w:szCs w:val="22"/>
          <w:lang w:val="en-US"/>
        </w:rPr>
        <w:t xml:space="preserve">can indicate to the NW that the UE is capable of utilizing the Wider CBW method </w:t>
      </w:r>
      <w:r w:rsidR="00B921E1">
        <w:rPr>
          <w:rFonts w:ascii="Arial" w:hAnsi="Arial" w:cs="Arial"/>
          <w:i/>
          <w:iCs/>
          <w:sz w:val="22"/>
          <w:szCs w:val="22"/>
          <w:lang w:val="en-US"/>
        </w:rPr>
        <w:t>is able to place its CBW filter beyond the NR band edges without issue</w:t>
      </w:r>
      <w:r w:rsidR="00A3271F">
        <w:rPr>
          <w:rFonts w:ascii="Arial" w:hAnsi="Arial" w:cs="Arial"/>
          <w:i/>
          <w:iCs/>
          <w:sz w:val="22"/>
          <w:szCs w:val="22"/>
          <w:lang w:val="en-US"/>
        </w:rPr>
        <w:t>.</w:t>
      </w:r>
      <w:r w:rsidR="00A327A1">
        <w:rPr>
          <w:rFonts w:ascii="Arial" w:hAnsi="Arial" w:cs="Arial"/>
          <w:i/>
          <w:iCs/>
          <w:sz w:val="22"/>
          <w:szCs w:val="22"/>
          <w:lang w:val="en-US"/>
        </w:rPr>
        <w:t xml:space="preserve">  </w:t>
      </w:r>
      <w:r w:rsidR="00862EC3" w:rsidRPr="00853449">
        <w:rPr>
          <w:rFonts w:ascii="Arial" w:hAnsi="Arial" w:cs="Arial"/>
          <w:i/>
          <w:iCs/>
          <w:sz w:val="22"/>
          <w:szCs w:val="22"/>
        </w:rPr>
        <w:t xml:space="preserve">RAN2 support </w:t>
      </w:r>
      <w:r w:rsidR="00862EC3">
        <w:rPr>
          <w:rFonts w:ascii="Arial" w:hAnsi="Arial" w:cs="Arial"/>
          <w:i/>
          <w:iCs/>
          <w:sz w:val="22"/>
          <w:szCs w:val="22"/>
        </w:rPr>
        <w:t xml:space="preserve">of new signalling for the Wider CBW method will be needed </w:t>
      </w:r>
      <w:r w:rsidR="00862EC3" w:rsidRPr="00853449">
        <w:rPr>
          <w:rFonts w:ascii="Arial" w:hAnsi="Arial" w:cs="Arial"/>
          <w:i/>
          <w:iCs/>
          <w:sz w:val="22"/>
          <w:szCs w:val="22"/>
        </w:rPr>
        <w:t>for augmentation and adoption into the standard.</w:t>
      </w:r>
    </w:p>
    <w:p w14:paraId="6FCDC9DD" w14:textId="5E2694FE" w:rsidR="00DC3A20" w:rsidRPr="006F7ACF" w:rsidRDefault="00A327A1" w:rsidP="00632E7E">
      <w:pPr>
        <w:rPr>
          <w:rFonts w:ascii="Arial" w:hAnsi="Arial" w:cs="Arial"/>
          <w:sz w:val="22"/>
          <w:szCs w:val="22"/>
          <w:lang w:val="en-US"/>
        </w:rPr>
      </w:pPr>
      <w:r w:rsidRPr="006F7ACF">
        <w:rPr>
          <w:rFonts w:ascii="Arial" w:hAnsi="Arial" w:cs="Arial"/>
          <w:sz w:val="22"/>
          <w:szCs w:val="22"/>
          <w:lang w:val="en-US"/>
        </w:rPr>
        <w:t>Most UEs currently have this capability, but need the additional signaling to clarify operation to the NW.</w:t>
      </w:r>
      <w:r w:rsidR="00DC3A20">
        <w:rPr>
          <w:rFonts w:ascii="Arial" w:hAnsi="Arial" w:cs="Arial"/>
          <w:sz w:val="22"/>
          <w:szCs w:val="22"/>
          <w:lang w:val="en-US"/>
        </w:rPr>
        <w:t xml:space="preserve">  </w:t>
      </w:r>
    </w:p>
    <w:p w14:paraId="7738F6A7" w14:textId="6D50F485" w:rsidR="00DA0303" w:rsidRPr="007F72DE" w:rsidRDefault="00A6165E" w:rsidP="00632E7E">
      <w:pPr>
        <w:rPr>
          <w:rFonts w:ascii="Arial" w:hAnsi="Arial" w:cs="Arial"/>
          <w:sz w:val="22"/>
          <w:szCs w:val="22"/>
          <w:lang w:val="en-US"/>
        </w:rPr>
      </w:pPr>
      <w:r w:rsidRPr="007F72DE">
        <w:rPr>
          <w:rFonts w:ascii="Arial" w:hAnsi="Arial" w:cs="Arial"/>
          <w:sz w:val="22"/>
          <w:szCs w:val="22"/>
          <w:lang w:val="en-US"/>
        </w:rPr>
        <w:t>For new UEs</w:t>
      </w:r>
      <w:r w:rsidR="005A126C" w:rsidRPr="007F72DE">
        <w:rPr>
          <w:rFonts w:ascii="Arial" w:hAnsi="Arial" w:cs="Arial"/>
          <w:sz w:val="22"/>
          <w:szCs w:val="22"/>
          <w:lang w:val="en-US"/>
        </w:rPr>
        <w:t>, signaling</w:t>
      </w:r>
      <w:r w:rsidRPr="007F72DE">
        <w:rPr>
          <w:rFonts w:ascii="Arial" w:hAnsi="Arial" w:cs="Arial"/>
          <w:sz w:val="22"/>
          <w:szCs w:val="22"/>
          <w:lang w:val="en-US"/>
        </w:rPr>
        <w:t xml:space="preserve"> can </w:t>
      </w:r>
      <w:r w:rsidR="005A126C" w:rsidRPr="007F72DE">
        <w:rPr>
          <w:rFonts w:ascii="Arial" w:hAnsi="Arial" w:cs="Arial"/>
          <w:sz w:val="22"/>
          <w:szCs w:val="22"/>
          <w:lang w:val="en-US"/>
        </w:rPr>
        <w:t xml:space="preserve">also </w:t>
      </w:r>
      <w:r w:rsidRPr="007F72DE">
        <w:rPr>
          <w:rFonts w:ascii="Arial" w:hAnsi="Arial" w:cs="Arial"/>
          <w:sz w:val="22"/>
          <w:szCs w:val="22"/>
          <w:lang w:val="en-US"/>
        </w:rPr>
        <w:t xml:space="preserve">indicate to the NW </w:t>
      </w:r>
      <w:r w:rsidR="003B7FCF" w:rsidRPr="007F72DE">
        <w:rPr>
          <w:rFonts w:ascii="Arial" w:hAnsi="Arial" w:cs="Arial"/>
          <w:sz w:val="22"/>
          <w:szCs w:val="22"/>
          <w:lang w:val="en-US"/>
        </w:rPr>
        <w:t xml:space="preserve">if </w:t>
      </w:r>
      <w:r w:rsidRPr="007F72DE">
        <w:rPr>
          <w:rFonts w:ascii="Arial" w:hAnsi="Arial" w:cs="Arial"/>
          <w:sz w:val="22"/>
          <w:szCs w:val="22"/>
          <w:lang w:val="en-US"/>
        </w:rPr>
        <w:t xml:space="preserve">a UE is capable of </w:t>
      </w:r>
      <w:r w:rsidR="001B1C40" w:rsidRPr="006F7ACF">
        <w:rPr>
          <w:rFonts w:ascii="Arial" w:hAnsi="Arial" w:cs="Arial"/>
          <w:sz w:val="22"/>
          <w:szCs w:val="22"/>
          <w:lang w:val="en-US"/>
        </w:rPr>
        <w:t xml:space="preserve">locating its CBW filter to the </w:t>
      </w:r>
      <w:r w:rsidR="002F553F" w:rsidRPr="007F72DE">
        <w:rPr>
          <w:rFonts w:ascii="Arial" w:hAnsi="Arial" w:cs="Arial"/>
          <w:sz w:val="22"/>
          <w:szCs w:val="22"/>
          <w:lang w:val="en-US"/>
        </w:rPr>
        <w:t xml:space="preserve">left, center or right portion </w:t>
      </w:r>
      <w:r w:rsidR="001B1C40" w:rsidRPr="006F7ACF">
        <w:rPr>
          <w:rFonts w:ascii="Arial" w:hAnsi="Arial" w:cs="Arial"/>
          <w:sz w:val="22"/>
          <w:szCs w:val="22"/>
          <w:lang w:val="en-US"/>
        </w:rPr>
        <w:t>of the indicated BWP</w:t>
      </w:r>
      <w:r w:rsidRPr="007F72DE">
        <w:rPr>
          <w:rFonts w:ascii="Arial" w:hAnsi="Arial" w:cs="Arial"/>
          <w:sz w:val="22"/>
          <w:szCs w:val="22"/>
          <w:lang w:val="en-US"/>
        </w:rPr>
        <w:t xml:space="preserve"> to reduce ACS degradation.  This is useful when the network operator is aware of potential blockers that could degrade ACS performance.</w:t>
      </w:r>
    </w:p>
    <w:p w14:paraId="2677D205" w14:textId="5B03A849" w:rsidR="00632E7E" w:rsidRDefault="00632E7E" w:rsidP="00632E7E">
      <w:pPr>
        <w:rPr>
          <w:rFonts w:ascii="Arial" w:hAnsi="Arial" w:cs="Arial"/>
          <w:i/>
          <w:iCs/>
          <w:sz w:val="22"/>
          <w:szCs w:val="22"/>
          <w:lang w:val="en-US"/>
        </w:rPr>
      </w:pPr>
      <w:r w:rsidRPr="007F72DE">
        <w:rPr>
          <w:rFonts w:ascii="Arial" w:hAnsi="Arial" w:cs="Arial"/>
          <w:i/>
          <w:iCs/>
          <w:sz w:val="22"/>
          <w:szCs w:val="22"/>
          <w:lang w:val="en-US"/>
        </w:rPr>
        <w:t xml:space="preserve">Proposal </w:t>
      </w:r>
      <w:r w:rsidR="00DC3A20" w:rsidRPr="007F72DE">
        <w:rPr>
          <w:rFonts w:ascii="Arial" w:hAnsi="Arial" w:cs="Arial"/>
          <w:i/>
          <w:iCs/>
          <w:sz w:val="22"/>
          <w:szCs w:val="22"/>
          <w:lang w:val="en-US"/>
        </w:rPr>
        <w:t>4</w:t>
      </w:r>
      <w:r w:rsidRPr="007F72DE">
        <w:rPr>
          <w:rFonts w:ascii="Arial" w:hAnsi="Arial" w:cs="Arial"/>
          <w:i/>
          <w:iCs/>
          <w:sz w:val="22"/>
          <w:szCs w:val="22"/>
          <w:lang w:val="en-US"/>
        </w:rPr>
        <w:t xml:space="preserve">: </w:t>
      </w:r>
      <w:r w:rsidR="00020A6E" w:rsidRPr="007F72DE">
        <w:rPr>
          <w:rFonts w:ascii="Arial" w:hAnsi="Arial" w:cs="Arial"/>
          <w:i/>
          <w:iCs/>
          <w:sz w:val="22"/>
          <w:szCs w:val="22"/>
          <w:lang w:val="en-US"/>
        </w:rPr>
        <w:t>New signaling can also indicate</w:t>
      </w:r>
      <w:r w:rsidRPr="007F72DE">
        <w:rPr>
          <w:rFonts w:ascii="Arial" w:hAnsi="Arial" w:cs="Arial"/>
          <w:i/>
          <w:iCs/>
          <w:sz w:val="22"/>
          <w:szCs w:val="22"/>
          <w:lang w:val="en-US"/>
        </w:rPr>
        <w:t xml:space="preserve"> when the NW</w:t>
      </w:r>
      <w:r w:rsidRPr="007F72DE">
        <w:rPr>
          <w:rFonts w:ascii="Arial" w:hAnsi="Arial" w:cs="Arial"/>
          <w:sz w:val="22"/>
          <w:szCs w:val="22"/>
          <w:lang w:val="en-US"/>
        </w:rPr>
        <w:t xml:space="preserve"> </w:t>
      </w:r>
      <w:r w:rsidRPr="007F72DE">
        <w:rPr>
          <w:rFonts w:ascii="Arial" w:hAnsi="Arial" w:cs="Arial"/>
          <w:i/>
          <w:iCs/>
          <w:sz w:val="22"/>
          <w:szCs w:val="22"/>
          <w:lang w:val="en-US"/>
        </w:rPr>
        <w:t>is aware of certain blockers located adjacent to the left or right of the operator</w:t>
      </w:r>
      <w:r w:rsidR="00EA3753" w:rsidRPr="007F72DE">
        <w:rPr>
          <w:rFonts w:ascii="Arial" w:hAnsi="Arial" w:cs="Arial"/>
          <w:i/>
          <w:iCs/>
          <w:sz w:val="22"/>
          <w:szCs w:val="22"/>
          <w:lang w:val="en-US"/>
        </w:rPr>
        <w:t xml:space="preserve">.  </w:t>
      </w:r>
      <w:r w:rsidR="00EA3753" w:rsidRPr="006F7ACF">
        <w:rPr>
          <w:rFonts w:ascii="Arial" w:hAnsi="Arial" w:cs="Arial"/>
          <w:i/>
          <w:sz w:val="22"/>
          <w:szCs w:val="22"/>
          <w:lang w:val="en-US"/>
        </w:rPr>
        <w:t>T</w:t>
      </w:r>
      <w:r w:rsidRPr="006F7ACF">
        <w:rPr>
          <w:rFonts w:ascii="Arial" w:hAnsi="Arial" w:cs="Arial"/>
          <w:i/>
          <w:sz w:val="22"/>
          <w:szCs w:val="22"/>
          <w:lang w:val="en-US"/>
        </w:rPr>
        <w:t xml:space="preserve">he NW </w:t>
      </w:r>
      <w:r w:rsidR="00EA3753" w:rsidRPr="006F7ACF">
        <w:rPr>
          <w:rFonts w:ascii="Arial" w:hAnsi="Arial" w:cs="Arial"/>
          <w:i/>
          <w:sz w:val="22"/>
          <w:szCs w:val="22"/>
          <w:lang w:val="en-US"/>
        </w:rPr>
        <w:t>can</w:t>
      </w:r>
      <w:r w:rsidRPr="006F7ACF">
        <w:rPr>
          <w:rFonts w:ascii="Arial" w:hAnsi="Arial" w:cs="Arial"/>
          <w:i/>
          <w:sz w:val="22"/>
          <w:szCs w:val="22"/>
          <w:lang w:val="en-US"/>
        </w:rPr>
        <w:t xml:space="preserve"> signal to the UE to </w:t>
      </w:r>
      <w:r w:rsidR="007F72DE" w:rsidRPr="006F7ACF">
        <w:rPr>
          <w:rFonts w:ascii="Arial" w:hAnsi="Arial" w:cs="Arial"/>
          <w:i/>
          <w:sz w:val="22"/>
          <w:szCs w:val="22"/>
          <w:lang w:val="en-US"/>
        </w:rPr>
        <w:t>locate its</w:t>
      </w:r>
      <w:r w:rsidR="00C962CD" w:rsidRPr="006F7ACF">
        <w:rPr>
          <w:rFonts w:ascii="Arial" w:hAnsi="Arial" w:cs="Arial"/>
          <w:i/>
          <w:sz w:val="22"/>
          <w:szCs w:val="22"/>
          <w:lang w:val="en-US"/>
        </w:rPr>
        <w:t xml:space="preserve"> CBW filter</w:t>
      </w:r>
      <w:r w:rsidRPr="006F7ACF">
        <w:rPr>
          <w:rFonts w:ascii="Arial" w:hAnsi="Arial" w:cs="Arial"/>
          <w:i/>
          <w:sz w:val="22"/>
          <w:szCs w:val="22"/>
          <w:lang w:val="en-US"/>
        </w:rPr>
        <w:t xml:space="preserve"> to </w:t>
      </w:r>
      <w:r w:rsidR="007F1AC8" w:rsidRPr="006F7ACF">
        <w:rPr>
          <w:rFonts w:ascii="Arial" w:hAnsi="Arial" w:cs="Arial"/>
          <w:i/>
          <w:sz w:val="22"/>
          <w:szCs w:val="22"/>
          <w:lang w:val="en-US"/>
        </w:rPr>
        <w:t xml:space="preserve">the </w:t>
      </w:r>
      <w:r w:rsidRPr="006F7ACF">
        <w:rPr>
          <w:rFonts w:ascii="Arial" w:hAnsi="Arial" w:cs="Arial"/>
          <w:i/>
          <w:sz w:val="22"/>
          <w:szCs w:val="22"/>
          <w:lang w:val="en-US"/>
        </w:rPr>
        <w:t xml:space="preserve">left, right or centered </w:t>
      </w:r>
      <w:r w:rsidR="007F1AC8" w:rsidRPr="007F72DE">
        <w:rPr>
          <w:rFonts w:ascii="Arial" w:hAnsi="Arial" w:cs="Arial"/>
          <w:i/>
          <w:sz w:val="22"/>
          <w:szCs w:val="22"/>
          <w:lang w:val="en-US"/>
        </w:rPr>
        <w:t>of the indicated BWP to reduce ACS degradation.</w:t>
      </w:r>
    </w:p>
    <w:p w14:paraId="5DC0C47C" w14:textId="14B0FFA3" w:rsidR="00632E7E" w:rsidRDefault="00632E7E" w:rsidP="00632E7E">
      <w:pPr>
        <w:rPr>
          <w:rFonts w:ascii="Arial" w:hAnsi="Arial" w:cs="Arial"/>
          <w:sz w:val="22"/>
          <w:szCs w:val="22"/>
        </w:rPr>
      </w:pPr>
      <w:r w:rsidRPr="008F1133">
        <w:rPr>
          <w:rFonts w:ascii="Arial" w:hAnsi="Arial" w:cs="Arial"/>
          <w:sz w:val="22"/>
          <w:szCs w:val="22"/>
          <w:lang w:val="en-US"/>
        </w:rPr>
        <w:t>This will utilize the existing capabilities of the UE Rx filter to eliminate ACS degradation due to these known blockers</w:t>
      </w:r>
      <w:r w:rsidR="000C2775">
        <w:rPr>
          <w:rFonts w:ascii="Arial" w:hAnsi="Arial" w:cs="Arial"/>
          <w:sz w:val="22"/>
          <w:szCs w:val="22"/>
          <w:lang w:val="en-US"/>
        </w:rPr>
        <w:t xml:space="preserve"> on the left or right side</w:t>
      </w:r>
      <w:r w:rsidRPr="008F1133">
        <w:rPr>
          <w:rFonts w:ascii="Arial" w:hAnsi="Arial" w:cs="Arial"/>
          <w:sz w:val="22"/>
          <w:szCs w:val="22"/>
          <w:lang w:val="en-US"/>
        </w:rPr>
        <w:t xml:space="preserve">. </w:t>
      </w:r>
      <w:r w:rsidRPr="00A06F33">
        <w:rPr>
          <w:rFonts w:ascii="Arial" w:hAnsi="Arial" w:cs="Arial"/>
          <w:sz w:val="22"/>
          <w:szCs w:val="22"/>
          <w:lang w:val="en-US"/>
        </w:rPr>
        <w:t xml:space="preserve">Adjusting the </w:t>
      </w:r>
      <w:r w:rsidR="000D50C1">
        <w:rPr>
          <w:rFonts w:ascii="Arial" w:hAnsi="Arial" w:cs="Arial"/>
          <w:sz w:val="22"/>
          <w:szCs w:val="22"/>
          <w:lang w:val="en-US"/>
        </w:rPr>
        <w:t>UE Rx placement</w:t>
      </w:r>
      <w:r w:rsidR="000A3E20">
        <w:rPr>
          <w:rFonts w:ascii="Arial" w:hAnsi="Arial" w:cs="Arial"/>
          <w:sz w:val="22"/>
          <w:szCs w:val="22"/>
          <w:lang w:val="en-US"/>
        </w:rPr>
        <w:t xml:space="preserve"> of</w:t>
      </w:r>
      <w:r>
        <w:rPr>
          <w:rFonts w:ascii="Arial" w:hAnsi="Arial" w:cs="Arial"/>
          <w:sz w:val="22"/>
          <w:szCs w:val="22"/>
        </w:rPr>
        <w:t xml:space="preserve"> the existing </w:t>
      </w:r>
      <w:r w:rsidR="00A06F33">
        <w:rPr>
          <w:rFonts w:ascii="Arial" w:hAnsi="Arial" w:cs="Arial"/>
          <w:sz w:val="22"/>
          <w:szCs w:val="22"/>
        </w:rPr>
        <w:t xml:space="preserve">CBW </w:t>
      </w:r>
      <w:r>
        <w:rPr>
          <w:rFonts w:ascii="Arial" w:hAnsi="Arial" w:cs="Arial"/>
          <w:sz w:val="22"/>
          <w:szCs w:val="22"/>
        </w:rPr>
        <w:t xml:space="preserve">filter </w:t>
      </w:r>
      <w:r w:rsidR="000A3E20">
        <w:rPr>
          <w:rFonts w:ascii="Arial" w:hAnsi="Arial" w:cs="Arial"/>
          <w:sz w:val="22"/>
          <w:szCs w:val="22"/>
        </w:rPr>
        <w:t>will f</w:t>
      </w:r>
      <w:r>
        <w:rPr>
          <w:rFonts w:ascii="Arial" w:hAnsi="Arial" w:cs="Arial"/>
          <w:sz w:val="22"/>
          <w:szCs w:val="22"/>
        </w:rPr>
        <w:t xml:space="preserve">ully eliminate blocker energy on one side, as if the UE had a custom filter of the irregular BW. </w:t>
      </w:r>
    </w:p>
    <w:p w14:paraId="4683E3D5" w14:textId="6F573267" w:rsidR="00B33BB2" w:rsidRPr="00D83CF7" w:rsidRDefault="00632E7E" w:rsidP="00632E7E">
      <w:pPr>
        <w:rPr>
          <w:rFonts w:ascii="Arial" w:hAnsi="Arial" w:cs="Arial"/>
          <w:sz w:val="22"/>
          <w:szCs w:val="22"/>
        </w:rPr>
      </w:pPr>
      <w:r>
        <w:rPr>
          <w:rFonts w:ascii="Arial" w:hAnsi="Arial" w:cs="Arial"/>
          <w:sz w:val="22"/>
          <w:szCs w:val="22"/>
        </w:rPr>
        <w:t xml:space="preserve">As an example, in Figure </w:t>
      </w:r>
      <w:r w:rsidR="00B67E05">
        <w:rPr>
          <w:rFonts w:ascii="Arial" w:hAnsi="Arial" w:cs="Arial"/>
          <w:sz w:val="22"/>
          <w:szCs w:val="22"/>
        </w:rPr>
        <w:t>2</w:t>
      </w:r>
      <w:r>
        <w:rPr>
          <w:rFonts w:ascii="Arial" w:hAnsi="Arial" w:cs="Arial"/>
          <w:sz w:val="22"/>
          <w:szCs w:val="22"/>
        </w:rPr>
        <w:t xml:space="preserve">, the NW sets up a 7MHz Irregular BW on a UE that reports Next Wider CBW capability and the capability to </w:t>
      </w:r>
      <w:r w:rsidR="00C041D7">
        <w:rPr>
          <w:rFonts w:ascii="Arial" w:hAnsi="Arial" w:cs="Arial"/>
          <w:sz w:val="22"/>
          <w:szCs w:val="22"/>
        </w:rPr>
        <w:t>locate its</w:t>
      </w:r>
      <w:r>
        <w:rPr>
          <w:rFonts w:ascii="Arial" w:hAnsi="Arial" w:cs="Arial"/>
          <w:sz w:val="22"/>
          <w:szCs w:val="22"/>
        </w:rPr>
        <w:t xml:space="preserve"> 10MHz CBW</w:t>
      </w:r>
      <w:r w:rsidR="00C041D7">
        <w:rPr>
          <w:rFonts w:ascii="Arial" w:hAnsi="Arial" w:cs="Arial"/>
          <w:sz w:val="22"/>
          <w:szCs w:val="22"/>
        </w:rPr>
        <w:t xml:space="preserve"> left, right or center</w:t>
      </w:r>
      <w:r>
        <w:rPr>
          <w:rFonts w:ascii="Arial" w:hAnsi="Arial" w:cs="Arial"/>
          <w:sz w:val="22"/>
          <w:szCs w:val="22"/>
        </w:rPr>
        <w:t xml:space="preserve">.  In this case, the NW is aware of a potential blocker from another operator to the left of the desired channel.  </w:t>
      </w:r>
      <w:r w:rsidR="006A421E">
        <w:rPr>
          <w:rFonts w:ascii="Arial" w:hAnsi="Arial" w:cs="Arial"/>
          <w:sz w:val="22"/>
          <w:szCs w:val="22"/>
        </w:rPr>
        <w:t xml:space="preserve">Point A remains unchanged.  </w:t>
      </w:r>
      <w:r w:rsidR="00535759">
        <w:rPr>
          <w:rFonts w:ascii="Arial" w:hAnsi="Arial" w:cs="Arial"/>
          <w:sz w:val="22"/>
          <w:szCs w:val="22"/>
        </w:rPr>
        <w:t xml:space="preserve">The NW sets the active RBs </w:t>
      </w:r>
      <w:r w:rsidR="008A1D54">
        <w:rPr>
          <w:rFonts w:ascii="Arial" w:hAnsi="Arial" w:cs="Arial"/>
          <w:sz w:val="22"/>
          <w:szCs w:val="22"/>
        </w:rPr>
        <w:t>adjacent to the band edge, since the UE has signalled that it is capable.</w:t>
      </w:r>
      <w:r w:rsidR="00A8130C">
        <w:rPr>
          <w:rFonts w:ascii="Arial" w:hAnsi="Arial" w:cs="Arial"/>
          <w:sz w:val="22"/>
          <w:szCs w:val="22"/>
        </w:rPr>
        <w:t xml:space="preserve">  </w:t>
      </w:r>
      <w:r>
        <w:rPr>
          <w:rFonts w:ascii="Arial" w:hAnsi="Arial" w:cs="Arial"/>
          <w:sz w:val="22"/>
          <w:szCs w:val="22"/>
        </w:rPr>
        <w:t xml:space="preserve">The NW </w:t>
      </w:r>
      <w:r w:rsidR="00A8130C">
        <w:rPr>
          <w:rFonts w:ascii="Arial" w:hAnsi="Arial" w:cs="Arial"/>
          <w:sz w:val="22"/>
          <w:szCs w:val="22"/>
        </w:rPr>
        <w:t xml:space="preserve">also </w:t>
      </w:r>
      <w:r>
        <w:rPr>
          <w:rFonts w:ascii="Arial" w:hAnsi="Arial" w:cs="Arial"/>
          <w:sz w:val="22"/>
          <w:szCs w:val="22"/>
        </w:rPr>
        <w:t>inform</w:t>
      </w:r>
      <w:r w:rsidR="00A8130C">
        <w:rPr>
          <w:rFonts w:ascii="Arial" w:hAnsi="Arial" w:cs="Arial"/>
          <w:sz w:val="22"/>
          <w:szCs w:val="22"/>
        </w:rPr>
        <w:t>s</w:t>
      </w:r>
      <w:r>
        <w:rPr>
          <w:rFonts w:ascii="Arial" w:hAnsi="Arial" w:cs="Arial"/>
          <w:sz w:val="22"/>
          <w:szCs w:val="22"/>
        </w:rPr>
        <w:t xml:space="preserve"> UE</w:t>
      </w:r>
      <w:r w:rsidR="002B6D37">
        <w:rPr>
          <w:rFonts w:ascii="Arial" w:hAnsi="Arial" w:cs="Arial"/>
          <w:sz w:val="22"/>
          <w:szCs w:val="22"/>
        </w:rPr>
        <w:t xml:space="preserve"> to </w:t>
      </w:r>
      <w:r w:rsidR="00B37241">
        <w:rPr>
          <w:rFonts w:ascii="Arial" w:hAnsi="Arial" w:cs="Arial"/>
          <w:sz w:val="22"/>
          <w:szCs w:val="22"/>
        </w:rPr>
        <w:t>set its CBW filter in left mode</w:t>
      </w:r>
      <w:r>
        <w:rPr>
          <w:rFonts w:ascii="Arial" w:hAnsi="Arial" w:cs="Arial"/>
          <w:sz w:val="22"/>
          <w:szCs w:val="22"/>
        </w:rPr>
        <w:t xml:space="preserve">. </w:t>
      </w:r>
      <w:r w:rsidR="00B33BB2">
        <w:rPr>
          <w:rFonts w:ascii="Arial" w:hAnsi="Arial" w:cs="Arial"/>
          <w:sz w:val="22"/>
          <w:szCs w:val="22"/>
        </w:rPr>
        <w:t>With this setup, the UE is fully able to eliminate blocker energy from the known left side blocker.</w:t>
      </w:r>
    </w:p>
    <w:p w14:paraId="4A464144" w14:textId="6F8C5989" w:rsidR="00632E7E" w:rsidRDefault="00E61DE7" w:rsidP="00632E7E">
      <w:pPr>
        <w:pStyle w:val="ListParagraph"/>
        <w:keepNext/>
        <w:ind w:left="0"/>
      </w:pPr>
      <w:r w:rsidRPr="00E61DE7">
        <w:rPr>
          <w:noProof/>
        </w:rPr>
        <w:drawing>
          <wp:inline distT="0" distB="0" distL="0" distR="0" wp14:anchorId="5B3A48D1" wp14:editId="4596150F">
            <wp:extent cx="6122035" cy="2439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439670"/>
                    </a:xfrm>
                    <a:prstGeom prst="rect">
                      <a:avLst/>
                    </a:prstGeom>
                    <a:noFill/>
                    <a:ln>
                      <a:noFill/>
                    </a:ln>
                  </pic:spPr>
                </pic:pic>
              </a:graphicData>
            </a:graphic>
          </wp:inline>
        </w:drawing>
      </w:r>
    </w:p>
    <w:p w14:paraId="04429989" w14:textId="3B7128EB" w:rsidR="00632E7E" w:rsidRPr="006144DF" w:rsidRDefault="00632E7E" w:rsidP="006F7ACF">
      <w:pPr>
        <w:pStyle w:val="Caption"/>
        <w:rPr>
          <w:rFonts w:ascii="Arial" w:hAnsi="Arial" w:cs="Arial"/>
          <w:sz w:val="22"/>
          <w:szCs w:val="22"/>
        </w:rPr>
      </w:pPr>
      <w:r>
        <w:t xml:space="preserve">Figure </w:t>
      </w:r>
      <w:r w:rsidR="00B67E05">
        <w:t>2</w:t>
      </w:r>
      <w:r>
        <w:t xml:space="preserve"> – Example signalling for the NW setting up 7MHz IrregularBW with PRBs on the left of the CBW.</w:t>
      </w:r>
      <w:r w:rsidR="00F40F96">
        <w:t xml:space="preserve">  UE Signalling informs the NW that it is capable to operate </w:t>
      </w:r>
      <w:r w:rsidR="00F2407E">
        <w:t>its CBW filter to the band edge.</w:t>
      </w:r>
    </w:p>
    <w:p w14:paraId="0A08C95B" w14:textId="678CA1D8" w:rsidR="00632E7E" w:rsidRDefault="00632E7E" w:rsidP="00632E7E">
      <w:pPr>
        <w:spacing w:after="0"/>
      </w:pPr>
    </w:p>
    <w:p w14:paraId="34C99636" w14:textId="471D88D9" w:rsidR="008E7986" w:rsidRDefault="00FB10CB" w:rsidP="008E7986">
      <w:pPr>
        <w:pStyle w:val="Heading1"/>
      </w:pPr>
      <w:r>
        <w:lastRenderedPageBreak/>
        <w:t>3</w:t>
      </w:r>
      <w:r w:rsidR="008E7986" w:rsidRPr="00D20165">
        <w:tab/>
        <w:t>Conclusions</w:t>
      </w:r>
    </w:p>
    <w:p w14:paraId="5317CDCA" w14:textId="1F2968A7" w:rsidR="004A0F3A" w:rsidRPr="004A0F3A" w:rsidRDefault="00610910" w:rsidP="004A0F3A">
      <w:r>
        <w:rPr>
          <w:rFonts w:ascii="Arial" w:hAnsi="Arial" w:cs="Arial"/>
          <w:sz w:val="22"/>
          <w:szCs w:val="22"/>
        </w:rPr>
        <w:t xml:space="preserve">In summary, the RAN1,2 LS response </w:t>
      </w:r>
      <w:r w:rsidR="00196962">
        <w:rPr>
          <w:rFonts w:ascii="Arial" w:hAnsi="Arial" w:cs="Arial"/>
          <w:sz w:val="22"/>
          <w:szCs w:val="22"/>
        </w:rPr>
        <w:t>indicates</w:t>
      </w:r>
      <w:r w:rsidR="0047280B">
        <w:rPr>
          <w:rFonts w:ascii="Arial" w:hAnsi="Arial" w:cs="Arial"/>
          <w:sz w:val="22"/>
          <w:szCs w:val="22"/>
        </w:rPr>
        <w:t xml:space="preserve"> a limitation for the Wider CBW method due to undefined </w:t>
      </w:r>
      <w:r w:rsidR="00196962">
        <w:rPr>
          <w:rFonts w:ascii="Arial" w:hAnsi="Arial" w:cs="Arial"/>
          <w:sz w:val="22"/>
          <w:szCs w:val="22"/>
        </w:rPr>
        <w:t>behaviour</w:t>
      </w:r>
      <w:r w:rsidR="0047280B">
        <w:rPr>
          <w:rFonts w:ascii="Arial" w:hAnsi="Arial" w:cs="Arial"/>
          <w:sz w:val="22"/>
          <w:szCs w:val="22"/>
        </w:rPr>
        <w:t xml:space="preserve"> in the case when Irregular BW is setup outside the </w:t>
      </w:r>
      <w:r w:rsidR="007662B4">
        <w:rPr>
          <w:rFonts w:ascii="Arial" w:hAnsi="Arial" w:cs="Arial"/>
          <w:sz w:val="22"/>
          <w:szCs w:val="22"/>
        </w:rPr>
        <w:t xml:space="preserve">legacy BW.  A new method of </w:t>
      </w:r>
      <w:r w:rsidR="00196962">
        <w:rPr>
          <w:rFonts w:ascii="Arial" w:hAnsi="Arial" w:cs="Arial"/>
          <w:sz w:val="22"/>
          <w:szCs w:val="22"/>
        </w:rPr>
        <w:t>signalling</w:t>
      </w:r>
      <w:r w:rsidR="007662B4">
        <w:rPr>
          <w:rFonts w:ascii="Arial" w:hAnsi="Arial" w:cs="Arial"/>
          <w:sz w:val="22"/>
          <w:szCs w:val="22"/>
        </w:rPr>
        <w:t xml:space="preserve"> is proposed to </w:t>
      </w:r>
      <w:r w:rsidR="00196962">
        <w:rPr>
          <w:rFonts w:ascii="Arial" w:hAnsi="Arial" w:cs="Arial"/>
          <w:sz w:val="22"/>
          <w:szCs w:val="22"/>
        </w:rPr>
        <w:t xml:space="preserve">communicate the UE capability and eliminate the undefined behaviour. </w:t>
      </w:r>
    </w:p>
    <w:p w14:paraId="3F11B23F" w14:textId="1FEB5723" w:rsidR="006D45A7" w:rsidRPr="006F7ACF" w:rsidRDefault="006D45A7" w:rsidP="006D45A7">
      <w:pPr>
        <w:rPr>
          <w:rFonts w:ascii="Arial" w:hAnsi="Arial" w:cs="Arial"/>
          <w:sz w:val="22"/>
          <w:szCs w:val="22"/>
          <w:lang w:val="en-US"/>
        </w:rPr>
      </w:pPr>
      <w:r w:rsidRPr="006F7ACF">
        <w:rPr>
          <w:rFonts w:ascii="Arial" w:hAnsi="Arial" w:cs="Arial"/>
          <w:b/>
          <w:bCs/>
          <w:sz w:val="22"/>
          <w:szCs w:val="22"/>
          <w:lang w:val="en-US"/>
        </w:rPr>
        <w:t>Observation 1:</w:t>
      </w:r>
      <w:r w:rsidRPr="006F7ACF">
        <w:rPr>
          <w:rFonts w:ascii="Arial" w:hAnsi="Arial" w:cs="Arial"/>
          <w:sz w:val="22"/>
          <w:szCs w:val="22"/>
          <w:lang w:val="en-US"/>
        </w:rPr>
        <w:t xml:space="preserve"> RAN2 to not supportive of using the Wider CBW method </w:t>
      </w:r>
      <w:r w:rsidR="009F7089" w:rsidRPr="00335FCB">
        <w:rPr>
          <w:rFonts w:ascii="Arial" w:hAnsi="Arial" w:cs="Arial"/>
          <w:sz w:val="22"/>
          <w:szCs w:val="22"/>
          <w:lang w:val="en-US"/>
        </w:rPr>
        <w:t>for legacy UEs</w:t>
      </w:r>
      <w:r w:rsidR="009F7089" w:rsidRPr="006F7ACF">
        <w:rPr>
          <w:rFonts w:ascii="Arial" w:hAnsi="Arial" w:cs="Arial"/>
          <w:i/>
          <w:iCs/>
          <w:sz w:val="22"/>
          <w:szCs w:val="22"/>
          <w:lang w:val="en-US"/>
        </w:rPr>
        <w:t xml:space="preserve"> </w:t>
      </w:r>
      <w:r w:rsidRPr="006F7ACF">
        <w:rPr>
          <w:rFonts w:ascii="Arial" w:hAnsi="Arial" w:cs="Arial"/>
          <w:sz w:val="22"/>
          <w:szCs w:val="22"/>
          <w:lang w:val="en-US"/>
        </w:rPr>
        <w:t xml:space="preserve">outside of the NR band due to unclear behavior.  </w:t>
      </w:r>
      <w:r w:rsidRPr="005D17CF">
        <w:t xml:space="preserve"> </w:t>
      </w:r>
      <w:r w:rsidRPr="006F7ACF">
        <w:rPr>
          <w:rFonts w:ascii="Arial" w:hAnsi="Arial" w:cs="Arial"/>
          <w:sz w:val="22"/>
          <w:szCs w:val="22"/>
          <w:lang w:val="en-US"/>
        </w:rPr>
        <w:t>The Wider CBW method cannot be used for legacy UEs in case CBW is not fully contained in the NR band.</w:t>
      </w:r>
    </w:p>
    <w:p w14:paraId="223C2FE3" w14:textId="16EB4702" w:rsidR="006D45A7" w:rsidRPr="006F7ACF" w:rsidRDefault="006D45A7" w:rsidP="006D45A7">
      <w:pPr>
        <w:rPr>
          <w:rFonts w:ascii="Arial" w:hAnsi="Arial" w:cs="Arial"/>
          <w:sz w:val="22"/>
          <w:szCs w:val="22"/>
          <w:lang w:val="en-US"/>
        </w:rPr>
      </w:pPr>
      <w:r w:rsidRPr="006F7ACF">
        <w:rPr>
          <w:rFonts w:ascii="Arial" w:hAnsi="Arial" w:cs="Arial"/>
          <w:b/>
          <w:bCs/>
          <w:sz w:val="22"/>
          <w:szCs w:val="22"/>
          <w:lang w:val="en-US"/>
        </w:rPr>
        <w:t>Observation 2:</w:t>
      </w:r>
      <w:r w:rsidRPr="006F7ACF">
        <w:rPr>
          <w:rFonts w:ascii="Arial" w:hAnsi="Arial" w:cs="Arial"/>
          <w:sz w:val="22"/>
          <w:szCs w:val="22"/>
          <w:lang w:val="en-US"/>
        </w:rPr>
        <w:t xml:space="preserve"> It is worth noting that RAN4 doesn’t intend to define RBs beyond the </w:t>
      </w:r>
      <w:r w:rsidR="001C41CE">
        <w:rPr>
          <w:rFonts w:ascii="Arial" w:hAnsi="Arial" w:cs="Arial"/>
          <w:sz w:val="22"/>
          <w:szCs w:val="22"/>
          <w:lang w:val="en-US"/>
        </w:rPr>
        <w:t xml:space="preserve">NR </w:t>
      </w:r>
      <w:r w:rsidRPr="006F7ACF">
        <w:rPr>
          <w:rFonts w:ascii="Arial" w:hAnsi="Arial" w:cs="Arial"/>
          <w:sz w:val="22"/>
          <w:szCs w:val="22"/>
          <w:lang w:val="en-US"/>
        </w:rPr>
        <w:t>frequency band borders, but merely to allow the excess portion of the CBW filter to extend beyond the band borders.</w:t>
      </w:r>
    </w:p>
    <w:p w14:paraId="294AA049" w14:textId="7B2AE8DD" w:rsidR="006D646C" w:rsidRPr="006F7ACF" w:rsidRDefault="006D646C" w:rsidP="006D646C">
      <w:pPr>
        <w:rPr>
          <w:rFonts w:ascii="Arial" w:hAnsi="Arial" w:cs="Arial"/>
          <w:sz w:val="22"/>
          <w:szCs w:val="22"/>
          <w:lang w:val="en-US"/>
        </w:rPr>
      </w:pPr>
      <w:r w:rsidRPr="006F7ACF">
        <w:rPr>
          <w:rFonts w:ascii="Arial" w:hAnsi="Arial" w:cs="Arial"/>
          <w:b/>
          <w:bCs/>
          <w:sz w:val="22"/>
          <w:szCs w:val="22"/>
          <w:lang w:val="en-US"/>
        </w:rPr>
        <w:t>Observation 3:</w:t>
      </w:r>
      <w:r w:rsidRPr="006F7ACF">
        <w:rPr>
          <w:rFonts w:ascii="Arial" w:hAnsi="Arial" w:cs="Arial"/>
          <w:sz w:val="22"/>
          <w:szCs w:val="22"/>
          <w:lang w:val="en-US"/>
        </w:rPr>
        <w:t xml:space="preserve"> RAN1 also raises concern about CBW being outside of the NR band borders.  However, beyond this limitation, and for BWP operating within the band borders, RAN1 states their specifications are compatible with the Wider CBW method.</w:t>
      </w:r>
    </w:p>
    <w:p w14:paraId="04A025B3" w14:textId="77777777" w:rsidR="00D06A87" w:rsidRPr="005D17CF" w:rsidRDefault="00D06A87" w:rsidP="00D06A87">
      <w:pPr>
        <w:rPr>
          <w:rFonts w:ascii="Arial" w:hAnsi="Arial" w:cs="Arial"/>
          <w:sz w:val="22"/>
          <w:szCs w:val="22"/>
          <w:lang w:val="en-US"/>
        </w:rPr>
      </w:pPr>
      <w:r w:rsidRPr="006F7ACF">
        <w:rPr>
          <w:rFonts w:ascii="Arial" w:hAnsi="Arial" w:cs="Arial"/>
          <w:b/>
          <w:bCs/>
          <w:sz w:val="22"/>
          <w:szCs w:val="22"/>
          <w:lang w:val="en-US"/>
        </w:rPr>
        <w:t>Proposal 1:</w:t>
      </w:r>
      <w:r w:rsidRPr="006F7ACF">
        <w:rPr>
          <w:rFonts w:ascii="Arial" w:hAnsi="Arial" w:cs="Arial"/>
          <w:sz w:val="22"/>
          <w:szCs w:val="22"/>
          <w:lang w:val="en-US"/>
        </w:rPr>
        <w:t xml:space="preserve"> For new UEs, if the UE signals it is capable of placing its CBW filter beyond the band borders, then it is possible to for the NW to configure the UE to meet RAN1,2 specifications, and RAN4 needs to define this behavior.</w:t>
      </w:r>
    </w:p>
    <w:p w14:paraId="4A0F4A37" w14:textId="036C8AC6" w:rsidR="00ED7AEA" w:rsidRPr="006F7ACF" w:rsidRDefault="00ED7AEA" w:rsidP="00ED7AEA">
      <w:pPr>
        <w:rPr>
          <w:rFonts w:ascii="Arial" w:hAnsi="Arial" w:cs="Arial"/>
          <w:sz w:val="22"/>
          <w:szCs w:val="22"/>
        </w:rPr>
      </w:pPr>
      <w:r w:rsidRPr="006F7ACF">
        <w:rPr>
          <w:rFonts w:ascii="Arial" w:hAnsi="Arial" w:cs="Arial"/>
          <w:b/>
          <w:bCs/>
          <w:sz w:val="22"/>
          <w:szCs w:val="22"/>
        </w:rPr>
        <w:t>Proposal 2:</w:t>
      </w:r>
      <w:r w:rsidRPr="006F7ACF">
        <w:rPr>
          <w:rFonts w:ascii="Arial" w:hAnsi="Arial" w:cs="Arial"/>
          <w:sz w:val="22"/>
          <w:szCs w:val="22"/>
        </w:rPr>
        <w:t xml:space="preserve"> For legacy UEs</w:t>
      </w:r>
      <w:r w:rsidR="00462636" w:rsidRPr="005D17CF">
        <w:rPr>
          <w:rFonts w:ascii="Arial" w:hAnsi="Arial" w:cs="Arial"/>
          <w:sz w:val="22"/>
          <w:szCs w:val="22"/>
        </w:rPr>
        <w:t xml:space="preserve">, no new signalling is needed. </w:t>
      </w:r>
      <w:r w:rsidRPr="006F7ACF">
        <w:rPr>
          <w:rFonts w:ascii="Arial" w:hAnsi="Arial" w:cs="Arial"/>
          <w:sz w:val="22"/>
          <w:szCs w:val="22"/>
        </w:rPr>
        <w:t xml:space="preserve"> </w:t>
      </w:r>
      <w:r w:rsidR="00462636" w:rsidRPr="005D17CF">
        <w:rPr>
          <w:rFonts w:ascii="Arial" w:hAnsi="Arial" w:cs="Arial"/>
          <w:sz w:val="22"/>
          <w:szCs w:val="22"/>
        </w:rPr>
        <w:t>The NW</w:t>
      </w:r>
      <w:r w:rsidRPr="006F7ACF">
        <w:rPr>
          <w:rFonts w:ascii="Arial" w:hAnsi="Arial" w:cs="Arial"/>
          <w:sz w:val="22"/>
          <w:szCs w:val="22"/>
        </w:rPr>
        <w:t xml:space="preserve"> can perform scheduling to avoid placement of the Wider CBW near the </w:t>
      </w:r>
      <w:r w:rsidR="000E2E08" w:rsidRPr="005D17CF">
        <w:rPr>
          <w:rFonts w:ascii="Arial" w:hAnsi="Arial" w:cs="Arial"/>
          <w:sz w:val="22"/>
          <w:szCs w:val="22"/>
        </w:rPr>
        <w:t>NR band</w:t>
      </w:r>
      <w:r w:rsidRPr="006F7ACF">
        <w:rPr>
          <w:rFonts w:ascii="Arial" w:hAnsi="Arial" w:cs="Arial"/>
          <w:sz w:val="22"/>
          <w:szCs w:val="22"/>
        </w:rPr>
        <w:t xml:space="preserve"> edges. </w:t>
      </w:r>
    </w:p>
    <w:p w14:paraId="233DCC34" w14:textId="77777777" w:rsidR="00862EC3" w:rsidRPr="006F7ACF" w:rsidRDefault="0013414B" w:rsidP="00862EC3">
      <w:pPr>
        <w:rPr>
          <w:rFonts w:ascii="Arial" w:hAnsi="Arial" w:cs="Arial"/>
          <w:sz w:val="22"/>
          <w:szCs w:val="22"/>
        </w:rPr>
      </w:pPr>
      <w:r w:rsidRPr="006F7ACF">
        <w:rPr>
          <w:rFonts w:ascii="Arial" w:hAnsi="Arial" w:cs="Arial"/>
          <w:b/>
          <w:bCs/>
          <w:sz w:val="22"/>
          <w:szCs w:val="22"/>
          <w:lang w:val="en-US"/>
        </w:rPr>
        <w:t>Proposal 3:</w:t>
      </w:r>
      <w:r w:rsidRPr="006F7ACF">
        <w:rPr>
          <w:rFonts w:ascii="Arial" w:hAnsi="Arial" w:cs="Arial"/>
          <w:sz w:val="22"/>
          <w:szCs w:val="22"/>
          <w:lang w:val="en-US"/>
        </w:rPr>
        <w:t xml:space="preserve"> </w:t>
      </w:r>
      <w:r w:rsidR="00862EC3" w:rsidRPr="006F7ACF">
        <w:rPr>
          <w:rFonts w:ascii="Arial" w:hAnsi="Arial" w:cs="Arial"/>
          <w:sz w:val="22"/>
          <w:szCs w:val="22"/>
          <w:lang w:val="en-US"/>
        </w:rPr>
        <w:t xml:space="preserve">New signaling can indicate to the NW that the UE is capable of utilizing the Wider CBW method is able to place its CBW filter beyond the NR band edges without issue.  </w:t>
      </w:r>
      <w:r w:rsidR="00862EC3" w:rsidRPr="006F7ACF">
        <w:rPr>
          <w:rFonts w:ascii="Arial" w:hAnsi="Arial" w:cs="Arial"/>
          <w:sz w:val="22"/>
          <w:szCs w:val="22"/>
        </w:rPr>
        <w:t>RAN2 support of new signalling for the Wider CBW method will be needed for augmentation and adoption into the standard.</w:t>
      </w:r>
    </w:p>
    <w:p w14:paraId="661D17ED" w14:textId="77777777" w:rsidR="005D17CF" w:rsidRPr="006F7ACF" w:rsidRDefault="005D17CF" w:rsidP="005D17CF">
      <w:pPr>
        <w:rPr>
          <w:rFonts w:ascii="Arial" w:hAnsi="Arial" w:cs="Arial"/>
          <w:sz w:val="22"/>
          <w:szCs w:val="22"/>
          <w:lang w:val="en-US"/>
        </w:rPr>
      </w:pPr>
      <w:r w:rsidRPr="006F7ACF">
        <w:rPr>
          <w:rFonts w:ascii="Arial" w:hAnsi="Arial" w:cs="Arial"/>
          <w:b/>
          <w:bCs/>
          <w:sz w:val="22"/>
          <w:szCs w:val="22"/>
          <w:lang w:val="en-US"/>
        </w:rPr>
        <w:t>Proposal 4:</w:t>
      </w:r>
      <w:r w:rsidRPr="006F7ACF">
        <w:rPr>
          <w:rFonts w:ascii="Arial" w:hAnsi="Arial" w:cs="Arial"/>
          <w:sz w:val="22"/>
          <w:szCs w:val="22"/>
          <w:lang w:val="en-US"/>
        </w:rPr>
        <w:t xml:space="preserve"> New signaling can also indicate when the NW</w:t>
      </w:r>
      <w:r w:rsidRPr="005D17CF">
        <w:rPr>
          <w:rFonts w:ascii="Arial" w:hAnsi="Arial" w:cs="Arial"/>
          <w:sz w:val="22"/>
          <w:szCs w:val="22"/>
          <w:lang w:val="en-US"/>
        </w:rPr>
        <w:t xml:space="preserve"> </w:t>
      </w:r>
      <w:r w:rsidRPr="006F7ACF">
        <w:rPr>
          <w:rFonts w:ascii="Arial" w:hAnsi="Arial" w:cs="Arial"/>
          <w:sz w:val="22"/>
          <w:szCs w:val="22"/>
          <w:lang w:val="en-US"/>
        </w:rPr>
        <w:t>is aware of certain blockers located adjacent to the left or right of the operator.  The NW can signal to the UE to locate its CBW filter to the left, right or centered of the indicated BWP to reduce ACS degradation.</w:t>
      </w:r>
    </w:p>
    <w:p w14:paraId="1CEDA58A" w14:textId="77777777" w:rsidR="002316BE" w:rsidRPr="001200B1" w:rsidRDefault="002316BE" w:rsidP="001200B1">
      <w:pPr>
        <w:rPr>
          <w:rFonts w:ascii="Arial" w:hAnsi="Arial" w:cs="Arial"/>
          <w:sz w:val="22"/>
          <w:szCs w:val="22"/>
          <w:lang w:val="en-US"/>
        </w:rPr>
      </w:pPr>
    </w:p>
    <w:bookmarkEnd w:id="1"/>
    <w:p w14:paraId="446075F6" w14:textId="488A1E43" w:rsidR="001A4A9A" w:rsidRPr="00D20165" w:rsidRDefault="006A26D7" w:rsidP="001A4A9A">
      <w:pPr>
        <w:pStyle w:val="Heading1"/>
      </w:pPr>
      <w:r>
        <w:t>4</w:t>
      </w:r>
      <w:r w:rsidR="001A4A9A" w:rsidRPr="00D20165">
        <w:tab/>
        <w:t>References</w:t>
      </w:r>
    </w:p>
    <w:p w14:paraId="6DDF28C7" w14:textId="7D4DFB2C" w:rsidR="003157DB" w:rsidRDefault="00BE5ED7" w:rsidP="002315A5">
      <w:pPr>
        <w:pStyle w:val="EX"/>
      </w:pPr>
      <w:r w:rsidRPr="00BE5ED7">
        <w:t>R4-212001</w:t>
      </w:r>
      <w:r w:rsidR="00861FF7">
        <w:t>3</w:t>
      </w:r>
      <w:r w:rsidR="00B77941">
        <w:t>, “</w:t>
      </w:r>
      <w:r w:rsidR="008B6464" w:rsidRPr="008B6464">
        <w:t>TP with further information on UE channel filter assumptions</w:t>
      </w:r>
      <w:r w:rsidR="0075501F">
        <w:t>”,</w:t>
      </w:r>
      <w:r w:rsidR="00A758C6">
        <w:t xml:space="preserve"> Apple, Skyworks</w:t>
      </w:r>
    </w:p>
    <w:p w14:paraId="75B22E48" w14:textId="77777777" w:rsidR="00F75192" w:rsidRDefault="00F75192" w:rsidP="00F75192">
      <w:pPr>
        <w:pStyle w:val="EX"/>
      </w:pPr>
      <w:r>
        <w:t>R1</w:t>
      </w:r>
      <w:r w:rsidRPr="003B021B">
        <w:t>-2110584</w:t>
      </w:r>
      <w:r>
        <w:t>, “</w:t>
      </w:r>
      <w:r w:rsidRPr="00674975">
        <w:t>Reply LS on specification impact for methods on efficient utilization of licensed spectrum that is not aligned with existing NR channel bandwidths</w:t>
      </w:r>
      <w:r>
        <w:t>”, Nokia</w:t>
      </w:r>
    </w:p>
    <w:p w14:paraId="65983EF3" w14:textId="3A581BC4" w:rsidR="00B2576F" w:rsidRDefault="00996594" w:rsidP="002315A5">
      <w:pPr>
        <w:pStyle w:val="EX"/>
      </w:pPr>
      <w:r>
        <w:t>R2-2111597, “</w:t>
      </w:r>
      <w:r w:rsidR="0091383D" w:rsidRPr="0091383D">
        <w:t>Reply LS on specification impact for methods on efficient utilization of licensed spectrum that is not aligned with existing NR channel bandwidths</w:t>
      </w:r>
      <w:r w:rsidR="0091383D">
        <w:t>”, Nokia</w:t>
      </w:r>
    </w:p>
    <w:p w14:paraId="14D23C7D" w14:textId="77777777" w:rsidR="00246739" w:rsidRDefault="00246739" w:rsidP="00246739">
      <w:pPr>
        <w:pStyle w:val="EX"/>
      </w:pPr>
      <w:r>
        <w:t>R4-2108022, “TP to TR38.844 on wider channel BW method”, Ericsson [Apple, Skyworks]</w:t>
      </w:r>
    </w:p>
    <w:p w14:paraId="60674034" w14:textId="77777777" w:rsidR="00246739" w:rsidRDefault="00246739" w:rsidP="00246739">
      <w:pPr>
        <w:pStyle w:val="EX"/>
      </w:pPr>
      <w:bookmarkStart w:id="3" w:name="_Ref54370374"/>
      <w:r>
        <w:t>R4-2100805, “Discussion on overlapping UE channel bandwidths”, CMCC</w:t>
      </w:r>
    </w:p>
    <w:bookmarkEnd w:id="3"/>
    <w:p w14:paraId="4B66D901" w14:textId="21951983" w:rsidR="00C76D42" w:rsidRPr="00D20165" w:rsidRDefault="00C76D42" w:rsidP="002315A5">
      <w:pPr>
        <w:pStyle w:val="EX"/>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0DEEC" w14:textId="77777777" w:rsidR="00CB29D3" w:rsidRDefault="00CB29D3">
      <w:r>
        <w:separator/>
      </w:r>
    </w:p>
  </w:endnote>
  <w:endnote w:type="continuationSeparator" w:id="0">
    <w:p w14:paraId="77E189C2" w14:textId="77777777" w:rsidR="00CB29D3" w:rsidRDefault="00CB29D3">
      <w:r>
        <w:continuationSeparator/>
      </w:r>
    </w:p>
  </w:endnote>
  <w:endnote w:type="continuationNotice" w:id="1">
    <w:p w14:paraId="102A0D69" w14:textId="77777777" w:rsidR="00CB29D3" w:rsidRDefault="00CB29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2D8F3" w14:textId="77777777" w:rsidR="00CB29D3" w:rsidRDefault="00CB29D3">
      <w:r>
        <w:separator/>
      </w:r>
    </w:p>
  </w:footnote>
  <w:footnote w:type="continuationSeparator" w:id="0">
    <w:p w14:paraId="248E0119" w14:textId="77777777" w:rsidR="00CB29D3" w:rsidRDefault="00CB29D3">
      <w:r>
        <w:continuationSeparator/>
      </w:r>
    </w:p>
  </w:footnote>
  <w:footnote w:type="continuationNotice" w:id="1">
    <w:p w14:paraId="2E906117" w14:textId="77777777" w:rsidR="00CB29D3" w:rsidRDefault="00CB29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F01"/>
    <w:multiLevelType w:val="hybridMultilevel"/>
    <w:tmpl w:val="97F2866C"/>
    <w:lvl w:ilvl="0" w:tplc="234C607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782A49"/>
    <w:multiLevelType w:val="hybridMultilevel"/>
    <w:tmpl w:val="8F44C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1"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0427B"/>
    <w:multiLevelType w:val="hybridMultilevel"/>
    <w:tmpl w:val="61C67A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3"/>
  </w:num>
  <w:num w:numId="6">
    <w:abstractNumId w:val="3"/>
  </w:num>
  <w:num w:numId="7">
    <w:abstractNumId w:val="14"/>
  </w:num>
  <w:num w:numId="8">
    <w:abstractNumId w:val="5"/>
  </w:num>
  <w:num w:numId="9">
    <w:abstractNumId w:val="13"/>
  </w:num>
  <w:num w:numId="10">
    <w:abstractNumId w:val="3"/>
  </w:num>
  <w:num w:numId="11">
    <w:abstractNumId w:val="15"/>
  </w:num>
  <w:num w:numId="12">
    <w:abstractNumId w:val="7"/>
  </w:num>
  <w:num w:numId="13">
    <w:abstractNumId w:val="12"/>
  </w:num>
  <w:num w:numId="14">
    <w:abstractNumId w:val="16"/>
  </w:num>
  <w:num w:numId="15">
    <w:abstractNumId w:val="17"/>
  </w:num>
  <w:num w:numId="16">
    <w:abstractNumId w:val="10"/>
  </w:num>
  <w:num w:numId="17">
    <w:abstractNumId w:val="20"/>
  </w:num>
  <w:num w:numId="18">
    <w:abstractNumId w:val="4"/>
  </w:num>
  <w:num w:numId="19">
    <w:abstractNumId w:val="19"/>
  </w:num>
  <w:num w:numId="20">
    <w:abstractNumId w:val="6"/>
  </w:num>
  <w:num w:numId="21">
    <w:abstractNumId w:val="24"/>
  </w:num>
  <w:num w:numId="22">
    <w:abstractNumId w:val="22"/>
  </w:num>
  <w:num w:numId="23">
    <w:abstractNumId w:val="11"/>
  </w:num>
  <w:num w:numId="24">
    <w:abstractNumId w:val="21"/>
  </w:num>
  <w:num w:numId="25">
    <w:abstractNumId w:val="9"/>
  </w:num>
  <w:num w:numId="26">
    <w:abstractNumId w:val="8"/>
  </w:num>
  <w:num w:numId="27">
    <w:abstractNumId w:val="18"/>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4AD2"/>
    <w:rsid w:val="000054EA"/>
    <w:rsid w:val="00006BD2"/>
    <w:rsid w:val="00010CF5"/>
    <w:rsid w:val="00012728"/>
    <w:rsid w:val="000138FF"/>
    <w:rsid w:val="00014116"/>
    <w:rsid w:val="0001418C"/>
    <w:rsid w:val="00014928"/>
    <w:rsid w:val="000153AE"/>
    <w:rsid w:val="00015948"/>
    <w:rsid w:val="00015E4F"/>
    <w:rsid w:val="00015E95"/>
    <w:rsid w:val="00020326"/>
    <w:rsid w:val="00020A6E"/>
    <w:rsid w:val="00020B5F"/>
    <w:rsid w:val="00020C04"/>
    <w:rsid w:val="00021F7F"/>
    <w:rsid w:val="00023AB9"/>
    <w:rsid w:val="000255A7"/>
    <w:rsid w:val="00025CDD"/>
    <w:rsid w:val="00026576"/>
    <w:rsid w:val="000277F1"/>
    <w:rsid w:val="000309BF"/>
    <w:rsid w:val="00031969"/>
    <w:rsid w:val="00031B18"/>
    <w:rsid w:val="00031C32"/>
    <w:rsid w:val="00032C6C"/>
    <w:rsid w:val="00033397"/>
    <w:rsid w:val="00033534"/>
    <w:rsid w:val="000366BF"/>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1834"/>
    <w:rsid w:val="00052248"/>
    <w:rsid w:val="00053808"/>
    <w:rsid w:val="00054A22"/>
    <w:rsid w:val="00055B36"/>
    <w:rsid w:val="00055E8B"/>
    <w:rsid w:val="000574E5"/>
    <w:rsid w:val="000612D2"/>
    <w:rsid w:val="00061A86"/>
    <w:rsid w:val="00061E44"/>
    <w:rsid w:val="00062023"/>
    <w:rsid w:val="0006281A"/>
    <w:rsid w:val="00063C78"/>
    <w:rsid w:val="00063D26"/>
    <w:rsid w:val="00063ED4"/>
    <w:rsid w:val="0006419E"/>
    <w:rsid w:val="000655A6"/>
    <w:rsid w:val="000655CA"/>
    <w:rsid w:val="0006758E"/>
    <w:rsid w:val="000678C0"/>
    <w:rsid w:val="000705E7"/>
    <w:rsid w:val="00070EEC"/>
    <w:rsid w:val="00071512"/>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B64"/>
    <w:rsid w:val="000874DA"/>
    <w:rsid w:val="00087CFA"/>
    <w:rsid w:val="00091420"/>
    <w:rsid w:val="00092734"/>
    <w:rsid w:val="00092DB5"/>
    <w:rsid w:val="00093669"/>
    <w:rsid w:val="000951DF"/>
    <w:rsid w:val="00095CF8"/>
    <w:rsid w:val="00096C94"/>
    <w:rsid w:val="00096CA8"/>
    <w:rsid w:val="0009755D"/>
    <w:rsid w:val="000A0B51"/>
    <w:rsid w:val="000A15EB"/>
    <w:rsid w:val="000A2BB8"/>
    <w:rsid w:val="000A2DD7"/>
    <w:rsid w:val="000A2DFC"/>
    <w:rsid w:val="000A365D"/>
    <w:rsid w:val="000A3959"/>
    <w:rsid w:val="000A3ADF"/>
    <w:rsid w:val="000A3E20"/>
    <w:rsid w:val="000A46B9"/>
    <w:rsid w:val="000A4D92"/>
    <w:rsid w:val="000A50C1"/>
    <w:rsid w:val="000A536F"/>
    <w:rsid w:val="000A5BEB"/>
    <w:rsid w:val="000A658D"/>
    <w:rsid w:val="000A7E3A"/>
    <w:rsid w:val="000B14F0"/>
    <w:rsid w:val="000B35AA"/>
    <w:rsid w:val="000B3F5A"/>
    <w:rsid w:val="000B64B8"/>
    <w:rsid w:val="000C130B"/>
    <w:rsid w:val="000C2775"/>
    <w:rsid w:val="000C34C1"/>
    <w:rsid w:val="000C47C3"/>
    <w:rsid w:val="000C49F1"/>
    <w:rsid w:val="000C512C"/>
    <w:rsid w:val="000C60E0"/>
    <w:rsid w:val="000C7B5A"/>
    <w:rsid w:val="000D0D17"/>
    <w:rsid w:val="000D1EC0"/>
    <w:rsid w:val="000D2B45"/>
    <w:rsid w:val="000D31CD"/>
    <w:rsid w:val="000D4DE7"/>
    <w:rsid w:val="000D50C1"/>
    <w:rsid w:val="000D56E0"/>
    <w:rsid w:val="000D58AB"/>
    <w:rsid w:val="000D5EA3"/>
    <w:rsid w:val="000D5F38"/>
    <w:rsid w:val="000E0686"/>
    <w:rsid w:val="000E0EC4"/>
    <w:rsid w:val="000E0FB7"/>
    <w:rsid w:val="000E2E08"/>
    <w:rsid w:val="000E3893"/>
    <w:rsid w:val="000E6278"/>
    <w:rsid w:val="000E74AB"/>
    <w:rsid w:val="000F01B8"/>
    <w:rsid w:val="000F06B2"/>
    <w:rsid w:val="000F0EAD"/>
    <w:rsid w:val="000F16C1"/>
    <w:rsid w:val="000F22CB"/>
    <w:rsid w:val="000F2FBE"/>
    <w:rsid w:val="000F3455"/>
    <w:rsid w:val="000F68C3"/>
    <w:rsid w:val="00100253"/>
    <w:rsid w:val="001023D7"/>
    <w:rsid w:val="001032F3"/>
    <w:rsid w:val="00104BC6"/>
    <w:rsid w:val="00105674"/>
    <w:rsid w:val="00107896"/>
    <w:rsid w:val="00112BF4"/>
    <w:rsid w:val="001133AB"/>
    <w:rsid w:val="00114F8F"/>
    <w:rsid w:val="001152D7"/>
    <w:rsid w:val="001200B1"/>
    <w:rsid w:val="0012087C"/>
    <w:rsid w:val="0012090B"/>
    <w:rsid w:val="00122B1F"/>
    <w:rsid w:val="0012372A"/>
    <w:rsid w:val="00123ECB"/>
    <w:rsid w:val="00124EE8"/>
    <w:rsid w:val="00124FD7"/>
    <w:rsid w:val="00125821"/>
    <w:rsid w:val="00125BA7"/>
    <w:rsid w:val="00127E86"/>
    <w:rsid w:val="00130742"/>
    <w:rsid w:val="00133451"/>
    <w:rsid w:val="00133525"/>
    <w:rsid w:val="001339E1"/>
    <w:rsid w:val="00133AE1"/>
    <w:rsid w:val="0013414B"/>
    <w:rsid w:val="00136554"/>
    <w:rsid w:val="00136FA6"/>
    <w:rsid w:val="0013714F"/>
    <w:rsid w:val="001404AD"/>
    <w:rsid w:val="00141611"/>
    <w:rsid w:val="00143737"/>
    <w:rsid w:val="001451DE"/>
    <w:rsid w:val="00145453"/>
    <w:rsid w:val="00145FD8"/>
    <w:rsid w:val="00146EA0"/>
    <w:rsid w:val="00150382"/>
    <w:rsid w:val="00150836"/>
    <w:rsid w:val="00152B26"/>
    <w:rsid w:val="001536CD"/>
    <w:rsid w:val="00155E1F"/>
    <w:rsid w:val="001560B6"/>
    <w:rsid w:val="001579A6"/>
    <w:rsid w:val="00157FC7"/>
    <w:rsid w:val="001602BE"/>
    <w:rsid w:val="001609EF"/>
    <w:rsid w:val="001611DF"/>
    <w:rsid w:val="001642D7"/>
    <w:rsid w:val="00164A2C"/>
    <w:rsid w:val="001659B8"/>
    <w:rsid w:val="00167F1A"/>
    <w:rsid w:val="001707E3"/>
    <w:rsid w:val="00170D5C"/>
    <w:rsid w:val="001712BB"/>
    <w:rsid w:val="00171EAE"/>
    <w:rsid w:val="001723D0"/>
    <w:rsid w:val="00175496"/>
    <w:rsid w:val="001802C7"/>
    <w:rsid w:val="0018051C"/>
    <w:rsid w:val="00181BBB"/>
    <w:rsid w:val="00181F82"/>
    <w:rsid w:val="001823BF"/>
    <w:rsid w:val="00182F3E"/>
    <w:rsid w:val="001846B7"/>
    <w:rsid w:val="00186519"/>
    <w:rsid w:val="00187362"/>
    <w:rsid w:val="001901B5"/>
    <w:rsid w:val="00193A9B"/>
    <w:rsid w:val="001968E5"/>
    <w:rsid w:val="00196962"/>
    <w:rsid w:val="00196EAF"/>
    <w:rsid w:val="0019748B"/>
    <w:rsid w:val="001A1523"/>
    <w:rsid w:val="001A29F8"/>
    <w:rsid w:val="001A4A9A"/>
    <w:rsid w:val="001A4C42"/>
    <w:rsid w:val="001A5D00"/>
    <w:rsid w:val="001A608A"/>
    <w:rsid w:val="001B0980"/>
    <w:rsid w:val="001B1C40"/>
    <w:rsid w:val="001B345B"/>
    <w:rsid w:val="001B4A62"/>
    <w:rsid w:val="001B4ED7"/>
    <w:rsid w:val="001B77D8"/>
    <w:rsid w:val="001C1EC7"/>
    <w:rsid w:val="001C21C3"/>
    <w:rsid w:val="001C238C"/>
    <w:rsid w:val="001C41CE"/>
    <w:rsid w:val="001C4438"/>
    <w:rsid w:val="001C4B4E"/>
    <w:rsid w:val="001C51F8"/>
    <w:rsid w:val="001C5F1A"/>
    <w:rsid w:val="001C7542"/>
    <w:rsid w:val="001D02C2"/>
    <w:rsid w:val="001D165D"/>
    <w:rsid w:val="001D1BD7"/>
    <w:rsid w:val="001D46C3"/>
    <w:rsid w:val="001E1F91"/>
    <w:rsid w:val="001E349F"/>
    <w:rsid w:val="001E5822"/>
    <w:rsid w:val="001E5DC9"/>
    <w:rsid w:val="001E7EB8"/>
    <w:rsid w:val="001F086F"/>
    <w:rsid w:val="001F0C1D"/>
    <w:rsid w:val="001F1132"/>
    <w:rsid w:val="001F168B"/>
    <w:rsid w:val="001F1A1D"/>
    <w:rsid w:val="001F1F8F"/>
    <w:rsid w:val="001F2F62"/>
    <w:rsid w:val="001F4E95"/>
    <w:rsid w:val="001F602A"/>
    <w:rsid w:val="001F61DB"/>
    <w:rsid w:val="001F6FEF"/>
    <w:rsid w:val="002023B6"/>
    <w:rsid w:val="00203C41"/>
    <w:rsid w:val="00205ACA"/>
    <w:rsid w:val="00206799"/>
    <w:rsid w:val="00206BED"/>
    <w:rsid w:val="00207223"/>
    <w:rsid w:val="00207D30"/>
    <w:rsid w:val="0021047D"/>
    <w:rsid w:val="002108CE"/>
    <w:rsid w:val="00223880"/>
    <w:rsid w:val="00226222"/>
    <w:rsid w:val="00227ABB"/>
    <w:rsid w:val="0023097D"/>
    <w:rsid w:val="002315A5"/>
    <w:rsid w:val="002316BE"/>
    <w:rsid w:val="002317C5"/>
    <w:rsid w:val="00231F7B"/>
    <w:rsid w:val="00232834"/>
    <w:rsid w:val="002329A0"/>
    <w:rsid w:val="00233CDA"/>
    <w:rsid w:val="002347A2"/>
    <w:rsid w:val="00235E75"/>
    <w:rsid w:val="0023645E"/>
    <w:rsid w:val="002366A3"/>
    <w:rsid w:val="00240197"/>
    <w:rsid w:val="0024285C"/>
    <w:rsid w:val="00243D91"/>
    <w:rsid w:val="002450D8"/>
    <w:rsid w:val="00245ED0"/>
    <w:rsid w:val="00246739"/>
    <w:rsid w:val="00247926"/>
    <w:rsid w:val="00247A24"/>
    <w:rsid w:val="00247B38"/>
    <w:rsid w:val="002513AD"/>
    <w:rsid w:val="00253BAB"/>
    <w:rsid w:val="00253F4E"/>
    <w:rsid w:val="00253FE8"/>
    <w:rsid w:val="00256FCD"/>
    <w:rsid w:val="002574EC"/>
    <w:rsid w:val="00257889"/>
    <w:rsid w:val="00257DD8"/>
    <w:rsid w:val="00260C88"/>
    <w:rsid w:val="0026218D"/>
    <w:rsid w:val="00265884"/>
    <w:rsid w:val="00266BA8"/>
    <w:rsid w:val="0026732A"/>
    <w:rsid w:val="002675F0"/>
    <w:rsid w:val="002704B1"/>
    <w:rsid w:val="002718BD"/>
    <w:rsid w:val="00271908"/>
    <w:rsid w:val="0027353C"/>
    <w:rsid w:val="0027384C"/>
    <w:rsid w:val="00276EE4"/>
    <w:rsid w:val="002778FF"/>
    <w:rsid w:val="0028092A"/>
    <w:rsid w:val="00283FE9"/>
    <w:rsid w:val="00284FC8"/>
    <w:rsid w:val="0029138C"/>
    <w:rsid w:val="00293217"/>
    <w:rsid w:val="00293D1A"/>
    <w:rsid w:val="00293D3A"/>
    <w:rsid w:val="00294172"/>
    <w:rsid w:val="002954D8"/>
    <w:rsid w:val="00296765"/>
    <w:rsid w:val="002967D2"/>
    <w:rsid w:val="00296ABC"/>
    <w:rsid w:val="002973C2"/>
    <w:rsid w:val="00297A9D"/>
    <w:rsid w:val="00297EDE"/>
    <w:rsid w:val="002A295A"/>
    <w:rsid w:val="002A3AF6"/>
    <w:rsid w:val="002A4147"/>
    <w:rsid w:val="002A5128"/>
    <w:rsid w:val="002A5741"/>
    <w:rsid w:val="002A64D3"/>
    <w:rsid w:val="002A7569"/>
    <w:rsid w:val="002B1EFD"/>
    <w:rsid w:val="002B2391"/>
    <w:rsid w:val="002B34E7"/>
    <w:rsid w:val="002B5AFE"/>
    <w:rsid w:val="002B6339"/>
    <w:rsid w:val="002B6D37"/>
    <w:rsid w:val="002B74E8"/>
    <w:rsid w:val="002C37D7"/>
    <w:rsid w:val="002C43C3"/>
    <w:rsid w:val="002C52A2"/>
    <w:rsid w:val="002D1886"/>
    <w:rsid w:val="002D2057"/>
    <w:rsid w:val="002D375A"/>
    <w:rsid w:val="002D4494"/>
    <w:rsid w:val="002D506C"/>
    <w:rsid w:val="002D5328"/>
    <w:rsid w:val="002E00EE"/>
    <w:rsid w:val="002E05C2"/>
    <w:rsid w:val="002E2561"/>
    <w:rsid w:val="002E43D1"/>
    <w:rsid w:val="002E4EA8"/>
    <w:rsid w:val="002E5973"/>
    <w:rsid w:val="002E5C76"/>
    <w:rsid w:val="002E6E67"/>
    <w:rsid w:val="002E7463"/>
    <w:rsid w:val="002F057E"/>
    <w:rsid w:val="002F2CF6"/>
    <w:rsid w:val="002F4522"/>
    <w:rsid w:val="002F534A"/>
    <w:rsid w:val="002F553F"/>
    <w:rsid w:val="002F6258"/>
    <w:rsid w:val="002F6A3B"/>
    <w:rsid w:val="00300EB5"/>
    <w:rsid w:val="00304A66"/>
    <w:rsid w:val="003050AC"/>
    <w:rsid w:val="00305EAE"/>
    <w:rsid w:val="003100C8"/>
    <w:rsid w:val="0031034F"/>
    <w:rsid w:val="0031063C"/>
    <w:rsid w:val="00310690"/>
    <w:rsid w:val="00310DB2"/>
    <w:rsid w:val="0031249F"/>
    <w:rsid w:val="00313552"/>
    <w:rsid w:val="00313DC5"/>
    <w:rsid w:val="00313DE0"/>
    <w:rsid w:val="003157DB"/>
    <w:rsid w:val="003172DC"/>
    <w:rsid w:val="00321A8A"/>
    <w:rsid w:val="003228EA"/>
    <w:rsid w:val="003244F6"/>
    <w:rsid w:val="003261C8"/>
    <w:rsid w:val="00327856"/>
    <w:rsid w:val="00330C16"/>
    <w:rsid w:val="00331CA9"/>
    <w:rsid w:val="00332088"/>
    <w:rsid w:val="0033249E"/>
    <w:rsid w:val="003325AB"/>
    <w:rsid w:val="00333733"/>
    <w:rsid w:val="003337AD"/>
    <w:rsid w:val="0033425A"/>
    <w:rsid w:val="00335FCB"/>
    <w:rsid w:val="00340890"/>
    <w:rsid w:val="00340926"/>
    <w:rsid w:val="00343EEF"/>
    <w:rsid w:val="00344432"/>
    <w:rsid w:val="00344606"/>
    <w:rsid w:val="00345921"/>
    <w:rsid w:val="00345A40"/>
    <w:rsid w:val="00345F92"/>
    <w:rsid w:val="003477A5"/>
    <w:rsid w:val="003478E1"/>
    <w:rsid w:val="00351897"/>
    <w:rsid w:val="003520A7"/>
    <w:rsid w:val="00352341"/>
    <w:rsid w:val="003527B1"/>
    <w:rsid w:val="00352E88"/>
    <w:rsid w:val="0035462D"/>
    <w:rsid w:val="00354A7E"/>
    <w:rsid w:val="00354AFC"/>
    <w:rsid w:val="00356834"/>
    <w:rsid w:val="00360686"/>
    <w:rsid w:val="00360FA2"/>
    <w:rsid w:val="0036141E"/>
    <w:rsid w:val="00361BB6"/>
    <w:rsid w:val="003622A5"/>
    <w:rsid w:val="003631EB"/>
    <w:rsid w:val="0036611E"/>
    <w:rsid w:val="00366A6D"/>
    <w:rsid w:val="0037004F"/>
    <w:rsid w:val="003701AC"/>
    <w:rsid w:val="00370BB7"/>
    <w:rsid w:val="0037197D"/>
    <w:rsid w:val="00372597"/>
    <w:rsid w:val="00372E45"/>
    <w:rsid w:val="00373100"/>
    <w:rsid w:val="0037330B"/>
    <w:rsid w:val="003753AF"/>
    <w:rsid w:val="003765B8"/>
    <w:rsid w:val="00376C04"/>
    <w:rsid w:val="003776AE"/>
    <w:rsid w:val="00377BF5"/>
    <w:rsid w:val="00380281"/>
    <w:rsid w:val="0038066E"/>
    <w:rsid w:val="00381858"/>
    <w:rsid w:val="00381990"/>
    <w:rsid w:val="00382EF8"/>
    <w:rsid w:val="003843E6"/>
    <w:rsid w:val="00384639"/>
    <w:rsid w:val="00387B22"/>
    <w:rsid w:val="00394D23"/>
    <w:rsid w:val="00396185"/>
    <w:rsid w:val="003961CB"/>
    <w:rsid w:val="00397EA1"/>
    <w:rsid w:val="003A0414"/>
    <w:rsid w:val="003A0483"/>
    <w:rsid w:val="003A0B3D"/>
    <w:rsid w:val="003A6074"/>
    <w:rsid w:val="003B013A"/>
    <w:rsid w:val="003B3595"/>
    <w:rsid w:val="003B400D"/>
    <w:rsid w:val="003B4143"/>
    <w:rsid w:val="003B53DF"/>
    <w:rsid w:val="003B5784"/>
    <w:rsid w:val="003B6417"/>
    <w:rsid w:val="003B6684"/>
    <w:rsid w:val="003B7061"/>
    <w:rsid w:val="003B7FCF"/>
    <w:rsid w:val="003C13E2"/>
    <w:rsid w:val="003C244E"/>
    <w:rsid w:val="003C3971"/>
    <w:rsid w:val="003C3A79"/>
    <w:rsid w:val="003C498D"/>
    <w:rsid w:val="003C564B"/>
    <w:rsid w:val="003D080D"/>
    <w:rsid w:val="003D19E0"/>
    <w:rsid w:val="003D2F32"/>
    <w:rsid w:val="003D4705"/>
    <w:rsid w:val="003D4B13"/>
    <w:rsid w:val="003D5D30"/>
    <w:rsid w:val="003D6553"/>
    <w:rsid w:val="003D67FD"/>
    <w:rsid w:val="003E148E"/>
    <w:rsid w:val="003E2302"/>
    <w:rsid w:val="003E3CF2"/>
    <w:rsid w:val="003E4934"/>
    <w:rsid w:val="003E7651"/>
    <w:rsid w:val="003E7753"/>
    <w:rsid w:val="003E7D70"/>
    <w:rsid w:val="003F0253"/>
    <w:rsid w:val="003F10A2"/>
    <w:rsid w:val="003F1D6E"/>
    <w:rsid w:val="003F24A3"/>
    <w:rsid w:val="003F260B"/>
    <w:rsid w:val="003F27D4"/>
    <w:rsid w:val="003F27DA"/>
    <w:rsid w:val="003F2DDD"/>
    <w:rsid w:val="003F4864"/>
    <w:rsid w:val="003F68DA"/>
    <w:rsid w:val="003F7340"/>
    <w:rsid w:val="003F7F27"/>
    <w:rsid w:val="004016FE"/>
    <w:rsid w:val="004064EB"/>
    <w:rsid w:val="004065BD"/>
    <w:rsid w:val="004117CD"/>
    <w:rsid w:val="00411846"/>
    <w:rsid w:val="004127D9"/>
    <w:rsid w:val="00413124"/>
    <w:rsid w:val="00413528"/>
    <w:rsid w:val="00414216"/>
    <w:rsid w:val="004142CA"/>
    <w:rsid w:val="00414518"/>
    <w:rsid w:val="00416935"/>
    <w:rsid w:val="00420481"/>
    <w:rsid w:val="00420C77"/>
    <w:rsid w:val="004211F1"/>
    <w:rsid w:val="00421F35"/>
    <w:rsid w:val="00423334"/>
    <w:rsid w:val="00424356"/>
    <w:rsid w:val="00424FE0"/>
    <w:rsid w:val="00425F68"/>
    <w:rsid w:val="0042644D"/>
    <w:rsid w:val="004267DF"/>
    <w:rsid w:val="00426CF8"/>
    <w:rsid w:val="004302F3"/>
    <w:rsid w:val="00431772"/>
    <w:rsid w:val="004345EC"/>
    <w:rsid w:val="00440440"/>
    <w:rsid w:val="00442521"/>
    <w:rsid w:val="004439C2"/>
    <w:rsid w:val="0044429D"/>
    <w:rsid w:val="00444E20"/>
    <w:rsid w:val="004507F1"/>
    <w:rsid w:val="00454D81"/>
    <w:rsid w:val="00455F03"/>
    <w:rsid w:val="004601F7"/>
    <w:rsid w:val="00460FE4"/>
    <w:rsid w:val="00462636"/>
    <w:rsid w:val="004635FF"/>
    <w:rsid w:val="004645AC"/>
    <w:rsid w:val="004647B0"/>
    <w:rsid w:val="004647BD"/>
    <w:rsid w:val="004647C4"/>
    <w:rsid w:val="004648D3"/>
    <w:rsid w:val="0046613A"/>
    <w:rsid w:val="00466DBC"/>
    <w:rsid w:val="004712E9"/>
    <w:rsid w:val="0047280B"/>
    <w:rsid w:val="00473A1A"/>
    <w:rsid w:val="00475331"/>
    <w:rsid w:val="004759B8"/>
    <w:rsid w:val="00477FFD"/>
    <w:rsid w:val="00481E34"/>
    <w:rsid w:val="004826A9"/>
    <w:rsid w:val="00482CA3"/>
    <w:rsid w:val="00483A87"/>
    <w:rsid w:val="00485EB8"/>
    <w:rsid w:val="00486160"/>
    <w:rsid w:val="00486941"/>
    <w:rsid w:val="004877F2"/>
    <w:rsid w:val="00491418"/>
    <w:rsid w:val="00492184"/>
    <w:rsid w:val="00492441"/>
    <w:rsid w:val="00493D51"/>
    <w:rsid w:val="00494253"/>
    <w:rsid w:val="004A0F3A"/>
    <w:rsid w:val="004A225B"/>
    <w:rsid w:val="004A3C50"/>
    <w:rsid w:val="004A4600"/>
    <w:rsid w:val="004A634D"/>
    <w:rsid w:val="004B003A"/>
    <w:rsid w:val="004B1289"/>
    <w:rsid w:val="004B223C"/>
    <w:rsid w:val="004B25EE"/>
    <w:rsid w:val="004B2602"/>
    <w:rsid w:val="004B354A"/>
    <w:rsid w:val="004B5103"/>
    <w:rsid w:val="004B5884"/>
    <w:rsid w:val="004B632A"/>
    <w:rsid w:val="004B634D"/>
    <w:rsid w:val="004B6A9C"/>
    <w:rsid w:val="004B7D84"/>
    <w:rsid w:val="004C0509"/>
    <w:rsid w:val="004C1601"/>
    <w:rsid w:val="004C18F2"/>
    <w:rsid w:val="004C2C2C"/>
    <w:rsid w:val="004C4DCD"/>
    <w:rsid w:val="004C6E0D"/>
    <w:rsid w:val="004C6E27"/>
    <w:rsid w:val="004C6FBE"/>
    <w:rsid w:val="004C7B52"/>
    <w:rsid w:val="004D034A"/>
    <w:rsid w:val="004D3578"/>
    <w:rsid w:val="004D4001"/>
    <w:rsid w:val="004D40A9"/>
    <w:rsid w:val="004D43AC"/>
    <w:rsid w:val="004D4B30"/>
    <w:rsid w:val="004D5686"/>
    <w:rsid w:val="004D6E8D"/>
    <w:rsid w:val="004E05B7"/>
    <w:rsid w:val="004E1BB4"/>
    <w:rsid w:val="004E1FFB"/>
    <w:rsid w:val="004E213A"/>
    <w:rsid w:val="004E3119"/>
    <w:rsid w:val="004E323C"/>
    <w:rsid w:val="004E3505"/>
    <w:rsid w:val="004E5493"/>
    <w:rsid w:val="004E72B4"/>
    <w:rsid w:val="004F0988"/>
    <w:rsid w:val="004F1EEB"/>
    <w:rsid w:val="004F1F9A"/>
    <w:rsid w:val="004F3340"/>
    <w:rsid w:val="004F3E3D"/>
    <w:rsid w:val="004F60BA"/>
    <w:rsid w:val="004F624E"/>
    <w:rsid w:val="004F6680"/>
    <w:rsid w:val="004F72EC"/>
    <w:rsid w:val="004F7744"/>
    <w:rsid w:val="004F7F0A"/>
    <w:rsid w:val="0050054E"/>
    <w:rsid w:val="00500864"/>
    <w:rsid w:val="005020AC"/>
    <w:rsid w:val="005027E7"/>
    <w:rsid w:val="00503775"/>
    <w:rsid w:val="00504189"/>
    <w:rsid w:val="005056C9"/>
    <w:rsid w:val="005077EB"/>
    <w:rsid w:val="00507E83"/>
    <w:rsid w:val="00511B0A"/>
    <w:rsid w:val="0051480A"/>
    <w:rsid w:val="0051538A"/>
    <w:rsid w:val="005155EF"/>
    <w:rsid w:val="00515BB2"/>
    <w:rsid w:val="00515C37"/>
    <w:rsid w:val="00516403"/>
    <w:rsid w:val="00521C56"/>
    <w:rsid w:val="005244C8"/>
    <w:rsid w:val="005250C8"/>
    <w:rsid w:val="005265E0"/>
    <w:rsid w:val="00526671"/>
    <w:rsid w:val="00526CFF"/>
    <w:rsid w:val="00526E1F"/>
    <w:rsid w:val="005277AE"/>
    <w:rsid w:val="0053083C"/>
    <w:rsid w:val="00531ADC"/>
    <w:rsid w:val="00531FCF"/>
    <w:rsid w:val="00533050"/>
    <w:rsid w:val="0053388B"/>
    <w:rsid w:val="00533DCC"/>
    <w:rsid w:val="00533DE9"/>
    <w:rsid w:val="00535759"/>
    <w:rsid w:val="00535773"/>
    <w:rsid w:val="00535D41"/>
    <w:rsid w:val="00535F56"/>
    <w:rsid w:val="00536087"/>
    <w:rsid w:val="0053639B"/>
    <w:rsid w:val="00536F81"/>
    <w:rsid w:val="005371EF"/>
    <w:rsid w:val="00537630"/>
    <w:rsid w:val="00537AB4"/>
    <w:rsid w:val="00540914"/>
    <w:rsid w:val="0054214E"/>
    <w:rsid w:val="00543E6C"/>
    <w:rsid w:val="00544EBD"/>
    <w:rsid w:val="00545D43"/>
    <w:rsid w:val="005464A8"/>
    <w:rsid w:val="00551FC5"/>
    <w:rsid w:val="00552FF3"/>
    <w:rsid w:val="005530D3"/>
    <w:rsid w:val="0055382C"/>
    <w:rsid w:val="005561D1"/>
    <w:rsid w:val="00557DC3"/>
    <w:rsid w:val="00565087"/>
    <w:rsid w:val="00566BE2"/>
    <w:rsid w:val="00566F0E"/>
    <w:rsid w:val="00570DD5"/>
    <w:rsid w:val="005721BB"/>
    <w:rsid w:val="00572750"/>
    <w:rsid w:val="0057294F"/>
    <w:rsid w:val="00572E14"/>
    <w:rsid w:val="005741E8"/>
    <w:rsid w:val="00576D58"/>
    <w:rsid w:val="00580798"/>
    <w:rsid w:val="00581893"/>
    <w:rsid w:val="0058282B"/>
    <w:rsid w:val="005856CE"/>
    <w:rsid w:val="005866C9"/>
    <w:rsid w:val="0058752E"/>
    <w:rsid w:val="00590FFD"/>
    <w:rsid w:val="005911B3"/>
    <w:rsid w:val="00593137"/>
    <w:rsid w:val="00593896"/>
    <w:rsid w:val="00593990"/>
    <w:rsid w:val="00593DA4"/>
    <w:rsid w:val="00594924"/>
    <w:rsid w:val="00594BC9"/>
    <w:rsid w:val="0059516D"/>
    <w:rsid w:val="00595E75"/>
    <w:rsid w:val="00596FFF"/>
    <w:rsid w:val="005970E7"/>
    <w:rsid w:val="005973BE"/>
    <w:rsid w:val="005A02B7"/>
    <w:rsid w:val="005A126C"/>
    <w:rsid w:val="005A1C1C"/>
    <w:rsid w:val="005A2A65"/>
    <w:rsid w:val="005A3F5C"/>
    <w:rsid w:val="005A45D9"/>
    <w:rsid w:val="005A56E8"/>
    <w:rsid w:val="005A5986"/>
    <w:rsid w:val="005A6A5F"/>
    <w:rsid w:val="005A7113"/>
    <w:rsid w:val="005A7382"/>
    <w:rsid w:val="005A7621"/>
    <w:rsid w:val="005A7AFD"/>
    <w:rsid w:val="005B1366"/>
    <w:rsid w:val="005B5B10"/>
    <w:rsid w:val="005B7D52"/>
    <w:rsid w:val="005C00F7"/>
    <w:rsid w:val="005C0A9C"/>
    <w:rsid w:val="005C1B3E"/>
    <w:rsid w:val="005C2015"/>
    <w:rsid w:val="005C2252"/>
    <w:rsid w:val="005C36F8"/>
    <w:rsid w:val="005C3E99"/>
    <w:rsid w:val="005C6F1E"/>
    <w:rsid w:val="005D1519"/>
    <w:rsid w:val="005D17CF"/>
    <w:rsid w:val="005D1D51"/>
    <w:rsid w:val="005D2E01"/>
    <w:rsid w:val="005D4120"/>
    <w:rsid w:val="005D69E2"/>
    <w:rsid w:val="005D7526"/>
    <w:rsid w:val="005E0705"/>
    <w:rsid w:val="005E0A65"/>
    <w:rsid w:val="005E17CB"/>
    <w:rsid w:val="005E2535"/>
    <w:rsid w:val="005E26F5"/>
    <w:rsid w:val="005E47FF"/>
    <w:rsid w:val="005E6713"/>
    <w:rsid w:val="005E69AE"/>
    <w:rsid w:val="005F03B0"/>
    <w:rsid w:val="005F33A4"/>
    <w:rsid w:val="005F3D3E"/>
    <w:rsid w:val="005F5922"/>
    <w:rsid w:val="005F5FF0"/>
    <w:rsid w:val="00600C3E"/>
    <w:rsid w:val="00601905"/>
    <w:rsid w:val="00601A49"/>
    <w:rsid w:val="006024BC"/>
    <w:rsid w:val="00602AEA"/>
    <w:rsid w:val="0060311B"/>
    <w:rsid w:val="006032AD"/>
    <w:rsid w:val="00603942"/>
    <w:rsid w:val="00603A9E"/>
    <w:rsid w:val="00605EEC"/>
    <w:rsid w:val="00606265"/>
    <w:rsid w:val="00607429"/>
    <w:rsid w:val="00607E3C"/>
    <w:rsid w:val="00610910"/>
    <w:rsid w:val="00610CBE"/>
    <w:rsid w:val="00610E21"/>
    <w:rsid w:val="006120F0"/>
    <w:rsid w:val="00613E08"/>
    <w:rsid w:val="006144DF"/>
    <w:rsid w:val="00614FDF"/>
    <w:rsid w:val="006161C1"/>
    <w:rsid w:val="0061665D"/>
    <w:rsid w:val="0061762A"/>
    <w:rsid w:val="00621344"/>
    <w:rsid w:val="00622A93"/>
    <w:rsid w:val="00623AF2"/>
    <w:rsid w:val="006246A7"/>
    <w:rsid w:val="006249E8"/>
    <w:rsid w:val="0062595A"/>
    <w:rsid w:val="00625D55"/>
    <w:rsid w:val="0062602D"/>
    <w:rsid w:val="00627940"/>
    <w:rsid w:val="006302FC"/>
    <w:rsid w:val="00630F4E"/>
    <w:rsid w:val="006318C0"/>
    <w:rsid w:val="00632E7E"/>
    <w:rsid w:val="006337FE"/>
    <w:rsid w:val="00633E71"/>
    <w:rsid w:val="00634730"/>
    <w:rsid w:val="00634B50"/>
    <w:rsid w:val="0063543D"/>
    <w:rsid w:val="006367CD"/>
    <w:rsid w:val="00644843"/>
    <w:rsid w:val="00646C22"/>
    <w:rsid w:val="00647114"/>
    <w:rsid w:val="00647C55"/>
    <w:rsid w:val="00650BC1"/>
    <w:rsid w:val="00651717"/>
    <w:rsid w:val="00654D3E"/>
    <w:rsid w:val="006619E2"/>
    <w:rsid w:val="00662404"/>
    <w:rsid w:val="006638C0"/>
    <w:rsid w:val="00665EBE"/>
    <w:rsid w:val="00666762"/>
    <w:rsid w:val="006675E6"/>
    <w:rsid w:val="00667B0D"/>
    <w:rsid w:val="00667F31"/>
    <w:rsid w:val="00670496"/>
    <w:rsid w:val="006704EC"/>
    <w:rsid w:val="00670595"/>
    <w:rsid w:val="00670877"/>
    <w:rsid w:val="00670DA6"/>
    <w:rsid w:val="00671089"/>
    <w:rsid w:val="00672BC4"/>
    <w:rsid w:val="00672E51"/>
    <w:rsid w:val="0067634F"/>
    <w:rsid w:val="0067717F"/>
    <w:rsid w:val="00677E0D"/>
    <w:rsid w:val="00680D8B"/>
    <w:rsid w:val="00681DC1"/>
    <w:rsid w:val="0068207C"/>
    <w:rsid w:val="0068287E"/>
    <w:rsid w:val="0068291C"/>
    <w:rsid w:val="00682F42"/>
    <w:rsid w:val="006834F4"/>
    <w:rsid w:val="00683563"/>
    <w:rsid w:val="00685A7B"/>
    <w:rsid w:val="00685FB5"/>
    <w:rsid w:val="00687CAA"/>
    <w:rsid w:val="00690B2A"/>
    <w:rsid w:val="0069226A"/>
    <w:rsid w:val="0069226D"/>
    <w:rsid w:val="00695CB4"/>
    <w:rsid w:val="00697978"/>
    <w:rsid w:val="006A0851"/>
    <w:rsid w:val="006A0BB4"/>
    <w:rsid w:val="006A0CD3"/>
    <w:rsid w:val="006A13A8"/>
    <w:rsid w:val="006A26D7"/>
    <w:rsid w:val="006A279E"/>
    <w:rsid w:val="006A323F"/>
    <w:rsid w:val="006A421E"/>
    <w:rsid w:val="006A5ABB"/>
    <w:rsid w:val="006A5F2B"/>
    <w:rsid w:val="006A6160"/>
    <w:rsid w:val="006A6972"/>
    <w:rsid w:val="006B1014"/>
    <w:rsid w:val="006B10A9"/>
    <w:rsid w:val="006B1755"/>
    <w:rsid w:val="006B1A8E"/>
    <w:rsid w:val="006B22AE"/>
    <w:rsid w:val="006B30D0"/>
    <w:rsid w:val="006B3885"/>
    <w:rsid w:val="006B75C3"/>
    <w:rsid w:val="006B7A3F"/>
    <w:rsid w:val="006C0033"/>
    <w:rsid w:val="006C0661"/>
    <w:rsid w:val="006C23F1"/>
    <w:rsid w:val="006C32F5"/>
    <w:rsid w:val="006C3D95"/>
    <w:rsid w:val="006C70BE"/>
    <w:rsid w:val="006C7168"/>
    <w:rsid w:val="006D029A"/>
    <w:rsid w:val="006D052D"/>
    <w:rsid w:val="006D0E46"/>
    <w:rsid w:val="006D13A0"/>
    <w:rsid w:val="006D16B5"/>
    <w:rsid w:val="006D2B91"/>
    <w:rsid w:val="006D3151"/>
    <w:rsid w:val="006D43A6"/>
    <w:rsid w:val="006D45A7"/>
    <w:rsid w:val="006D4777"/>
    <w:rsid w:val="006D646C"/>
    <w:rsid w:val="006D65DE"/>
    <w:rsid w:val="006D6A91"/>
    <w:rsid w:val="006D713E"/>
    <w:rsid w:val="006D75A5"/>
    <w:rsid w:val="006D775B"/>
    <w:rsid w:val="006E17EE"/>
    <w:rsid w:val="006E44CF"/>
    <w:rsid w:val="006E5C86"/>
    <w:rsid w:val="006E79DC"/>
    <w:rsid w:val="006F0E21"/>
    <w:rsid w:val="006F27B6"/>
    <w:rsid w:val="006F27EE"/>
    <w:rsid w:val="006F5688"/>
    <w:rsid w:val="006F63DC"/>
    <w:rsid w:val="006F689A"/>
    <w:rsid w:val="006F73F1"/>
    <w:rsid w:val="006F788D"/>
    <w:rsid w:val="006F7ACF"/>
    <w:rsid w:val="006F7FBA"/>
    <w:rsid w:val="00700818"/>
    <w:rsid w:val="00700CDC"/>
    <w:rsid w:val="00700DE9"/>
    <w:rsid w:val="00701D6F"/>
    <w:rsid w:val="00701E3D"/>
    <w:rsid w:val="0070276C"/>
    <w:rsid w:val="00702DEA"/>
    <w:rsid w:val="00702F40"/>
    <w:rsid w:val="00703188"/>
    <w:rsid w:val="007037D0"/>
    <w:rsid w:val="0070758C"/>
    <w:rsid w:val="00707CF3"/>
    <w:rsid w:val="00711013"/>
    <w:rsid w:val="00713146"/>
    <w:rsid w:val="00713C44"/>
    <w:rsid w:val="00714223"/>
    <w:rsid w:val="00715490"/>
    <w:rsid w:val="007154C0"/>
    <w:rsid w:val="0071558E"/>
    <w:rsid w:val="00715995"/>
    <w:rsid w:val="00716678"/>
    <w:rsid w:val="00716B02"/>
    <w:rsid w:val="00716FAD"/>
    <w:rsid w:val="00720AD0"/>
    <w:rsid w:val="00721F55"/>
    <w:rsid w:val="007228F6"/>
    <w:rsid w:val="00722D26"/>
    <w:rsid w:val="00725A1A"/>
    <w:rsid w:val="00726EF5"/>
    <w:rsid w:val="007320D1"/>
    <w:rsid w:val="00732E98"/>
    <w:rsid w:val="007335A1"/>
    <w:rsid w:val="00733736"/>
    <w:rsid w:val="00734566"/>
    <w:rsid w:val="007345D3"/>
    <w:rsid w:val="00734A5B"/>
    <w:rsid w:val="0073541F"/>
    <w:rsid w:val="00736731"/>
    <w:rsid w:val="007368AE"/>
    <w:rsid w:val="0073690E"/>
    <w:rsid w:val="00737D7D"/>
    <w:rsid w:val="00737DB9"/>
    <w:rsid w:val="0074026F"/>
    <w:rsid w:val="007403F0"/>
    <w:rsid w:val="00740E0D"/>
    <w:rsid w:val="007429F6"/>
    <w:rsid w:val="00744148"/>
    <w:rsid w:val="00744E76"/>
    <w:rsid w:val="00746ED5"/>
    <w:rsid w:val="00750020"/>
    <w:rsid w:val="00752198"/>
    <w:rsid w:val="007522D2"/>
    <w:rsid w:val="0075242E"/>
    <w:rsid w:val="007537DE"/>
    <w:rsid w:val="00753881"/>
    <w:rsid w:val="0075447E"/>
    <w:rsid w:val="007548DA"/>
    <w:rsid w:val="00754AE1"/>
    <w:rsid w:val="0075501F"/>
    <w:rsid w:val="00762F58"/>
    <w:rsid w:val="007639E7"/>
    <w:rsid w:val="00763BBA"/>
    <w:rsid w:val="007650E6"/>
    <w:rsid w:val="007653AE"/>
    <w:rsid w:val="007656F8"/>
    <w:rsid w:val="00765CF6"/>
    <w:rsid w:val="00765D86"/>
    <w:rsid w:val="007662B4"/>
    <w:rsid w:val="00766F1F"/>
    <w:rsid w:val="00767064"/>
    <w:rsid w:val="007672D0"/>
    <w:rsid w:val="00767FA0"/>
    <w:rsid w:val="00770370"/>
    <w:rsid w:val="00770E5E"/>
    <w:rsid w:val="007713D4"/>
    <w:rsid w:val="007725D1"/>
    <w:rsid w:val="007738A4"/>
    <w:rsid w:val="00773A19"/>
    <w:rsid w:val="00774DA4"/>
    <w:rsid w:val="00774F1E"/>
    <w:rsid w:val="00775EFA"/>
    <w:rsid w:val="007764C2"/>
    <w:rsid w:val="007773E8"/>
    <w:rsid w:val="00781A53"/>
    <w:rsid w:val="00781D07"/>
    <w:rsid w:val="00781F0F"/>
    <w:rsid w:val="00782965"/>
    <w:rsid w:val="0078318F"/>
    <w:rsid w:val="00787853"/>
    <w:rsid w:val="00791222"/>
    <w:rsid w:val="007917AA"/>
    <w:rsid w:val="007923A1"/>
    <w:rsid w:val="00792BC0"/>
    <w:rsid w:val="00793392"/>
    <w:rsid w:val="00794B9F"/>
    <w:rsid w:val="00795D47"/>
    <w:rsid w:val="007A0324"/>
    <w:rsid w:val="007A115F"/>
    <w:rsid w:val="007A2BDB"/>
    <w:rsid w:val="007A315C"/>
    <w:rsid w:val="007A337A"/>
    <w:rsid w:val="007A5AAB"/>
    <w:rsid w:val="007A634D"/>
    <w:rsid w:val="007A6CA2"/>
    <w:rsid w:val="007A742C"/>
    <w:rsid w:val="007A7BA6"/>
    <w:rsid w:val="007B03EA"/>
    <w:rsid w:val="007B057D"/>
    <w:rsid w:val="007B05D4"/>
    <w:rsid w:val="007B16EC"/>
    <w:rsid w:val="007B263C"/>
    <w:rsid w:val="007B600E"/>
    <w:rsid w:val="007C08E3"/>
    <w:rsid w:val="007C1214"/>
    <w:rsid w:val="007C1AD8"/>
    <w:rsid w:val="007C2483"/>
    <w:rsid w:val="007C24D1"/>
    <w:rsid w:val="007C2EB4"/>
    <w:rsid w:val="007C42E3"/>
    <w:rsid w:val="007C5542"/>
    <w:rsid w:val="007C6640"/>
    <w:rsid w:val="007C7259"/>
    <w:rsid w:val="007C7412"/>
    <w:rsid w:val="007D1492"/>
    <w:rsid w:val="007D1834"/>
    <w:rsid w:val="007D1C06"/>
    <w:rsid w:val="007D414F"/>
    <w:rsid w:val="007D451F"/>
    <w:rsid w:val="007D495F"/>
    <w:rsid w:val="007D64A4"/>
    <w:rsid w:val="007D6D85"/>
    <w:rsid w:val="007D7A53"/>
    <w:rsid w:val="007E405D"/>
    <w:rsid w:val="007E4E58"/>
    <w:rsid w:val="007E7A9C"/>
    <w:rsid w:val="007E7E99"/>
    <w:rsid w:val="007F0F4A"/>
    <w:rsid w:val="007F1AC8"/>
    <w:rsid w:val="007F210D"/>
    <w:rsid w:val="007F23A8"/>
    <w:rsid w:val="007F2E01"/>
    <w:rsid w:val="007F3BC0"/>
    <w:rsid w:val="007F3D06"/>
    <w:rsid w:val="007F580A"/>
    <w:rsid w:val="007F72DE"/>
    <w:rsid w:val="008007D9"/>
    <w:rsid w:val="008014F5"/>
    <w:rsid w:val="0080275C"/>
    <w:rsid w:val="008028A4"/>
    <w:rsid w:val="00802901"/>
    <w:rsid w:val="00802D8C"/>
    <w:rsid w:val="00805E8A"/>
    <w:rsid w:val="008075CE"/>
    <w:rsid w:val="00811FF4"/>
    <w:rsid w:val="00812AD7"/>
    <w:rsid w:val="008139E9"/>
    <w:rsid w:val="00813EF0"/>
    <w:rsid w:val="008141FA"/>
    <w:rsid w:val="00815B1B"/>
    <w:rsid w:val="00820B25"/>
    <w:rsid w:val="00821CEA"/>
    <w:rsid w:val="00822184"/>
    <w:rsid w:val="00822A2A"/>
    <w:rsid w:val="00824333"/>
    <w:rsid w:val="00825C96"/>
    <w:rsid w:val="00826C15"/>
    <w:rsid w:val="00827062"/>
    <w:rsid w:val="0082719B"/>
    <w:rsid w:val="0082761D"/>
    <w:rsid w:val="00830747"/>
    <w:rsid w:val="00830829"/>
    <w:rsid w:val="008309F2"/>
    <w:rsid w:val="00832B15"/>
    <w:rsid w:val="0083621F"/>
    <w:rsid w:val="00836541"/>
    <w:rsid w:val="00841268"/>
    <w:rsid w:val="008424E7"/>
    <w:rsid w:val="0084384E"/>
    <w:rsid w:val="00843B82"/>
    <w:rsid w:val="00843D2B"/>
    <w:rsid w:val="00845BF2"/>
    <w:rsid w:val="0084712E"/>
    <w:rsid w:val="008502D4"/>
    <w:rsid w:val="00852B07"/>
    <w:rsid w:val="00852D2C"/>
    <w:rsid w:val="00853449"/>
    <w:rsid w:val="00853F31"/>
    <w:rsid w:val="00854AE6"/>
    <w:rsid w:val="00856811"/>
    <w:rsid w:val="0085784B"/>
    <w:rsid w:val="00860AFB"/>
    <w:rsid w:val="00861FF7"/>
    <w:rsid w:val="00862EC3"/>
    <w:rsid w:val="00863269"/>
    <w:rsid w:val="008640FB"/>
    <w:rsid w:val="00865CA4"/>
    <w:rsid w:val="00865DDB"/>
    <w:rsid w:val="00866564"/>
    <w:rsid w:val="008675CA"/>
    <w:rsid w:val="008676B6"/>
    <w:rsid w:val="00872018"/>
    <w:rsid w:val="00873765"/>
    <w:rsid w:val="00874E28"/>
    <w:rsid w:val="00875EC2"/>
    <w:rsid w:val="008763B3"/>
    <w:rsid w:val="008768CA"/>
    <w:rsid w:val="00877F82"/>
    <w:rsid w:val="00881585"/>
    <w:rsid w:val="0088271A"/>
    <w:rsid w:val="008851FB"/>
    <w:rsid w:val="0088522E"/>
    <w:rsid w:val="00885B16"/>
    <w:rsid w:val="0089002A"/>
    <w:rsid w:val="008904DB"/>
    <w:rsid w:val="00891D2D"/>
    <w:rsid w:val="00891D7A"/>
    <w:rsid w:val="0089246D"/>
    <w:rsid w:val="008929F3"/>
    <w:rsid w:val="008959E6"/>
    <w:rsid w:val="00895A10"/>
    <w:rsid w:val="00895ECE"/>
    <w:rsid w:val="00897030"/>
    <w:rsid w:val="00897CC6"/>
    <w:rsid w:val="008A1D54"/>
    <w:rsid w:val="008A311D"/>
    <w:rsid w:val="008A419C"/>
    <w:rsid w:val="008A4827"/>
    <w:rsid w:val="008A5E75"/>
    <w:rsid w:val="008A6038"/>
    <w:rsid w:val="008B0466"/>
    <w:rsid w:val="008B32C2"/>
    <w:rsid w:val="008B4D9E"/>
    <w:rsid w:val="008B513B"/>
    <w:rsid w:val="008B6464"/>
    <w:rsid w:val="008B64DA"/>
    <w:rsid w:val="008B64E7"/>
    <w:rsid w:val="008B697A"/>
    <w:rsid w:val="008C03F0"/>
    <w:rsid w:val="008C2C6C"/>
    <w:rsid w:val="008C2CF3"/>
    <w:rsid w:val="008C3098"/>
    <w:rsid w:val="008C3127"/>
    <w:rsid w:val="008C384C"/>
    <w:rsid w:val="008C4501"/>
    <w:rsid w:val="008C50B8"/>
    <w:rsid w:val="008C78CB"/>
    <w:rsid w:val="008C7B4D"/>
    <w:rsid w:val="008D0580"/>
    <w:rsid w:val="008D0940"/>
    <w:rsid w:val="008D158F"/>
    <w:rsid w:val="008D1E88"/>
    <w:rsid w:val="008D1F8C"/>
    <w:rsid w:val="008D31F5"/>
    <w:rsid w:val="008D383D"/>
    <w:rsid w:val="008D5675"/>
    <w:rsid w:val="008D577D"/>
    <w:rsid w:val="008D6A9B"/>
    <w:rsid w:val="008D6FC7"/>
    <w:rsid w:val="008E0463"/>
    <w:rsid w:val="008E1378"/>
    <w:rsid w:val="008E13B5"/>
    <w:rsid w:val="008E1FF8"/>
    <w:rsid w:val="008E2D4A"/>
    <w:rsid w:val="008E3954"/>
    <w:rsid w:val="008E4A2F"/>
    <w:rsid w:val="008E4EB9"/>
    <w:rsid w:val="008E51E3"/>
    <w:rsid w:val="008E7986"/>
    <w:rsid w:val="008F0727"/>
    <w:rsid w:val="008F123E"/>
    <w:rsid w:val="008F13C3"/>
    <w:rsid w:val="008F14C5"/>
    <w:rsid w:val="008F1963"/>
    <w:rsid w:val="008F331A"/>
    <w:rsid w:val="008F4449"/>
    <w:rsid w:val="008F4519"/>
    <w:rsid w:val="008F4DFB"/>
    <w:rsid w:val="008F5D10"/>
    <w:rsid w:val="008F694A"/>
    <w:rsid w:val="008F6E93"/>
    <w:rsid w:val="00900D6F"/>
    <w:rsid w:val="00901C92"/>
    <w:rsid w:val="0090271F"/>
    <w:rsid w:val="00902E23"/>
    <w:rsid w:val="00906D6D"/>
    <w:rsid w:val="009105D2"/>
    <w:rsid w:val="009107CB"/>
    <w:rsid w:val="00911239"/>
    <w:rsid w:val="009114D7"/>
    <w:rsid w:val="00911868"/>
    <w:rsid w:val="00912603"/>
    <w:rsid w:val="0091348E"/>
    <w:rsid w:val="0091383D"/>
    <w:rsid w:val="00915525"/>
    <w:rsid w:val="00916BC2"/>
    <w:rsid w:val="00917CCB"/>
    <w:rsid w:val="0092171B"/>
    <w:rsid w:val="00922558"/>
    <w:rsid w:val="0092488F"/>
    <w:rsid w:val="009249C2"/>
    <w:rsid w:val="009251DF"/>
    <w:rsid w:val="0092652F"/>
    <w:rsid w:val="00926846"/>
    <w:rsid w:val="0092700D"/>
    <w:rsid w:val="00935611"/>
    <w:rsid w:val="00935F19"/>
    <w:rsid w:val="00940D54"/>
    <w:rsid w:val="00940E1F"/>
    <w:rsid w:val="00941253"/>
    <w:rsid w:val="0094135E"/>
    <w:rsid w:val="0094205B"/>
    <w:rsid w:val="00942EC2"/>
    <w:rsid w:val="00944935"/>
    <w:rsid w:val="00946AB6"/>
    <w:rsid w:val="00947294"/>
    <w:rsid w:val="009510B7"/>
    <w:rsid w:val="0095112C"/>
    <w:rsid w:val="0095221C"/>
    <w:rsid w:val="00953258"/>
    <w:rsid w:val="009536FA"/>
    <w:rsid w:val="009557AC"/>
    <w:rsid w:val="009568A6"/>
    <w:rsid w:val="00956F25"/>
    <w:rsid w:val="009571C4"/>
    <w:rsid w:val="00957A2C"/>
    <w:rsid w:val="00962AFA"/>
    <w:rsid w:val="00963494"/>
    <w:rsid w:val="0096479E"/>
    <w:rsid w:val="00967219"/>
    <w:rsid w:val="0097058E"/>
    <w:rsid w:val="00970DDE"/>
    <w:rsid w:val="00972238"/>
    <w:rsid w:val="00972D6A"/>
    <w:rsid w:val="00973C07"/>
    <w:rsid w:val="00973F6E"/>
    <w:rsid w:val="00976417"/>
    <w:rsid w:val="00976917"/>
    <w:rsid w:val="00981FFE"/>
    <w:rsid w:val="009826B3"/>
    <w:rsid w:val="00984200"/>
    <w:rsid w:val="009852FF"/>
    <w:rsid w:val="009872EB"/>
    <w:rsid w:val="0099026F"/>
    <w:rsid w:val="00994730"/>
    <w:rsid w:val="00996113"/>
    <w:rsid w:val="00996594"/>
    <w:rsid w:val="00996BF2"/>
    <w:rsid w:val="00997281"/>
    <w:rsid w:val="009A194F"/>
    <w:rsid w:val="009A228E"/>
    <w:rsid w:val="009A29ED"/>
    <w:rsid w:val="009A2BFA"/>
    <w:rsid w:val="009A3AFC"/>
    <w:rsid w:val="009A6DA8"/>
    <w:rsid w:val="009B02D8"/>
    <w:rsid w:val="009B106B"/>
    <w:rsid w:val="009B34C5"/>
    <w:rsid w:val="009B379E"/>
    <w:rsid w:val="009B37C6"/>
    <w:rsid w:val="009B4E05"/>
    <w:rsid w:val="009B5FA1"/>
    <w:rsid w:val="009C128C"/>
    <w:rsid w:val="009C1778"/>
    <w:rsid w:val="009C4098"/>
    <w:rsid w:val="009C4BC2"/>
    <w:rsid w:val="009D2A34"/>
    <w:rsid w:val="009D5E7A"/>
    <w:rsid w:val="009E00AF"/>
    <w:rsid w:val="009E1465"/>
    <w:rsid w:val="009E18A7"/>
    <w:rsid w:val="009E2A8F"/>
    <w:rsid w:val="009E2BC6"/>
    <w:rsid w:val="009E55FD"/>
    <w:rsid w:val="009E5E7E"/>
    <w:rsid w:val="009E683F"/>
    <w:rsid w:val="009E6CD6"/>
    <w:rsid w:val="009E6E52"/>
    <w:rsid w:val="009E76AC"/>
    <w:rsid w:val="009F1642"/>
    <w:rsid w:val="009F23DD"/>
    <w:rsid w:val="009F2F62"/>
    <w:rsid w:val="009F37B7"/>
    <w:rsid w:val="009F39E4"/>
    <w:rsid w:val="009F4843"/>
    <w:rsid w:val="009F4850"/>
    <w:rsid w:val="009F4A81"/>
    <w:rsid w:val="009F532A"/>
    <w:rsid w:val="009F5E43"/>
    <w:rsid w:val="009F653F"/>
    <w:rsid w:val="009F6F20"/>
    <w:rsid w:val="009F7089"/>
    <w:rsid w:val="009F7347"/>
    <w:rsid w:val="009F7EB0"/>
    <w:rsid w:val="00A002C4"/>
    <w:rsid w:val="00A01D4A"/>
    <w:rsid w:val="00A03520"/>
    <w:rsid w:val="00A05B92"/>
    <w:rsid w:val="00A06295"/>
    <w:rsid w:val="00A06422"/>
    <w:rsid w:val="00A06C93"/>
    <w:rsid w:val="00A06D74"/>
    <w:rsid w:val="00A06F33"/>
    <w:rsid w:val="00A1046F"/>
    <w:rsid w:val="00A10F02"/>
    <w:rsid w:val="00A1122F"/>
    <w:rsid w:val="00A12D6F"/>
    <w:rsid w:val="00A13F96"/>
    <w:rsid w:val="00A1575E"/>
    <w:rsid w:val="00A15927"/>
    <w:rsid w:val="00A16444"/>
    <w:rsid w:val="00A164B4"/>
    <w:rsid w:val="00A16F12"/>
    <w:rsid w:val="00A1717C"/>
    <w:rsid w:val="00A17686"/>
    <w:rsid w:val="00A178D5"/>
    <w:rsid w:val="00A179BD"/>
    <w:rsid w:val="00A2021E"/>
    <w:rsid w:val="00A2152E"/>
    <w:rsid w:val="00A223AA"/>
    <w:rsid w:val="00A2312D"/>
    <w:rsid w:val="00A2361B"/>
    <w:rsid w:val="00A23DBE"/>
    <w:rsid w:val="00A246F9"/>
    <w:rsid w:val="00A260BD"/>
    <w:rsid w:val="00A26956"/>
    <w:rsid w:val="00A301CD"/>
    <w:rsid w:val="00A3271F"/>
    <w:rsid w:val="00A327A1"/>
    <w:rsid w:val="00A32AF0"/>
    <w:rsid w:val="00A33AD2"/>
    <w:rsid w:val="00A33D26"/>
    <w:rsid w:val="00A34AD4"/>
    <w:rsid w:val="00A364A2"/>
    <w:rsid w:val="00A36A3E"/>
    <w:rsid w:val="00A42751"/>
    <w:rsid w:val="00A4298D"/>
    <w:rsid w:val="00A42C78"/>
    <w:rsid w:val="00A443CE"/>
    <w:rsid w:val="00A446EC"/>
    <w:rsid w:val="00A4499E"/>
    <w:rsid w:val="00A44F41"/>
    <w:rsid w:val="00A45A0B"/>
    <w:rsid w:val="00A45AE6"/>
    <w:rsid w:val="00A45B26"/>
    <w:rsid w:val="00A47372"/>
    <w:rsid w:val="00A4743D"/>
    <w:rsid w:val="00A47671"/>
    <w:rsid w:val="00A477AA"/>
    <w:rsid w:val="00A47B6A"/>
    <w:rsid w:val="00A5067F"/>
    <w:rsid w:val="00A52721"/>
    <w:rsid w:val="00A52A73"/>
    <w:rsid w:val="00A53724"/>
    <w:rsid w:val="00A545B5"/>
    <w:rsid w:val="00A55310"/>
    <w:rsid w:val="00A56A5B"/>
    <w:rsid w:val="00A60300"/>
    <w:rsid w:val="00A611AD"/>
    <w:rsid w:val="00A6165E"/>
    <w:rsid w:val="00A6171D"/>
    <w:rsid w:val="00A62A0A"/>
    <w:rsid w:val="00A6476A"/>
    <w:rsid w:val="00A66054"/>
    <w:rsid w:val="00A665DC"/>
    <w:rsid w:val="00A6685D"/>
    <w:rsid w:val="00A6717A"/>
    <w:rsid w:val="00A7165F"/>
    <w:rsid w:val="00A716E8"/>
    <w:rsid w:val="00A72A35"/>
    <w:rsid w:val="00A73129"/>
    <w:rsid w:val="00A73779"/>
    <w:rsid w:val="00A74AA1"/>
    <w:rsid w:val="00A74FAB"/>
    <w:rsid w:val="00A758C6"/>
    <w:rsid w:val="00A75A83"/>
    <w:rsid w:val="00A761A4"/>
    <w:rsid w:val="00A7650B"/>
    <w:rsid w:val="00A765FF"/>
    <w:rsid w:val="00A77DB9"/>
    <w:rsid w:val="00A8010A"/>
    <w:rsid w:val="00A8130C"/>
    <w:rsid w:val="00A81444"/>
    <w:rsid w:val="00A814CB"/>
    <w:rsid w:val="00A817F1"/>
    <w:rsid w:val="00A81D3A"/>
    <w:rsid w:val="00A82346"/>
    <w:rsid w:val="00A839DB"/>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071F"/>
    <w:rsid w:val="00AA0EE7"/>
    <w:rsid w:val="00AA16A5"/>
    <w:rsid w:val="00AA2071"/>
    <w:rsid w:val="00AA3BD4"/>
    <w:rsid w:val="00AA3C99"/>
    <w:rsid w:val="00AA40A2"/>
    <w:rsid w:val="00AA5667"/>
    <w:rsid w:val="00AA70B5"/>
    <w:rsid w:val="00AB03E7"/>
    <w:rsid w:val="00AB277F"/>
    <w:rsid w:val="00AB6BDA"/>
    <w:rsid w:val="00AB7E21"/>
    <w:rsid w:val="00AC326E"/>
    <w:rsid w:val="00AC6343"/>
    <w:rsid w:val="00AC6BC6"/>
    <w:rsid w:val="00AD081C"/>
    <w:rsid w:val="00AD0968"/>
    <w:rsid w:val="00AD0B43"/>
    <w:rsid w:val="00AD3F96"/>
    <w:rsid w:val="00AD41DD"/>
    <w:rsid w:val="00AD5530"/>
    <w:rsid w:val="00AE0099"/>
    <w:rsid w:val="00AE1826"/>
    <w:rsid w:val="00AE1E47"/>
    <w:rsid w:val="00AE2688"/>
    <w:rsid w:val="00AE27BF"/>
    <w:rsid w:val="00AE3797"/>
    <w:rsid w:val="00AE387F"/>
    <w:rsid w:val="00AE4057"/>
    <w:rsid w:val="00AE421B"/>
    <w:rsid w:val="00AE53F4"/>
    <w:rsid w:val="00AE5F17"/>
    <w:rsid w:val="00AF2EE7"/>
    <w:rsid w:val="00AF3221"/>
    <w:rsid w:val="00AF474F"/>
    <w:rsid w:val="00AF58E2"/>
    <w:rsid w:val="00AF58F9"/>
    <w:rsid w:val="00B01CF7"/>
    <w:rsid w:val="00B02490"/>
    <w:rsid w:val="00B0337A"/>
    <w:rsid w:val="00B03B5E"/>
    <w:rsid w:val="00B0543A"/>
    <w:rsid w:val="00B06BC3"/>
    <w:rsid w:val="00B1129D"/>
    <w:rsid w:val="00B11E93"/>
    <w:rsid w:val="00B12B6F"/>
    <w:rsid w:val="00B15449"/>
    <w:rsid w:val="00B1579A"/>
    <w:rsid w:val="00B17447"/>
    <w:rsid w:val="00B20856"/>
    <w:rsid w:val="00B20BD9"/>
    <w:rsid w:val="00B20C41"/>
    <w:rsid w:val="00B20ED8"/>
    <w:rsid w:val="00B20FFE"/>
    <w:rsid w:val="00B21E86"/>
    <w:rsid w:val="00B236CC"/>
    <w:rsid w:val="00B2576F"/>
    <w:rsid w:val="00B271B7"/>
    <w:rsid w:val="00B306D3"/>
    <w:rsid w:val="00B30E95"/>
    <w:rsid w:val="00B3255A"/>
    <w:rsid w:val="00B3282C"/>
    <w:rsid w:val="00B32D9A"/>
    <w:rsid w:val="00B33BB2"/>
    <w:rsid w:val="00B34334"/>
    <w:rsid w:val="00B35A6A"/>
    <w:rsid w:val="00B36419"/>
    <w:rsid w:val="00B37241"/>
    <w:rsid w:val="00B3740A"/>
    <w:rsid w:val="00B4220D"/>
    <w:rsid w:val="00B423BE"/>
    <w:rsid w:val="00B427C2"/>
    <w:rsid w:val="00B43ADC"/>
    <w:rsid w:val="00B43DD5"/>
    <w:rsid w:val="00B441D1"/>
    <w:rsid w:val="00B44474"/>
    <w:rsid w:val="00B449E0"/>
    <w:rsid w:val="00B44A6E"/>
    <w:rsid w:val="00B45302"/>
    <w:rsid w:val="00B461B1"/>
    <w:rsid w:val="00B467E3"/>
    <w:rsid w:val="00B474C6"/>
    <w:rsid w:val="00B513B0"/>
    <w:rsid w:val="00B51AE6"/>
    <w:rsid w:val="00B5202D"/>
    <w:rsid w:val="00B529F0"/>
    <w:rsid w:val="00B537C8"/>
    <w:rsid w:val="00B557B6"/>
    <w:rsid w:val="00B55820"/>
    <w:rsid w:val="00B56382"/>
    <w:rsid w:val="00B5689A"/>
    <w:rsid w:val="00B57059"/>
    <w:rsid w:val="00B61020"/>
    <w:rsid w:val="00B63063"/>
    <w:rsid w:val="00B66F4E"/>
    <w:rsid w:val="00B67309"/>
    <w:rsid w:val="00B67762"/>
    <w:rsid w:val="00B67E05"/>
    <w:rsid w:val="00B70D6F"/>
    <w:rsid w:val="00B718E4"/>
    <w:rsid w:val="00B7326D"/>
    <w:rsid w:val="00B74A3A"/>
    <w:rsid w:val="00B7596F"/>
    <w:rsid w:val="00B7778C"/>
    <w:rsid w:val="00B77941"/>
    <w:rsid w:val="00B80E06"/>
    <w:rsid w:val="00B81363"/>
    <w:rsid w:val="00B825C9"/>
    <w:rsid w:val="00B83DC0"/>
    <w:rsid w:val="00B850E5"/>
    <w:rsid w:val="00B85DF8"/>
    <w:rsid w:val="00B85E13"/>
    <w:rsid w:val="00B87DB1"/>
    <w:rsid w:val="00B91812"/>
    <w:rsid w:val="00B921E1"/>
    <w:rsid w:val="00B92610"/>
    <w:rsid w:val="00B93086"/>
    <w:rsid w:val="00B935AE"/>
    <w:rsid w:val="00B93610"/>
    <w:rsid w:val="00B93CEE"/>
    <w:rsid w:val="00B95263"/>
    <w:rsid w:val="00B95610"/>
    <w:rsid w:val="00B95620"/>
    <w:rsid w:val="00B97220"/>
    <w:rsid w:val="00B97957"/>
    <w:rsid w:val="00BA13F1"/>
    <w:rsid w:val="00BA19ED"/>
    <w:rsid w:val="00BA300B"/>
    <w:rsid w:val="00BA42B5"/>
    <w:rsid w:val="00BA4499"/>
    <w:rsid w:val="00BA4B8D"/>
    <w:rsid w:val="00BA4F28"/>
    <w:rsid w:val="00BA672B"/>
    <w:rsid w:val="00BB0101"/>
    <w:rsid w:val="00BB09F3"/>
    <w:rsid w:val="00BB0AA2"/>
    <w:rsid w:val="00BB1427"/>
    <w:rsid w:val="00BB277C"/>
    <w:rsid w:val="00BB295A"/>
    <w:rsid w:val="00BB2F30"/>
    <w:rsid w:val="00BB38C0"/>
    <w:rsid w:val="00BB3B26"/>
    <w:rsid w:val="00BB3CA0"/>
    <w:rsid w:val="00BB45B4"/>
    <w:rsid w:val="00BB59EA"/>
    <w:rsid w:val="00BB6457"/>
    <w:rsid w:val="00BB73DD"/>
    <w:rsid w:val="00BC020D"/>
    <w:rsid w:val="00BC0F7D"/>
    <w:rsid w:val="00BC19BB"/>
    <w:rsid w:val="00BC1A40"/>
    <w:rsid w:val="00BC2F5A"/>
    <w:rsid w:val="00BC2F5C"/>
    <w:rsid w:val="00BC5006"/>
    <w:rsid w:val="00BC5EEE"/>
    <w:rsid w:val="00BD0EDC"/>
    <w:rsid w:val="00BD1C6D"/>
    <w:rsid w:val="00BD21A9"/>
    <w:rsid w:val="00BD22BA"/>
    <w:rsid w:val="00BD2691"/>
    <w:rsid w:val="00BD40FC"/>
    <w:rsid w:val="00BD4E4B"/>
    <w:rsid w:val="00BD71ED"/>
    <w:rsid w:val="00BE1086"/>
    <w:rsid w:val="00BE2F6C"/>
    <w:rsid w:val="00BE3255"/>
    <w:rsid w:val="00BE48FE"/>
    <w:rsid w:val="00BE4DFC"/>
    <w:rsid w:val="00BE5ED7"/>
    <w:rsid w:val="00BE6C0E"/>
    <w:rsid w:val="00BE7261"/>
    <w:rsid w:val="00BF049D"/>
    <w:rsid w:val="00BF128E"/>
    <w:rsid w:val="00BF1E91"/>
    <w:rsid w:val="00BF29FA"/>
    <w:rsid w:val="00BF4481"/>
    <w:rsid w:val="00BF58BD"/>
    <w:rsid w:val="00BF685D"/>
    <w:rsid w:val="00BF73CB"/>
    <w:rsid w:val="00BF7560"/>
    <w:rsid w:val="00C002E6"/>
    <w:rsid w:val="00C041D7"/>
    <w:rsid w:val="00C04AB4"/>
    <w:rsid w:val="00C05424"/>
    <w:rsid w:val="00C06E73"/>
    <w:rsid w:val="00C07653"/>
    <w:rsid w:val="00C10595"/>
    <w:rsid w:val="00C115DE"/>
    <w:rsid w:val="00C13379"/>
    <w:rsid w:val="00C1496A"/>
    <w:rsid w:val="00C14BC7"/>
    <w:rsid w:val="00C16046"/>
    <w:rsid w:val="00C16CB3"/>
    <w:rsid w:val="00C203C4"/>
    <w:rsid w:val="00C20AA8"/>
    <w:rsid w:val="00C20C48"/>
    <w:rsid w:val="00C20C4E"/>
    <w:rsid w:val="00C233B1"/>
    <w:rsid w:val="00C32A82"/>
    <w:rsid w:val="00C33079"/>
    <w:rsid w:val="00C3384F"/>
    <w:rsid w:val="00C339B0"/>
    <w:rsid w:val="00C365FA"/>
    <w:rsid w:val="00C377CA"/>
    <w:rsid w:val="00C37BC5"/>
    <w:rsid w:val="00C40C2D"/>
    <w:rsid w:val="00C42190"/>
    <w:rsid w:val="00C44A9E"/>
    <w:rsid w:val="00C44CAA"/>
    <w:rsid w:val="00C44ECE"/>
    <w:rsid w:val="00C45231"/>
    <w:rsid w:val="00C45F64"/>
    <w:rsid w:val="00C46FE9"/>
    <w:rsid w:val="00C4701C"/>
    <w:rsid w:val="00C50543"/>
    <w:rsid w:val="00C50DE9"/>
    <w:rsid w:val="00C564AC"/>
    <w:rsid w:val="00C57501"/>
    <w:rsid w:val="00C5766E"/>
    <w:rsid w:val="00C6010F"/>
    <w:rsid w:val="00C60713"/>
    <w:rsid w:val="00C61640"/>
    <w:rsid w:val="00C628BD"/>
    <w:rsid w:val="00C62F27"/>
    <w:rsid w:val="00C63335"/>
    <w:rsid w:val="00C636A6"/>
    <w:rsid w:val="00C63BF3"/>
    <w:rsid w:val="00C647FB"/>
    <w:rsid w:val="00C660AB"/>
    <w:rsid w:val="00C670D3"/>
    <w:rsid w:val="00C72833"/>
    <w:rsid w:val="00C731FC"/>
    <w:rsid w:val="00C738FB"/>
    <w:rsid w:val="00C74791"/>
    <w:rsid w:val="00C74BAE"/>
    <w:rsid w:val="00C76951"/>
    <w:rsid w:val="00C76D42"/>
    <w:rsid w:val="00C80F1D"/>
    <w:rsid w:val="00C81B1E"/>
    <w:rsid w:val="00C81E6E"/>
    <w:rsid w:val="00C842AA"/>
    <w:rsid w:val="00C86C09"/>
    <w:rsid w:val="00C87210"/>
    <w:rsid w:val="00C900D3"/>
    <w:rsid w:val="00C9138B"/>
    <w:rsid w:val="00C922F0"/>
    <w:rsid w:val="00C9269C"/>
    <w:rsid w:val="00C93647"/>
    <w:rsid w:val="00C938B8"/>
    <w:rsid w:val="00C93F40"/>
    <w:rsid w:val="00C94986"/>
    <w:rsid w:val="00C9499A"/>
    <w:rsid w:val="00C950EF"/>
    <w:rsid w:val="00C95342"/>
    <w:rsid w:val="00C955C5"/>
    <w:rsid w:val="00C95F55"/>
    <w:rsid w:val="00C962CD"/>
    <w:rsid w:val="00CA0126"/>
    <w:rsid w:val="00CA3D0C"/>
    <w:rsid w:val="00CA51AF"/>
    <w:rsid w:val="00CA5F06"/>
    <w:rsid w:val="00CB0DEE"/>
    <w:rsid w:val="00CB17C2"/>
    <w:rsid w:val="00CB22D1"/>
    <w:rsid w:val="00CB29D3"/>
    <w:rsid w:val="00CB2D02"/>
    <w:rsid w:val="00CB3073"/>
    <w:rsid w:val="00CB5251"/>
    <w:rsid w:val="00CB5391"/>
    <w:rsid w:val="00CB5485"/>
    <w:rsid w:val="00CB7409"/>
    <w:rsid w:val="00CC2205"/>
    <w:rsid w:val="00CC22D2"/>
    <w:rsid w:val="00CC3F1F"/>
    <w:rsid w:val="00CC4603"/>
    <w:rsid w:val="00CC5190"/>
    <w:rsid w:val="00CC585B"/>
    <w:rsid w:val="00CC6516"/>
    <w:rsid w:val="00CC66C9"/>
    <w:rsid w:val="00CC6E5B"/>
    <w:rsid w:val="00CC73F5"/>
    <w:rsid w:val="00CC7CA6"/>
    <w:rsid w:val="00CC7D46"/>
    <w:rsid w:val="00CD0539"/>
    <w:rsid w:val="00CD1099"/>
    <w:rsid w:val="00CD13F0"/>
    <w:rsid w:val="00CD26AA"/>
    <w:rsid w:val="00CD27D4"/>
    <w:rsid w:val="00CD5DB4"/>
    <w:rsid w:val="00CD5EA8"/>
    <w:rsid w:val="00CD65D8"/>
    <w:rsid w:val="00CD7E48"/>
    <w:rsid w:val="00CE0CA7"/>
    <w:rsid w:val="00CE1965"/>
    <w:rsid w:val="00CE2169"/>
    <w:rsid w:val="00CE2FAD"/>
    <w:rsid w:val="00CE417A"/>
    <w:rsid w:val="00CE4A78"/>
    <w:rsid w:val="00CE5962"/>
    <w:rsid w:val="00CE6B42"/>
    <w:rsid w:val="00CE6CB5"/>
    <w:rsid w:val="00CE75E5"/>
    <w:rsid w:val="00CF02CD"/>
    <w:rsid w:val="00CF20E3"/>
    <w:rsid w:val="00CF3390"/>
    <w:rsid w:val="00CF33C4"/>
    <w:rsid w:val="00CF3FB7"/>
    <w:rsid w:val="00CF4398"/>
    <w:rsid w:val="00CF55A8"/>
    <w:rsid w:val="00CF57F9"/>
    <w:rsid w:val="00CF623A"/>
    <w:rsid w:val="00CF6DC7"/>
    <w:rsid w:val="00CF7245"/>
    <w:rsid w:val="00CF7363"/>
    <w:rsid w:val="00CF751E"/>
    <w:rsid w:val="00CF7664"/>
    <w:rsid w:val="00CF7F03"/>
    <w:rsid w:val="00D004E5"/>
    <w:rsid w:val="00D01C0C"/>
    <w:rsid w:val="00D01CB0"/>
    <w:rsid w:val="00D02DB5"/>
    <w:rsid w:val="00D0306C"/>
    <w:rsid w:val="00D0463E"/>
    <w:rsid w:val="00D05F34"/>
    <w:rsid w:val="00D06A87"/>
    <w:rsid w:val="00D07126"/>
    <w:rsid w:val="00D0741A"/>
    <w:rsid w:val="00D07B9B"/>
    <w:rsid w:val="00D11598"/>
    <w:rsid w:val="00D137A3"/>
    <w:rsid w:val="00D13BD1"/>
    <w:rsid w:val="00D13E61"/>
    <w:rsid w:val="00D14FC5"/>
    <w:rsid w:val="00D15531"/>
    <w:rsid w:val="00D1577A"/>
    <w:rsid w:val="00D15F20"/>
    <w:rsid w:val="00D20016"/>
    <w:rsid w:val="00D20165"/>
    <w:rsid w:val="00D210E2"/>
    <w:rsid w:val="00D21EB4"/>
    <w:rsid w:val="00D22550"/>
    <w:rsid w:val="00D228C7"/>
    <w:rsid w:val="00D26AEA"/>
    <w:rsid w:val="00D30092"/>
    <w:rsid w:val="00D309CC"/>
    <w:rsid w:val="00D30B2D"/>
    <w:rsid w:val="00D344B0"/>
    <w:rsid w:val="00D34950"/>
    <w:rsid w:val="00D35C02"/>
    <w:rsid w:val="00D3659A"/>
    <w:rsid w:val="00D371F3"/>
    <w:rsid w:val="00D4016E"/>
    <w:rsid w:val="00D40457"/>
    <w:rsid w:val="00D40EA4"/>
    <w:rsid w:val="00D4140B"/>
    <w:rsid w:val="00D41805"/>
    <w:rsid w:val="00D422CC"/>
    <w:rsid w:val="00D43852"/>
    <w:rsid w:val="00D43ED3"/>
    <w:rsid w:val="00D44E79"/>
    <w:rsid w:val="00D45EE8"/>
    <w:rsid w:val="00D46431"/>
    <w:rsid w:val="00D465BE"/>
    <w:rsid w:val="00D47864"/>
    <w:rsid w:val="00D518E5"/>
    <w:rsid w:val="00D52656"/>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4B5"/>
    <w:rsid w:val="00D6454E"/>
    <w:rsid w:val="00D648AB"/>
    <w:rsid w:val="00D64C11"/>
    <w:rsid w:val="00D64E95"/>
    <w:rsid w:val="00D65180"/>
    <w:rsid w:val="00D6636C"/>
    <w:rsid w:val="00D66730"/>
    <w:rsid w:val="00D6673B"/>
    <w:rsid w:val="00D669A6"/>
    <w:rsid w:val="00D675A9"/>
    <w:rsid w:val="00D708EF"/>
    <w:rsid w:val="00D733AB"/>
    <w:rsid w:val="00D738D6"/>
    <w:rsid w:val="00D741FE"/>
    <w:rsid w:val="00D755E4"/>
    <w:rsid w:val="00D755EB"/>
    <w:rsid w:val="00D76EF8"/>
    <w:rsid w:val="00D8069A"/>
    <w:rsid w:val="00D8133A"/>
    <w:rsid w:val="00D83CF7"/>
    <w:rsid w:val="00D8623E"/>
    <w:rsid w:val="00D86CCA"/>
    <w:rsid w:val="00D87E00"/>
    <w:rsid w:val="00D905B3"/>
    <w:rsid w:val="00D90B37"/>
    <w:rsid w:val="00D9132F"/>
    <w:rsid w:val="00D9134D"/>
    <w:rsid w:val="00D91768"/>
    <w:rsid w:val="00D928E5"/>
    <w:rsid w:val="00D93B26"/>
    <w:rsid w:val="00D93C6C"/>
    <w:rsid w:val="00D95E53"/>
    <w:rsid w:val="00D96E06"/>
    <w:rsid w:val="00DA0303"/>
    <w:rsid w:val="00DA0E40"/>
    <w:rsid w:val="00DA175B"/>
    <w:rsid w:val="00DA2D8C"/>
    <w:rsid w:val="00DA411B"/>
    <w:rsid w:val="00DA4320"/>
    <w:rsid w:val="00DA4CD5"/>
    <w:rsid w:val="00DA6AB0"/>
    <w:rsid w:val="00DA7A03"/>
    <w:rsid w:val="00DA7E21"/>
    <w:rsid w:val="00DB0347"/>
    <w:rsid w:val="00DB1818"/>
    <w:rsid w:val="00DB2F2E"/>
    <w:rsid w:val="00DB69B0"/>
    <w:rsid w:val="00DC012A"/>
    <w:rsid w:val="00DC0310"/>
    <w:rsid w:val="00DC0B45"/>
    <w:rsid w:val="00DC0C1C"/>
    <w:rsid w:val="00DC309B"/>
    <w:rsid w:val="00DC3A20"/>
    <w:rsid w:val="00DC4DA2"/>
    <w:rsid w:val="00DC4F54"/>
    <w:rsid w:val="00DC5655"/>
    <w:rsid w:val="00DC6F29"/>
    <w:rsid w:val="00DC7941"/>
    <w:rsid w:val="00DD10E0"/>
    <w:rsid w:val="00DD2B0D"/>
    <w:rsid w:val="00DD31F9"/>
    <w:rsid w:val="00DD35B7"/>
    <w:rsid w:val="00DD3B77"/>
    <w:rsid w:val="00DD42F2"/>
    <w:rsid w:val="00DD4C17"/>
    <w:rsid w:val="00DD7459"/>
    <w:rsid w:val="00DD7DBA"/>
    <w:rsid w:val="00DE01A4"/>
    <w:rsid w:val="00DE0988"/>
    <w:rsid w:val="00DE1670"/>
    <w:rsid w:val="00DE2053"/>
    <w:rsid w:val="00DE48BB"/>
    <w:rsid w:val="00DE5882"/>
    <w:rsid w:val="00DE658D"/>
    <w:rsid w:val="00DF1618"/>
    <w:rsid w:val="00DF28BC"/>
    <w:rsid w:val="00DF2B1F"/>
    <w:rsid w:val="00DF2F1F"/>
    <w:rsid w:val="00DF3720"/>
    <w:rsid w:val="00DF6189"/>
    <w:rsid w:val="00DF62CD"/>
    <w:rsid w:val="00E00558"/>
    <w:rsid w:val="00E01598"/>
    <w:rsid w:val="00E03542"/>
    <w:rsid w:val="00E03E68"/>
    <w:rsid w:val="00E04B61"/>
    <w:rsid w:val="00E04D13"/>
    <w:rsid w:val="00E05CE3"/>
    <w:rsid w:val="00E05F92"/>
    <w:rsid w:val="00E06FF0"/>
    <w:rsid w:val="00E072A3"/>
    <w:rsid w:val="00E07F0F"/>
    <w:rsid w:val="00E10DBB"/>
    <w:rsid w:val="00E129D2"/>
    <w:rsid w:val="00E1509B"/>
    <w:rsid w:val="00E16509"/>
    <w:rsid w:val="00E169CF"/>
    <w:rsid w:val="00E20426"/>
    <w:rsid w:val="00E218B0"/>
    <w:rsid w:val="00E22308"/>
    <w:rsid w:val="00E22D3F"/>
    <w:rsid w:val="00E24D42"/>
    <w:rsid w:val="00E255F5"/>
    <w:rsid w:val="00E25CB4"/>
    <w:rsid w:val="00E26043"/>
    <w:rsid w:val="00E2622D"/>
    <w:rsid w:val="00E30D40"/>
    <w:rsid w:val="00E3104A"/>
    <w:rsid w:val="00E315F5"/>
    <w:rsid w:val="00E318DB"/>
    <w:rsid w:val="00E3192D"/>
    <w:rsid w:val="00E3300C"/>
    <w:rsid w:val="00E341B3"/>
    <w:rsid w:val="00E347FF"/>
    <w:rsid w:val="00E35041"/>
    <w:rsid w:val="00E357DE"/>
    <w:rsid w:val="00E37CDE"/>
    <w:rsid w:val="00E37DAC"/>
    <w:rsid w:val="00E4295C"/>
    <w:rsid w:val="00E42BBC"/>
    <w:rsid w:val="00E42DCB"/>
    <w:rsid w:val="00E4408A"/>
    <w:rsid w:val="00E44582"/>
    <w:rsid w:val="00E44628"/>
    <w:rsid w:val="00E44BF5"/>
    <w:rsid w:val="00E4751A"/>
    <w:rsid w:val="00E50039"/>
    <w:rsid w:val="00E51705"/>
    <w:rsid w:val="00E52814"/>
    <w:rsid w:val="00E54255"/>
    <w:rsid w:val="00E545E6"/>
    <w:rsid w:val="00E54AA7"/>
    <w:rsid w:val="00E56969"/>
    <w:rsid w:val="00E56B0F"/>
    <w:rsid w:val="00E57CAC"/>
    <w:rsid w:val="00E57CAD"/>
    <w:rsid w:val="00E61DE7"/>
    <w:rsid w:val="00E61EE9"/>
    <w:rsid w:val="00E6220E"/>
    <w:rsid w:val="00E63F36"/>
    <w:rsid w:val="00E64218"/>
    <w:rsid w:val="00E64FAA"/>
    <w:rsid w:val="00E65455"/>
    <w:rsid w:val="00E65682"/>
    <w:rsid w:val="00E65E13"/>
    <w:rsid w:val="00E669B1"/>
    <w:rsid w:val="00E67378"/>
    <w:rsid w:val="00E67BA6"/>
    <w:rsid w:val="00E707BD"/>
    <w:rsid w:val="00E7179A"/>
    <w:rsid w:val="00E71B62"/>
    <w:rsid w:val="00E72287"/>
    <w:rsid w:val="00E72324"/>
    <w:rsid w:val="00E72ABE"/>
    <w:rsid w:val="00E73613"/>
    <w:rsid w:val="00E73912"/>
    <w:rsid w:val="00E74B0C"/>
    <w:rsid w:val="00E7573F"/>
    <w:rsid w:val="00E767AA"/>
    <w:rsid w:val="00E76A34"/>
    <w:rsid w:val="00E76BEA"/>
    <w:rsid w:val="00E77645"/>
    <w:rsid w:val="00E776F7"/>
    <w:rsid w:val="00E77952"/>
    <w:rsid w:val="00E80189"/>
    <w:rsid w:val="00E8060F"/>
    <w:rsid w:val="00E806A6"/>
    <w:rsid w:val="00E80E35"/>
    <w:rsid w:val="00E80F1B"/>
    <w:rsid w:val="00E8142C"/>
    <w:rsid w:val="00E82087"/>
    <w:rsid w:val="00E8214B"/>
    <w:rsid w:val="00E8533D"/>
    <w:rsid w:val="00E86E52"/>
    <w:rsid w:val="00E90DAA"/>
    <w:rsid w:val="00E95B0C"/>
    <w:rsid w:val="00E95F76"/>
    <w:rsid w:val="00E96CED"/>
    <w:rsid w:val="00E97DA6"/>
    <w:rsid w:val="00E97E34"/>
    <w:rsid w:val="00EA0C19"/>
    <w:rsid w:val="00EA3753"/>
    <w:rsid w:val="00EA37D7"/>
    <w:rsid w:val="00EA49D1"/>
    <w:rsid w:val="00EA50FA"/>
    <w:rsid w:val="00EA6C6A"/>
    <w:rsid w:val="00EA71FD"/>
    <w:rsid w:val="00EA7752"/>
    <w:rsid w:val="00EA7CBD"/>
    <w:rsid w:val="00EB09EC"/>
    <w:rsid w:val="00EB188A"/>
    <w:rsid w:val="00EB263E"/>
    <w:rsid w:val="00EB3650"/>
    <w:rsid w:val="00EB3822"/>
    <w:rsid w:val="00EB438C"/>
    <w:rsid w:val="00EB442F"/>
    <w:rsid w:val="00EB5B83"/>
    <w:rsid w:val="00EB6386"/>
    <w:rsid w:val="00EB7354"/>
    <w:rsid w:val="00EC1D47"/>
    <w:rsid w:val="00EC23B7"/>
    <w:rsid w:val="00EC4A25"/>
    <w:rsid w:val="00ED0A66"/>
    <w:rsid w:val="00ED1BD6"/>
    <w:rsid w:val="00ED3DD3"/>
    <w:rsid w:val="00ED473C"/>
    <w:rsid w:val="00ED6616"/>
    <w:rsid w:val="00ED77BD"/>
    <w:rsid w:val="00ED7AEA"/>
    <w:rsid w:val="00EE34B4"/>
    <w:rsid w:val="00EE3D6E"/>
    <w:rsid w:val="00EE3FC6"/>
    <w:rsid w:val="00EE4836"/>
    <w:rsid w:val="00EE5419"/>
    <w:rsid w:val="00EE5618"/>
    <w:rsid w:val="00EE5AA7"/>
    <w:rsid w:val="00EE6A75"/>
    <w:rsid w:val="00EE6D8A"/>
    <w:rsid w:val="00EF0EB0"/>
    <w:rsid w:val="00EF0FF3"/>
    <w:rsid w:val="00EF2A5B"/>
    <w:rsid w:val="00EF2E9D"/>
    <w:rsid w:val="00EF3D3E"/>
    <w:rsid w:val="00EF4478"/>
    <w:rsid w:val="00EF4C60"/>
    <w:rsid w:val="00EF6C12"/>
    <w:rsid w:val="00F025A2"/>
    <w:rsid w:val="00F0292B"/>
    <w:rsid w:val="00F03152"/>
    <w:rsid w:val="00F04712"/>
    <w:rsid w:val="00F04CE1"/>
    <w:rsid w:val="00F05C37"/>
    <w:rsid w:val="00F069AF"/>
    <w:rsid w:val="00F06D17"/>
    <w:rsid w:val="00F0730C"/>
    <w:rsid w:val="00F10DF0"/>
    <w:rsid w:val="00F169DB"/>
    <w:rsid w:val="00F176D8"/>
    <w:rsid w:val="00F209F3"/>
    <w:rsid w:val="00F20E92"/>
    <w:rsid w:val="00F21311"/>
    <w:rsid w:val="00F22812"/>
    <w:rsid w:val="00F22EC7"/>
    <w:rsid w:val="00F2407E"/>
    <w:rsid w:val="00F25C01"/>
    <w:rsid w:val="00F263AE"/>
    <w:rsid w:val="00F316E9"/>
    <w:rsid w:val="00F31AE1"/>
    <w:rsid w:val="00F31B97"/>
    <w:rsid w:val="00F325C8"/>
    <w:rsid w:val="00F3466B"/>
    <w:rsid w:val="00F35AD8"/>
    <w:rsid w:val="00F37DA3"/>
    <w:rsid w:val="00F40F96"/>
    <w:rsid w:val="00F4140D"/>
    <w:rsid w:val="00F4341C"/>
    <w:rsid w:val="00F4364A"/>
    <w:rsid w:val="00F43AB8"/>
    <w:rsid w:val="00F45260"/>
    <w:rsid w:val="00F4599B"/>
    <w:rsid w:val="00F5056F"/>
    <w:rsid w:val="00F509FB"/>
    <w:rsid w:val="00F5250F"/>
    <w:rsid w:val="00F52A38"/>
    <w:rsid w:val="00F53827"/>
    <w:rsid w:val="00F55388"/>
    <w:rsid w:val="00F55A56"/>
    <w:rsid w:val="00F55C1A"/>
    <w:rsid w:val="00F572B9"/>
    <w:rsid w:val="00F60BD0"/>
    <w:rsid w:val="00F613C3"/>
    <w:rsid w:val="00F62AEB"/>
    <w:rsid w:val="00F62C35"/>
    <w:rsid w:val="00F62DFB"/>
    <w:rsid w:val="00F653B8"/>
    <w:rsid w:val="00F66754"/>
    <w:rsid w:val="00F671FF"/>
    <w:rsid w:val="00F67778"/>
    <w:rsid w:val="00F67EF5"/>
    <w:rsid w:val="00F70647"/>
    <w:rsid w:val="00F729E9"/>
    <w:rsid w:val="00F72E46"/>
    <w:rsid w:val="00F75192"/>
    <w:rsid w:val="00F75A73"/>
    <w:rsid w:val="00F76275"/>
    <w:rsid w:val="00F763C2"/>
    <w:rsid w:val="00F77CBD"/>
    <w:rsid w:val="00F808AF"/>
    <w:rsid w:val="00F81B99"/>
    <w:rsid w:val="00F81D8D"/>
    <w:rsid w:val="00F82B61"/>
    <w:rsid w:val="00F82ED9"/>
    <w:rsid w:val="00F842BD"/>
    <w:rsid w:val="00F84751"/>
    <w:rsid w:val="00F84F0B"/>
    <w:rsid w:val="00F8549F"/>
    <w:rsid w:val="00F862EC"/>
    <w:rsid w:val="00F90A63"/>
    <w:rsid w:val="00F90C88"/>
    <w:rsid w:val="00F90DFB"/>
    <w:rsid w:val="00F91C09"/>
    <w:rsid w:val="00F92D24"/>
    <w:rsid w:val="00F93096"/>
    <w:rsid w:val="00F930E6"/>
    <w:rsid w:val="00F93537"/>
    <w:rsid w:val="00F9556C"/>
    <w:rsid w:val="00F960F4"/>
    <w:rsid w:val="00F96730"/>
    <w:rsid w:val="00F96C7F"/>
    <w:rsid w:val="00F96EDA"/>
    <w:rsid w:val="00F97B58"/>
    <w:rsid w:val="00FA09A6"/>
    <w:rsid w:val="00FA0D4A"/>
    <w:rsid w:val="00FA1266"/>
    <w:rsid w:val="00FA192D"/>
    <w:rsid w:val="00FA1B3F"/>
    <w:rsid w:val="00FA2236"/>
    <w:rsid w:val="00FA400D"/>
    <w:rsid w:val="00FA4B38"/>
    <w:rsid w:val="00FA5C0A"/>
    <w:rsid w:val="00FA5FF0"/>
    <w:rsid w:val="00FA6205"/>
    <w:rsid w:val="00FA6D73"/>
    <w:rsid w:val="00FA7BE5"/>
    <w:rsid w:val="00FB02B3"/>
    <w:rsid w:val="00FB0E64"/>
    <w:rsid w:val="00FB10CB"/>
    <w:rsid w:val="00FB1159"/>
    <w:rsid w:val="00FB254A"/>
    <w:rsid w:val="00FB31CA"/>
    <w:rsid w:val="00FB49CF"/>
    <w:rsid w:val="00FB5B94"/>
    <w:rsid w:val="00FB5BE6"/>
    <w:rsid w:val="00FB6929"/>
    <w:rsid w:val="00FC1192"/>
    <w:rsid w:val="00FC3E66"/>
    <w:rsid w:val="00FC4484"/>
    <w:rsid w:val="00FC584D"/>
    <w:rsid w:val="00FC791B"/>
    <w:rsid w:val="00FD19DC"/>
    <w:rsid w:val="00FD1D11"/>
    <w:rsid w:val="00FD2C82"/>
    <w:rsid w:val="00FD3075"/>
    <w:rsid w:val="00FD3E42"/>
    <w:rsid w:val="00FD4162"/>
    <w:rsid w:val="00FD4ECE"/>
    <w:rsid w:val="00FD5D83"/>
    <w:rsid w:val="00FE2D7D"/>
    <w:rsid w:val="00FE4333"/>
    <w:rsid w:val="00FE44D7"/>
    <w:rsid w:val="00FE48C1"/>
    <w:rsid w:val="00FE51CE"/>
    <w:rsid w:val="00FE6025"/>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31716-A3B0-4B15-9058-9CA54FC3879A}">
  <ds:schemaRef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ec27805-09a8-40a2-bd80-053a1fed723f"/>
    <ds:schemaRef ds:uri="http://www.w3.org/XML/1998/namespace"/>
    <ds:schemaRef ds:uri="http://purl.org/dc/dcmitype/"/>
  </ds:schemaRefs>
</ds:datastoreItem>
</file>

<file path=customXml/itemProps4.xml><?xml version="1.0" encoding="utf-8"?>
<ds:datastoreItem xmlns:ds="http://schemas.openxmlformats.org/officeDocument/2006/customXml" ds:itemID="{4B2B8A04-4528-4B35-B43F-8B63D336CF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2328</Words>
  <Characters>11026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Mark.A.Lehne@intel.com</dc:creator>
  <cp:keywords/>
  <dc:description/>
  <cp:lastModifiedBy>Lehne, Mark A</cp:lastModifiedBy>
  <cp:revision>4</cp:revision>
  <cp:lastPrinted>2019-02-25T14:05:00Z</cp:lastPrinted>
  <dcterms:created xsi:type="dcterms:W3CDTF">2022-01-10T18:57:00Z</dcterms:created>
  <dcterms:modified xsi:type="dcterms:W3CDTF">2022-01-10T19:47:00Z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