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9F480F" w:rsidRPr="009F480F">
        <w:rPr>
          <w:rFonts w:cs="Arial"/>
          <w:sz w:val="24"/>
          <w:szCs w:val="24"/>
        </w:rPr>
        <w:t>R4-2114098</w:t>
      </w:r>
      <w:bookmarkStart w:id="2" w:name="_GoBack"/>
      <w:bookmarkEnd w:id="2"/>
    </w:p>
    <w:p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D4EF9">
        <w:rPr>
          <w:rFonts w:ascii="Arial" w:hAnsi="Arial"/>
          <w:sz w:val="24"/>
          <w:lang w:val="en-US"/>
        </w:rPr>
        <w:t>5.1.8</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600F0">
        <w:rPr>
          <w:rFonts w:ascii="Arial" w:hAnsi="Arial"/>
          <w:sz w:val="24"/>
          <w:lang w:val="en-US"/>
        </w:rPr>
        <w:t>Discussion on RRM performance maintenance</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3657FC" w:rsidRPr="00CE23E6" w:rsidRDefault="003657FC" w:rsidP="00DF0231">
      <w:pPr>
        <w:rPr>
          <w:rFonts w:eastAsiaTheme="minorEastAsia"/>
          <w:sz w:val="21"/>
          <w:lang w:val="en-US" w:eastAsia="zh-CN"/>
        </w:rPr>
      </w:pPr>
      <w:r w:rsidRPr="00CE23E6">
        <w:rPr>
          <w:rFonts w:eastAsiaTheme="minorEastAsia"/>
          <w:sz w:val="21"/>
          <w:lang w:val="en-US" w:eastAsia="zh-CN"/>
        </w:rPr>
        <w:t>In the last RAN4 meeting, the issues related to RRM test cases were discussed. The agreements and pending issues are summarized in the WF [1]. In this paper, we further provide our views on the remaining issues.</w:t>
      </w:r>
    </w:p>
    <w:p w:rsidR="00DF0231" w:rsidRDefault="00DF0231" w:rsidP="00DF0231">
      <w:pPr>
        <w:pStyle w:val="1"/>
        <w:numPr>
          <w:ilvl w:val="0"/>
          <w:numId w:val="1"/>
        </w:numPr>
        <w:rPr>
          <w:lang w:val="en-US"/>
        </w:rPr>
      </w:pPr>
      <w:r w:rsidRPr="002D2977">
        <w:rPr>
          <w:lang w:val="en-US"/>
        </w:rPr>
        <w:t>Discussion</w:t>
      </w:r>
    </w:p>
    <w:p w:rsidR="003657FC" w:rsidRPr="004A22ED" w:rsidRDefault="003657FC" w:rsidP="004A22ED">
      <w:pPr>
        <w:pStyle w:val="3"/>
        <w:rPr>
          <w:lang w:val="en-US" w:eastAsia="zh-CN"/>
        </w:rPr>
      </w:pPr>
      <w:r>
        <w:rPr>
          <w:lang w:val="en-US" w:eastAsia="zh-CN"/>
        </w:rPr>
        <w:t xml:space="preserve">2.1 </w:t>
      </w:r>
      <w:r w:rsidRPr="004A22ED">
        <w:rPr>
          <w:lang w:val="en-US" w:eastAsia="zh-CN"/>
        </w:rPr>
        <w:t>C</w:t>
      </w:r>
      <w:r w:rsidRPr="004A22ED">
        <w:rPr>
          <w:rFonts w:hint="eastAsia"/>
          <w:lang w:val="en-US" w:eastAsia="zh-CN"/>
        </w:rPr>
        <w:t>B</w:t>
      </w:r>
      <w:r w:rsidRPr="004A22ED">
        <w:rPr>
          <w:lang w:val="en-US" w:eastAsia="zh-CN"/>
        </w:rPr>
        <w:t xml:space="preserve">W configuration shortage </w:t>
      </w:r>
    </w:p>
    <w:p w:rsidR="003657FC" w:rsidRDefault="003657FC" w:rsidP="004F344B">
      <w:pPr>
        <w:rPr>
          <w:rFonts w:eastAsiaTheme="minorEastAsia"/>
          <w:lang w:val="en-US" w:eastAsia="zh-CN"/>
        </w:rPr>
      </w:pPr>
      <w:r w:rsidRPr="007E3BD5">
        <w:rPr>
          <w:rFonts w:eastAsiaTheme="minorEastAsia"/>
          <w:lang w:val="en-US" w:eastAsia="zh-CN"/>
        </w:rPr>
        <w:t xml:space="preserve">The issue of CBW configuration shortage is identified </w:t>
      </w:r>
      <w:r w:rsidR="004A22ED">
        <w:rPr>
          <w:rFonts w:eastAsiaTheme="minorEastAsia"/>
          <w:lang w:val="en-US" w:eastAsia="zh-CN"/>
        </w:rPr>
        <w:t xml:space="preserve">in the last meeting [2], and the potential way forward are captured in [1]. It was identified that for some band combinations, there </w:t>
      </w:r>
      <w:r w:rsidR="00CE23E6">
        <w:rPr>
          <w:rFonts w:eastAsiaTheme="minorEastAsia"/>
          <w:lang w:val="en-US" w:eastAsia="zh-CN"/>
        </w:rPr>
        <w:t>are</w:t>
      </w:r>
      <w:r w:rsidR="004A22ED">
        <w:rPr>
          <w:rFonts w:eastAsiaTheme="minorEastAsia"/>
          <w:lang w:val="en-US" w:eastAsia="zh-CN"/>
        </w:rPr>
        <w:t xml:space="preserve"> no corresponding CBW configurations in the test cases</w:t>
      </w:r>
      <w:r w:rsidR="00704CE7">
        <w:rPr>
          <w:rFonts w:eastAsiaTheme="minorEastAsia"/>
          <w:lang w:val="en-US" w:eastAsia="zh-CN"/>
        </w:rPr>
        <w:t xml:space="preserve">. For instance, for CA_n41C with two CCs and the aggregated CBW larger than 100 MHz. Currently, there is only 10 MHz </w:t>
      </w:r>
      <w:r w:rsidR="00CE23E6">
        <w:rPr>
          <w:rFonts w:eastAsiaTheme="minorEastAsia"/>
          <w:lang w:val="en-US" w:eastAsia="zh-CN"/>
        </w:rPr>
        <w:t xml:space="preserve">CBW </w:t>
      </w:r>
      <w:r w:rsidR="00704CE7">
        <w:rPr>
          <w:rFonts w:eastAsiaTheme="minorEastAsia"/>
          <w:lang w:val="en-US" w:eastAsia="zh-CN"/>
        </w:rPr>
        <w:t xml:space="preserve">for 15 kHz SCS and 40 MHz </w:t>
      </w:r>
      <w:r w:rsidR="00CE23E6">
        <w:rPr>
          <w:rFonts w:eastAsiaTheme="minorEastAsia"/>
          <w:lang w:val="en-US" w:eastAsia="zh-CN"/>
        </w:rPr>
        <w:t xml:space="preserve">CBW </w:t>
      </w:r>
      <w:r w:rsidR="00704CE7">
        <w:rPr>
          <w:rFonts w:eastAsiaTheme="minorEastAsia"/>
          <w:lang w:val="en-US" w:eastAsia="zh-CN"/>
        </w:rPr>
        <w:t xml:space="preserve">for 30 kHz which cannot support the </w:t>
      </w:r>
      <w:r w:rsidR="00CE23E6">
        <w:rPr>
          <w:rFonts w:eastAsiaTheme="minorEastAsia"/>
          <w:lang w:val="en-US" w:eastAsia="zh-CN"/>
        </w:rPr>
        <w:t>CA bandwidth class C. The issue</w:t>
      </w:r>
      <w:r w:rsidR="00704CE7">
        <w:rPr>
          <w:rFonts w:eastAsiaTheme="minorEastAsia"/>
          <w:lang w:val="en-US" w:eastAsia="zh-CN"/>
        </w:rPr>
        <w:t xml:space="preserve"> was discussed and recognized that it should be fixed to support such band combination to </w:t>
      </w:r>
      <w:r w:rsidR="00CE23E6">
        <w:rPr>
          <w:rFonts w:eastAsiaTheme="minorEastAsia"/>
          <w:lang w:val="en-US" w:eastAsia="zh-CN"/>
        </w:rPr>
        <w:t>meet</w:t>
      </w:r>
      <w:r w:rsidR="00704CE7">
        <w:rPr>
          <w:rFonts w:eastAsiaTheme="minorEastAsia"/>
          <w:lang w:val="en-US" w:eastAsia="zh-CN"/>
        </w:rPr>
        <w:t xml:space="preserve"> the testing purpose. However, the main concern from companies was that it will lead to extremely large RAN4 work to supplement some particular CBW in the test cases. In the current spec, lots of the test configurations are bundled with the CBW, e.g. RMC for PDSCH and RMSI, OCNG, and the Io calculation in each test cases. Companies prefer to come up with a general approach to fix the issue which could accommodate varies of CBW in the further. There were some initial analysis about the impacts on the current specs as follows:</w:t>
      </w:r>
    </w:p>
    <w:tbl>
      <w:tblPr>
        <w:tblStyle w:val="a7"/>
        <w:tblW w:w="0" w:type="auto"/>
        <w:tblLook w:val="04A0" w:firstRow="1" w:lastRow="0" w:firstColumn="1" w:lastColumn="0" w:noHBand="0" w:noVBand="1"/>
      </w:tblPr>
      <w:tblGrid>
        <w:gridCol w:w="9562"/>
      </w:tblGrid>
      <w:tr w:rsidR="00704CE7" w:rsidTr="00704CE7">
        <w:tc>
          <w:tcPr>
            <w:tcW w:w="9562" w:type="dxa"/>
          </w:tcPr>
          <w:p w:rsidR="00704CE7" w:rsidRPr="00704CE7" w:rsidRDefault="00704CE7" w:rsidP="00704CE7">
            <w:pPr>
              <w:numPr>
                <w:ilvl w:val="0"/>
                <w:numId w:val="19"/>
              </w:numPr>
              <w:rPr>
                <w:rFonts w:eastAsiaTheme="minorEastAsia"/>
                <w:lang w:val="en-US" w:eastAsia="zh-CN"/>
              </w:rPr>
            </w:pPr>
            <w:r w:rsidRPr="00704CE7">
              <w:rPr>
                <w:rFonts w:eastAsiaTheme="minorEastAsia"/>
                <w:lang w:val="en-US" w:eastAsia="zh-CN"/>
              </w:rPr>
              <w:t>Candidate options:</w:t>
            </w:r>
          </w:p>
          <w:p w:rsidR="00704CE7" w:rsidRPr="00704CE7" w:rsidRDefault="00704CE7" w:rsidP="00704CE7">
            <w:pPr>
              <w:numPr>
                <w:ilvl w:val="1"/>
                <w:numId w:val="19"/>
              </w:numPr>
              <w:rPr>
                <w:rFonts w:eastAsiaTheme="minorEastAsia"/>
                <w:lang w:val="en-US" w:eastAsia="zh-CN"/>
              </w:rPr>
            </w:pPr>
            <w:r w:rsidRPr="00704CE7">
              <w:rPr>
                <w:rFonts w:eastAsiaTheme="minorEastAsia"/>
                <w:lang w:val="en-US" w:eastAsia="zh-CN"/>
              </w:rPr>
              <w:t>Option 1: Define channel bandwidth configurations for RRM CA tests in generic manner. Generic solution requires resolution of at least following 3 issues:</w:t>
            </w:r>
          </w:p>
          <w:p w:rsidR="00704CE7" w:rsidRPr="00704CE7" w:rsidRDefault="00704CE7" w:rsidP="00704CE7">
            <w:pPr>
              <w:numPr>
                <w:ilvl w:val="2"/>
                <w:numId w:val="19"/>
              </w:numPr>
              <w:rPr>
                <w:rFonts w:eastAsiaTheme="minorEastAsia"/>
                <w:lang w:val="en-US" w:eastAsia="zh-CN"/>
              </w:rPr>
            </w:pPr>
            <w:r w:rsidRPr="00704CE7">
              <w:rPr>
                <w:rFonts w:eastAsiaTheme="minorEastAsia"/>
                <w:lang w:val="en-US" w:eastAsia="zh-CN"/>
              </w:rPr>
              <w:t xml:space="preserve">Io depends on BW: </w:t>
            </w:r>
          </w:p>
          <w:p w:rsidR="00704CE7" w:rsidRPr="00704CE7" w:rsidRDefault="00704CE7" w:rsidP="00704CE7">
            <w:pPr>
              <w:numPr>
                <w:ilvl w:val="3"/>
                <w:numId w:val="19"/>
              </w:numPr>
              <w:rPr>
                <w:rFonts w:eastAsiaTheme="minorEastAsia"/>
                <w:lang w:val="en-US" w:eastAsia="zh-CN"/>
              </w:rPr>
            </w:pPr>
            <w:r w:rsidRPr="00704CE7">
              <w:rPr>
                <w:rFonts w:eastAsiaTheme="minorEastAsia"/>
                <w:lang w:val="en-US" w:eastAsia="zh-CN"/>
              </w:rPr>
              <w:t>FFS if same Io can be used in different bandwidth by defining:</w:t>
            </w:r>
          </w:p>
          <w:p w:rsidR="00704CE7" w:rsidRPr="00704CE7" w:rsidRDefault="00704CE7" w:rsidP="00704CE7">
            <w:pPr>
              <w:numPr>
                <w:ilvl w:val="4"/>
                <w:numId w:val="19"/>
              </w:numPr>
              <w:rPr>
                <w:rFonts w:eastAsiaTheme="minorEastAsia"/>
                <w:lang w:val="en-US" w:eastAsia="zh-CN"/>
              </w:rPr>
            </w:pPr>
            <w:r w:rsidRPr="00704CE7">
              <w:rPr>
                <w:rFonts w:eastAsiaTheme="minorEastAsia"/>
                <w:lang w:val="en-US" w:eastAsia="zh-CN"/>
              </w:rPr>
              <w:t xml:space="preserve">New PDSCH RMC where PDSCH has same RBs as CORESET, and </w:t>
            </w:r>
          </w:p>
          <w:p w:rsidR="00704CE7" w:rsidRPr="00704CE7" w:rsidRDefault="00704CE7" w:rsidP="00704CE7">
            <w:pPr>
              <w:numPr>
                <w:ilvl w:val="4"/>
                <w:numId w:val="19"/>
              </w:numPr>
              <w:rPr>
                <w:rFonts w:eastAsiaTheme="minorEastAsia"/>
                <w:lang w:val="en-US" w:eastAsia="zh-CN"/>
              </w:rPr>
            </w:pPr>
            <w:r w:rsidRPr="00704CE7">
              <w:rPr>
                <w:rFonts w:eastAsiaTheme="minorEastAsia"/>
                <w:lang w:val="en-US" w:eastAsia="zh-CN"/>
              </w:rPr>
              <w:t>New OCNG pattern where OCNG only covers CORESET RBs.</w:t>
            </w:r>
          </w:p>
          <w:p w:rsidR="00704CE7" w:rsidRPr="00704CE7" w:rsidRDefault="00704CE7" w:rsidP="00704CE7">
            <w:pPr>
              <w:numPr>
                <w:ilvl w:val="2"/>
                <w:numId w:val="19"/>
              </w:numPr>
              <w:rPr>
                <w:rFonts w:eastAsiaTheme="minorEastAsia"/>
                <w:lang w:val="en-US" w:eastAsia="zh-CN"/>
              </w:rPr>
            </w:pPr>
            <w:r w:rsidRPr="00704CE7">
              <w:rPr>
                <w:rFonts w:eastAsiaTheme="minorEastAsia"/>
                <w:lang w:val="en-US" w:eastAsia="zh-CN"/>
              </w:rPr>
              <w:t xml:space="preserve">RMC degradation by the generalization: </w:t>
            </w:r>
          </w:p>
          <w:p w:rsidR="00704CE7" w:rsidRPr="00704CE7" w:rsidRDefault="00704CE7" w:rsidP="00704CE7">
            <w:pPr>
              <w:numPr>
                <w:ilvl w:val="3"/>
                <w:numId w:val="19"/>
              </w:numPr>
              <w:rPr>
                <w:rFonts w:eastAsiaTheme="minorEastAsia"/>
                <w:lang w:val="en-US" w:eastAsia="zh-CN"/>
              </w:rPr>
            </w:pPr>
            <w:r w:rsidRPr="00704CE7">
              <w:rPr>
                <w:rFonts w:eastAsiaTheme="minorEastAsia"/>
                <w:lang w:val="en-US" w:eastAsia="zh-CN"/>
              </w:rPr>
              <w:t xml:space="preserve">FFS if degradation is avoided by restricting minimum channel BW to ensure sufficient RBs are in supported BWs for consistent physical allocation. </w:t>
            </w:r>
          </w:p>
          <w:p w:rsidR="00704CE7" w:rsidRPr="00704CE7" w:rsidRDefault="00704CE7" w:rsidP="00704CE7">
            <w:pPr>
              <w:numPr>
                <w:ilvl w:val="2"/>
                <w:numId w:val="19"/>
              </w:numPr>
              <w:rPr>
                <w:rFonts w:eastAsiaTheme="minorEastAsia"/>
                <w:lang w:val="en-US" w:eastAsia="zh-CN"/>
              </w:rPr>
            </w:pPr>
            <w:r w:rsidRPr="00704CE7">
              <w:rPr>
                <w:rFonts w:eastAsiaTheme="minorEastAsia"/>
                <w:lang w:val="en-US" w:eastAsia="zh-CN"/>
              </w:rPr>
              <w:t>Necessity to define maximum channel BW:</w:t>
            </w:r>
          </w:p>
          <w:p w:rsidR="00704CE7" w:rsidRPr="00704CE7" w:rsidRDefault="00704CE7" w:rsidP="00704CE7">
            <w:pPr>
              <w:numPr>
                <w:ilvl w:val="3"/>
                <w:numId w:val="19"/>
              </w:numPr>
              <w:rPr>
                <w:rFonts w:eastAsiaTheme="minorEastAsia"/>
                <w:lang w:val="en-US" w:eastAsia="zh-CN"/>
              </w:rPr>
            </w:pPr>
            <w:r w:rsidRPr="00704CE7">
              <w:rPr>
                <w:rFonts w:eastAsiaTheme="minorEastAsia"/>
                <w:lang w:val="en-US" w:eastAsia="zh-CN"/>
              </w:rPr>
              <w:t xml:space="preserve">FFS if maximum channel BW can be limited. </w:t>
            </w:r>
          </w:p>
          <w:p w:rsidR="00704CE7" w:rsidRPr="00704CE7" w:rsidRDefault="00704CE7" w:rsidP="004F344B">
            <w:pPr>
              <w:numPr>
                <w:ilvl w:val="1"/>
                <w:numId w:val="19"/>
              </w:numPr>
              <w:rPr>
                <w:rFonts w:eastAsiaTheme="minorEastAsia"/>
                <w:lang w:val="en-US" w:eastAsia="zh-CN"/>
              </w:rPr>
            </w:pPr>
            <w:r w:rsidRPr="00704CE7">
              <w:rPr>
                <w:rFonts w:eastAsiaTheme="minorEastAsia"/>
                <w:lang w:val="en-US" w:eastAsia="zh-CN"/>
              </w:rPr>
              <w:t>Other option is not precluded.</w:t>
            </w:r>
          </w:p>
        </w:tc>
      </w:tr>
    </w:tbl>
    <w:p w:rsidR="00704CE7" w:rsidRDefault="00704CE7" w:rsidP="004F344B">
      <w:pPr>
        <w:rPr>
          <w:rFonts w:eastAsiaTheme="minorEastAsia"/>
          <w:lang w:val="en-US" w:eastAsia="zh-CN"/>
        </w:rPr>
      </w:pPr>
    </w:p>
    <w:p w:rsidR="00704CE7" w:rsidRDefault="00DC220E" w:rsidP="004F344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understanding, the candidate option 1 is a promising approach to fix the issue. In the RAN4#98-e meeting, similar approach had been discussed for FR2 test cases to fix the dB range issue, </w:t>
      </w:r>
      <w:r w:rsidR="00CE23E6">
        <w:rPr>
          <w:rFonts w:eastAsiaTheme="minorEastAsia"/>
          <w:lang w:val="en-US" w:eastAsia="zh-CN"/>
        </w:rPr>
        <w:t>where</w:t>
      </w:r>
      <w:r>
        <w:rPr>
          <w:rFonts w:eastAsiaTheme="minorEastAsia"/>
          <w:lang w:val="en-US" w:eastAsia="zh-CN"/>
        </w:rPr>
        <w:t xml:space="preserve"> PDSCH RMS is allocated at the same RBs of CORESET with same number of RBs, and the OCNG is only cover the range of CORESET RBs. </w:t>
      </w:r>
      <w:r w:rsidR="008F3874">
        <w:rPr>
          <w:rFonts w:eastAsiaTheme="minorEastAsia"/>
          <w:lang w:val="en-US" w:eastAsia="zh-CN"/>
        </w:rPr>
        <w:t xml:space="preserve">In this way, when introducing the CBW which is different from what has been defined in the spec, e.g. CBW = 50 MHz, </w:t>
      </w:r>
      <w:r w:rsidR="008F3874">
        <w:rPr>
          <w:rFonts w:eastAsiaTheme="minorEastAsia"/>
          <w:lang w:val="en-US" w:eastAsia="zh-CN"/>
        </w:rPr>
        <w:lastRenderedPageBreak/>
        <w:t>the RMC of PDSCH, and CORESET for RMSI and RMC could use the same parameters as those of 40 MHz. In this way, the calculated Io is same as 40 MHz case provided that the Noc is also only distributed in 40 MHz range.</w:t>
      </w:r>
    </w:p>
    <w:p w:rsidR="008F3874" w:rsidRPr="00784BF5" w:rsidRDefault="008F3874" w:rsidP="004F344B">
      <w:pPr>
        <w:rPr>
          <w:rFonts w:eastAsiaTheme="minorEastAsia"/>
          <w:b/>
          <w:lang w:val="en-US" w:eastAsia="zh-CN"/>
        </w:rPr>
      </w:pPr>
      <w:r w:rsidRPr="00784BF5">
        <w:rPr>
          <w:rFonts w:eastAsiaTheme="minorEastAsia"/>
          <w:b/>
          <w:lang w:val="en-US" w:eastAsia="zh-CN"/>
        </w:rPr>
        <w:t>Observation 1: For new introduced CBW configurations, the RMC</w:t>
      </w:r>
      <w:r w:rsidR="00784BF5" w:rsidRPr="00784BF5">
        <w:rPr>
          <w:rFonts w:eastAsiaTheme="minorEastAsia"/>
          <w:b/>
          <w:lang w:val="en-US" w:eastAsia="zh-CN"/>
        </w:rPr>
        <w:t xml:space="preserve"> configurations could adopt the same configurations of the existing CBW (10 MHz, 40 MHz), where the PDSCH RMC is allocated at the same RBs as CORESET with same number of RBs and the OCNG is also only cover the CORESET RBs.</w:t>
      </w:r>
    </w:p>
    <w:p w:rsidR="00424544" w:rsidRDefault="00784BF5" w:rsidP="004F344B">
      <w:pPr>
        <w:rPr>
          <w:rFonts w:eastAsiaTheme="minorEastAsia"/>
          <w:lang w:eastAsia="zh-CN"/>
        </w:rPr>
      </w:pPr>
      <w:r>
        <w:rPr>
          <w:rFonts w:eastAsiaTheme="minorEastAsia" w:hint="eastAsia"/>
          <w:lang w:val="en-US" w:eastAsia="zh-CN"/>
        </w:rPr>
        <w:t>In</w:t>
      </w:r>
      <w:r>
        <w:rPr>
          <w:rFonts w:eastAsiaTheme="minorEastAsia"/>
          <w:lang w:val="en-US" w:eastAsia="zh-CN"/>
        </w:rPr>
        <w:t xml:space="preserve"> addition to 10 MHz for 15 kHz SCS and 40 MHz for 30 kHz SCS in FR1,</w:t>
      </w:r>
      <w:r w:rsidR="005C5F9E">
        <w:rPr>
          <w:rFonts w:eastAsiaTheme="minorEastAsia"/>
          <w:lang w:val="en-US" w:eastAsia="zh-CN"/>
        </w:rPr>
        <w:t xml:space="preserve"> there are various CBW defined in TS 38.101, e.g. 20 MHz, 50MHz. From our understanding, one approach is to configure the RMC</w:t>
      </w:r>
      <w:r w:rsidR="005C5F9E">
        <w:rPr>
          <w:rFonts w:eastAsiaTheme="minorEastAsia" w:hint="eastAsia"/>
          <w:lang w:val="en-US" w:eastAsia="zh-CN"/>
        </w:rPr>
        <w:t>/</w:t>
      </w:r>
      <w:r w:rsidR="005C5F9E">
        <w:rPr>
          <w:rFonts w:eastAsiaTheme="minorEastAsia"/>
          <w:lang w:val="en-US" w:eastAsia="zh-CN"/>
        </w:rPr>
        <w:t>CORESET of the new CBW according to the adjacent CBW configurations. For instance, for CBW of 50 MHz, the RMC/CORESET configurations shall adopt the configuration of 40 MHz, most detailed configurations in each test cases could be reused with necessary clarifications. Similarly, for CBW of 20 MHz, it could adopt the configurations of 10 MHz.</w:t>
      </w:r>
      <w:r w:rsidR="006C4181">
        <w:rPr>
          <w:rFonts w:eastAsiaTheme="minorEastAsia"/>
          <w:lang w:val="en-US" w:eastAsia="zh-CN"/>
        </w:rPr>
        <w:t xml:space="preserve"> For FR1</w:t>
      </w:r>
      <w:r w:rsidR="00424544">
        <w:rPr>
          <w:rFonts w:eastAsiaTheme="minorEastAsia"/>
          <w:lang w:val="en-US" w:eastAsia="zh-CN"/>
        </w:rPr>
        <w:t xml:space="preserve"> with 15 kHz, the CORESET configuration for RMSI is referred to </w:t>
      </w:r>
      <w:r w:rsidR="00C04224">
        <w:rPr>
          <w:lang w:eastAsia="ja-JP"/>
        </w:rPr>
        <w:t>Table 13-1 in TS 38.213</w:t>
      </w:r>
      <w:r w:rsidR="00424544">
        <w:rPr>
          <w:lang w:eastAsia="ja-JP"/>
        </w:rPr>
        <w:t>, which is for frequency bands with minimum CBW of 5 MHz or 10 MHz. It means that for all other supported CBW supported in TS 38.101, the current configuration for 10 MHz could be reused. For FR1 with 30 kHz</w:t>
      </w:r>
      <w:r w:rsidR="00424544">
        <w:rPr>
          <w:rFonts w:eastAsiaTheme="minorEastAsia" w:hint="eastAsia"/>
          <w:lang w:eastAsia="zh-CN"/>
        </w:rPr>
        <w:t xml:space="preserve"> </w:t>
      </w:r>
      <w:r w:rsidR="00424544">
        <w:rPr>
          <w:rFonts w:eastAsiaTheme="minorEastAsia"/>
          <w:lang w:eastAsia="zh-CN"/>
        </w:rPr>
        <w:t>SCS</w:t>
      </w:r>
      <w:r w:rsidR="00C04224">
        <w:rPr>
          <w:rFonts w:eastAsiaTheme="minorEastAsia"/>
          <w:lang w:eastAsia="zh-CN"/>
        </w:rPr>
        <w:t>, the current COREST configuration for RMSI is referred to Table 13-6 in TS 38.213, which is for minimum CBW of 40 MHz. For other CBW which is larger than 40 MHz, the current configuration could be reused as explained above. For CBW smaller than 40 MHz, the current configuration could not be directly reused. However, index 0 in Table 13-6 is used in the current configurations which is same as index 0 in Table 13-4, which is for frequency band with minimum CBW of 5 MHz or 10 MHz for {30, 30}. Then for 30 kHz, necessary clarification shall be added when the CBW is smaller in than 40 MHz.</w:t>
      </w:r>
    </w:p>
    <w:tbl>
      <w:tblPr>
        <w:tblStyle w:val="a7"/>
        <w:tblW w:w="0" w:type="auto"/>
        <w:tblLook w:val="04A0" w:firstRow="1" w:lastRow="0" w:firstColumn="1" w:lastColumn="0" w:noHBand="0" w:noVBand="1"/>
      </w:tblPr>
      <w:tblGrid>
        <w:gridCol w:w="9562"/>
      </w:tblGrid>
      <w:tr w:rsidR="00C04224" w:rsidTr="00C04224">
        <w:tc>
          <w:tcPr>
            <w:tcW w:w="9562" w:type="dxa"/>
          </w:tcPr>
          <w:p w:rsidR="00C04224" w:rsidRDefault="00C04224" w:rsidP="004F344B">
            <w:pPr>
              <w:rPr>
                <w:rFonts w:eastAsiaTheme="minorEastAsia"/>
                <w:lang w:eastAsia="zh-CN"/>
              </w:rPr>
            </w:pPr>
            <w:r>
              <w:rPr>
                <w:rFonts w:eastAsiaTheme="minorEastAsia" w:hint="eastAsia"/>
                <w:lang w:eastAsia="zh-CN"/>
              </w:rPr>
              <w:t>T</w:t>
            </w:r>
            <w:r>
              <w:rPr>
                <w:rFonts w:eastAsiaTheme="minorEastAsia"/>
                <w:lang w:eastAsia="zh-CN"/>
              </w:rPr>
              <w:t>S 38.133</w:t>
            </w:r>
          </w:p>
          <w:p w:rsidR="00C04224" w:rsidRPr="006F4D85" w:rsidRDefault="00C04224" w:rsidP="00C0422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5"/>
              <w:gridCol w:w="877"/>
              <w:gridCol w:w="1077"/>
              <w:gridCol w:w="851"/>
              <w:gridCol w:w="851"/>
              <w:gridCol w:w="851"/>
              <w:gridCol w:w="851"/>
              <w:gridCol w:w="853"/>
              <w:gridCol w:w="850"/>
            </w:tblGrid>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H"/>
                  </w:pPr>
                  <w:r w:rsidRPr="006F4D85">
                    <w:t>Parameter</w:t>
                  </w:r>
                </w:p>
              </w:tc>
              <w:tc>
                <w:tcPr>
                  <w:tcW w:w="46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H"/>
                  </w:pPr>
                  <w:r w:rsidRPr="006F4D85">
                    <w:t>Unit</w:t>
                  </w:r>
                </w:p>
              </w:tc>
              <w:tc>
                <w:tcPr>
                  <w:tcW w:w="3312" w:type="pct"/>
                  <w:gridSpan w:val="7"/>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H"/>
                  </w:pPr>
                  <w:r w:rsidRPr="006F4D85">
                    <w:t>Value</w:t>
                  </w: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ind w:left="454" w:hanging="454"/>
                  </w:pP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pPr>
                  <w:r w:rsidRPr="006F4D85">
                    <w:t>CR.2.1 TDD</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pPr>
                  <w:r w:rsidRPr="006F4D85">
                    <w:t>MHz</w:t>
                  </w: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rPr>
                      <w:lang w:eastAsia="zh-CN"/>
                    </w:rPr>
                  </w:pPr>
                  <w:r w:rsidRPr="006F4D85">
                    <w:rPr>
                      <w:lang w:eastAsia="zh-CN"/>
                    </w:rPr>
                    <w:t>40</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rPr>
                      <w:lang w:eastAsia="zh-CN"/>
                    </w:rPr>
                  </w:pPr>
                  <w:r w:rsidRPr="006F4D85">
                    <w:rPr>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rPr>
                      <w:lang w:eastAsia="zh-CN"/>
                    </w:rPr>
                  </w:pPr>
                  <w:r w:rsidRPr="006F4D85">
                    <w:rPr>
                      <w:lang w:eastAsia="zh-CN"/>
                    </w:rPr>
                    <w:t>30</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rPr>
                      <w:lang w:eastAsia="zh-CN"/>
                    </w:rPr>
                  </w:pPr>
                  <w:r w:rsidRPr="006F4D85">
                    <w:rPr>
                      <w:lang w:eastAsia="zh-CN"/>
                    </w:rPr>
                    <w:t>24</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rPr>
                      <w:lang w:eastAsia="zh-CN"/>
                    </w:rPr>
                  </w:pPr>
                  <w:r w:rsidRPr="006F4D85">
                    <w:rPr>
                      <w:lang w:eastAsia="zh-CN"/>
                    </w:rPr>
                    <w:t>Pattern 1</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rPr>
                      <w:lang w:eastAsia="zh-CN"/>
                    </w:rPr>
                  </w:pPr>
                  <w:r w:rsidRPr="006F4D85">
                    <w:rPr>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rPr>
                      <w:lang w:eastAsia="zh-CN"/>
                    </w:rPr>
                  </w:pPr>
                  <w:r w:rsidRPr="006F4D85">
                    <w:rPr>
                      <w:lang w:eastAsia="zh-CN"/>
                    </w:rPr>
                    <w:t>0 (Note 8)</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rPr>
                      <w:lang w:eastAsia="zh-CN"/>
                    </w:rPr>
                  </w:pPr>
                  <w:r w:rsidRPr="006F4D85">
                    <w:rPr>
                      <w:lang w:eastAsia="zh-CN"/>
                    </w:rPr>
                    <w:t>Index 4</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ind w:left="454" w:hanging="454"/>
                  </w:pP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pPr>
                  <w:r w:rsidRPr="006F4D85">
                    <w:t>1</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pPr>
                  <w:r w:rsidRPr="006F4D85">
                    <w:t>symbols</w:t>
                  </w: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pPr>
                  <w:r w:rsidRPr="006F4D85">
                    <w:t>2</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ind w:left="454" w:hanging="454"/>
                  </w:pP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pPr>
                  <w:r w:rsidRPr="006F4D85">
                    <w:t>Note 2</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pPr>
                  <w:r w:rsidRPr="006F4D85">
                    <w:t>CCE</w:t>
                  </w: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pPr>
                  <w:r w:rsidRPr="006F4D85">
                    <w:t>8</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rsidR="00C04224" w:rsidRPr="006F4D85" w:rsidRDefault="00C04224" w:rsidP="00C0422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rPr>
                      <w:lang w:eastAsia="zh-CN"/>
                    </w:rPr>
                  </w:pPr>
                  <w:r w:rsidRPr="006F4D85">
                    <w:rPr>
                      <w:lang w:eastAsia="zh-CN"/>
                    </w:rPr>
                    <w:t>6</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rsidR="00C04224" w:rsidRPr="006F4D85" w:rsidRDefault="00C04224" w:rsidP="00C0422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rPr>
                      <w:lang w:eastAsia="zh-CN"/>
                    </w:rPr>
                  </w:pPr>
                  <w:r w:rsidRPr="006F4D85">
                    <w:rPr>
                      <w:lang w:eastAsia="zh-CN"/>
                    </w:rPr>
                    <w:t>6</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rsidR="00C04224" w:rsidRPr="006F4D85" w:rsidRDefault="00C04224" w:rsidP="00C0422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jc w:val="left"/>
                  </w:pPr>
                  <w:r w:rsidRPr="006F4D85">
                    <w:t>Distributed</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jc w:val="left"/>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ind w:left="454" w:hanging="454"/>
                  </w:pP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pPr>
                  <w:r w:rsidRPr="006F4D85">
                    <w:t>Note 5</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121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pPr>
                  <w:r w:rsidRPr="006F4D85">
                    <w:t>bits</w:t>
                  </w:r>
                </w:p>
              </w:tc>
              <w:tc>
                <w:tcPr>
                  <w:tcW w:w="576" w:type="pct"/>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C"/>
                  </w:pPr>
                  <w:r w:rsidRPr="006F4D85">
                    <w:t>Note 6</w:t>
                  </w: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6"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7"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c>
                <w:tcPr>
                  <w:tcW w:w="455" w:type="pct"/>
                  <w:tcBorders>
                    <w:top w:val="single" w:sz="4" w:space="0" w:color="auto"/>
                    <w:left w:val="single" w:sz="4" w:space="0" w:color="auto"/>
                    <w:bottom w:val="single" w:sz="4" w:space="0" w:color="auto"/>
                    <w:right w:val="single" w:sz="4" w:space="0" w:color="auto"/>
                  </w:tcBorders>
                </w:tcPr>
                <w:p w:rsidR="00C04224" w:rsidRPr="006F4D85" w:rsidRDefault="00C04224" w:rsidP="00C04224">
                  <w:pPr>
                    <w:pStyle w:val="TAC"/>
                  </w:pPr>
                </w:p>
              </w:tc>
            </w:tr>
            <w:tr w:rsidR="00C04224" w:rsidRPr="006F4D85" w:rsidTr="00C0422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C04224" w:rsidRPr="006F4D85" w:rsidRDefault="00C04224" w:rsidP="00C04224">
                  <w:pPr>
                    <w:pStyle w:val="TAN"/>
                  </w:pPr>
                  <w:r w:rsidRPr="006F4D85">
                    <w:t>Note 1:</w:t>
                  </w:r>
                  <w:r w:rsidRPr="006F4D85">
                    <w:tab/>
                    <w:t>DCI formats are defined in TS 38.212.</w:t>
                  </w:r>
                </w:p>
                <w:p w:rsidR="00C04224" w:rsidRPr="006F4D85" w:rsidRDefault="00C04224" w:rsidP="00C04224">
                  <w:pPr>
                    <w:pStyle w:val="TAN"/>
                  </w:pPr>
                  <w:r w:rsidRPr="006F4D85">
                    <w:t>Note 2:</w:t>
                  </w:r>
                  <w:r w:rsidRPr="006F4D85">
                    <w:tab/>
                    <w:t>DCI format shall depend upon the test configuration.</w:t>
                  </w:r>
                </w:p>
                <w:p w:rsidR="00C04224" w:rsidRPr="006F4D85" w:rsidRDefault="00C04224" w:rsidP="00C04224">
                  <w:pPr>
                    <w:pStyle w:val="TAN"/>
                    <w:rPr>
                      <w:lang w:val="en-US"/>
                    </w:rPr>
                  </w:pPr>
                  <w:r w:rsidRPr="006F4D85">
                    <w:t>Note 3:</w:t>
                  </w:r>
                  <w:r w:rsidRPr="006F4D85">
                    <w:tab/>
                  </w:r>
                  <w:r w:rsidRPr="006F4D85">
                    <w:rPr>
                      <w:lang w:val="en-US"/>
                    </w:rPr>
                    <w:t>The offset is defined with respect to the subcarrier spacing of the CORESET from the smallest RB index of RMSI CORESET to the smallest RB index of the common RB overlapping with the first RB of the SS/PBCH block.</w:t>
                  </w:r>
                </w:p>
                <w:p w:rsidR="00C04224" w:rsidRPr="006F4D85" w:rsidRDefault="00C04224" w:rsidP="00C04224">
                  <w:pPr>
                    <w:pStyle w:val="TAN"/>
                  </w:pPr>
                  <w:r w:rsidRPr="006F4D85">
                    <w:t>Note 4:</w:t>
                  </w:r>
                  <w:r w:rsidRPr="006F4D85">
                    <w:tab/>
                    <w:t xml:space="preserve">The configuration of PDCCH monitoring occasions for </w:t>
                  </w:r>
                  <w:r w:rsidRPr="006F4D85">
                    <w:rPr>
                      <w:lang w:eastAsia="zh-CN"/>
                    </w:rPr>
                    <w:t>RMSI CORESET</w:t>
                  </w:r>
                  <w:r w:rsidRPr="006F4D85">
                    <w:t xml:space="preserve"> is defined in Table 13-11 in TS 38.213 [3].</w:t>
                  </w:r>
                </w:p>
                <w:p w:rsidR="00C04224" w:rsidRPr="006F4D85" w:rsidRDefault="00C04224" w:rsidP="00C04224">
                  <w:pPr>
                    <w:pStyle w:val="TAN"/>
                  </w:pPr>
                  <w:r w:rsidRPr="006F4D85">
                    <w:t>Note 5:</w:t>
                  </w:r>
                  <w:r w:rsidRPr="006F4D85">
                    <w:tab/>
                    <w:t>Cell ID shall depend upon the test configuration.</w:t>
                  </w:r>
                </w:p>
                <w:p w:rsidR="00C04224" w:rsidRPr="006F4D85" w:rsidRDefault="00C04224" w:rsidP="00C04224">
                  <w:pPr>
                    <w:pStyle w:val="TAN"/>
                  </w:pPr>
                  <w:r w:rsidRPr="006F4D85">
                    <w:t>Note 6:</w:t>
                  </w:r>
                  <w:r w:rsidRPr="006F4D85">
                    <w:tab/>
                    <w:t>Payload size shall depend upon the test configuration.</w:t>
                  </w:r>
                </w:p>
                <w:p w:rsidR="00C04224" w:rsidRPr="006F4D85" w:rsidRDefault="00C04224" w:rsidP="00C04224">
                  <w:pPr>
                    <w:pStyle w:val="TAN"/>
                    <w:rPr>
                      <w:lang w:eastAsia="ja-JP"/>
                    </w:rPr>
                  </w:pPr>
                  <w:r w:rsidRPr="006F4D85">
                    <w:t xml:space="preserve">Note 7: </w:t>
                  </w:r>
                  <w:r w:rsidRPr="006F4D85">
                    <w:tab/>
                  </w:r>
                  <w:r w:rsidRPr="006F4D85">
                    <w:rPr>
                      <w:lang w:eastAsia="ja-JP"/>
                    </w:rPr>
                    <w:t xml:space="preserve">The configuration of set of resource blocks and slot symbols of control resource set for Type0-PDCCH search space corresponds to index 0 in Table </w:t>
                  </w:r>
                  <w:r w:rsidRPr="00BF63AF">
                    <w:rPr>
                      <w:highlight w:val="yellow"/>
                      <w:lang w:eastAsia="ja-JP"/>
                    </w:rPr>
                    <w:t>13-6 i</w:t>
                  </w:r>
                  <w:r w:rsidRPr="006F4D85">
                    <w:rPr>
                      <w:lang w:eastAsia="ja-JP"/>
                    </w:rPr>
                    <w:t>n TS 38.213 [3].</w:t>
                  </w:r>
                </w:p>
                <w:p w:rsidR="00C04224" w:rsidRPr="006F4D85" w:rsidRDefault="00C04224" w:rsidP="00C04224">
                  <w:pPr>
                    <w:pStyle w:val="TAN"/>
                  </w:pPr>
                  <w:r w:rsidRPr="006F4D85">
                    <w:t>Note 8:</w:t>
                  </w:r>
                  <w:r w:rsidRPr="006F4D85">
                    <w:tab/>
                    <w:t>Other values can be used to align with GSCN [13] as long as SSB does not overlap the RMC.</w:t>
                  </w:r>
                </w:p>
              </w:tc>
            </w:tr>
          </w:tbl>
          <w:p w:rsidR="00C04224" w:rsidRDefault="00C04224" w:rsidP="004F344B">
            <w:pPr>
              <w:rPr>
                <w:rFonts w:eastAsiaTheme="minorEastAsia"/>
                <w:lang w:eastAsia="zh-CN"/>
              </w:rPr>
            </w:pPr>
          </w:p>
          <w:p w:rsidR="00C04224" w:rsidRDefault="00C04224" w:rsidP="004F344B">
            <w:pPr>
              <w:rPr>
                <w:rFonts w:eastAsiaTheme="minorEastAsia"/>
                <w:lang w:eastAsia="zh-CN"/>
              </w:rPr>
            </w:pPr>
          </w:p>
          <w:p w:rsidR="00C04224" w:rsidRDefault="00C04224" w:rsidP="004F344B">
            <w:pPr>
              <w:rPr>
                <w:rFonts w:eastAsiaTheme="minorEastAsia"/>
                <w:lang w:eastAsia="zh-CN"/>
              </w:rPr>
            </w:pPr>
            <w:r>
              <w:rPr>
                <w:rFonts w:eastAsiaTheme="minorEastAsia"/>
                <w:lang w:eastAsia="zh-CN"/>
              </w:rPr>
              <w:t>TS 38.213</w:t>
            </w:r>
          </w:p>
          <w:p w:rsidR="00C04224" w:rsidRDefault="00C04224" w:rsidP="00C04224">
            <w:pPr>
              <w:pStyle w:val="TH"/>
              <w:rPr>
                <w:rFonts w:eastAsia="宋体"/>
                <w:lang w:val="en-US"/>
              </w:rPr>
            </w:pPr>
            <w:r>
              <w:t>Table 13-6: Set of resource blocks and slot symbols of CORESET for Type0-PDCCH search space set when {SS/PBCH block, PDCCH} SCS is {30, 30} kHz</w:t>
            </w:r>
            <w:r>
              <w:rPr>
                <w:rFonts w:cs="Arial"/>
                <w:lang w:val="en-US" w:eastAsia="zh-CN"/>
              </w:rPr>
              <w:t xml:space="preserve"> for frequency bands</w:t>
            </w:r>
            <w:r>
              <w:rPr>
                <w:lang w:val="en-US"/>
              </w:rPr>
              <w:t xml:space="preserve"> </w:t>
            </w:r>
            <w:r>
              <w:rPr>
                <w:highlight w:val="yellow"/>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3057"/>
              <w:gridCol w:w="1593"/>
              <w:gridCol w:w="1926"/>
              <w:gridCol w:w="1675"/>
            </w:tblGrid>
            <w:tr w:rsidR="00C04224" w:rsidTr="00C04224">
              <w:trPr>
                <w:cantSplit/>
              </w:trPr>
              <w:tc>
                <w:tcPr>
                  <w:tcW w:w="803" w:type="dxa"/>
                  <w:tcBorders>
                    <w:top w:val="single" w:sz="4" w:space="0" w:color="auto"/>
                    <w:left w:val="single" w:sz="4" w:space="0" w:color="auto"/>
                    <w:bottom w:val="double" w:sz="4" w:space="0" w:color="auto"/>
                    <w:right w:val="double" w:sz="4" w:space="0" w:color="auto"/>
                  </w:tcBorders>
                  <w:shd w:val="clear" w:color="auto" w:fill="E0E0E0"/>
                  <w:vAlign w:val="center"/>
                  <w:hideMark/>
                </w:tcPr>
                <w:p w:rsidR="00C04224" w:rsidRDefault="00C04224" w:rsidP="00C04224">
                  <w:pPr>
                    <w:pStyle w:val="TAH"/>
                    <w:rPr>
                      <w:bCs/>
                      <w:lang w:val="en-US"/>
                    </w:rPr>
                  </w:pPr>
                  <w:r>
                    <w:rPr>
                      <w:bCs/>
                      <w:lang w:val="en-US"/>
                    </w:rPr>
                    <w:t>Index</w:t>
                  </w:r>
                </w:p>
              </w:tc>
              <w:tc>
                <w:tcPr>
                  <w:tcW w:w="3157" w:type="dxa"/>
                  <w:tcBorders>
                    <w:top w:val="single" w:sz="4" w:space="0" w:color="auto"/>
                    <w:left w:val="double" w:sz="4" w:space="0" w:color="auto"/>
                    <w:bottom w:val="double" w:sz="4" w:space="0" w:color="auto"/>
                    <w:right w:val="single" w:sz="4" w:space="0" w:color="auto"/>
                  </w:tcBorders>
                  <w:shd w:val="clear" w:color="auto" w:fill="E0E0E0"/>
                  <w:vAlign w:val="center"/>
                  <w:hideMark/>
                </w:tcPr>
                <w:p w:rsidR="00C04224" w:rsidRDefault="00C04224" w:rsidP="00C04224">
                  <w:pPr>
                    <w:pStyle w:val="TAH"/>
                    <w:rPr>
                      <w:bCs/>
                      <w:lang w:val="en-US"/>
                    </w:rPr>
                  </w:pPr>
                  <w:r>
                    <w:rPr>
                      <w:kern w:val="24"/>
                    </w:rPr>
                    <w:t xml:space="preserve">SS/PBCH block and CORESET multiplexing pattern </w:t>
                  </w:r>
                </w:p>
              </w:tc>
              <w:tc>
                <w:tcPr>
                  <w:tcW w:w="1620"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C04224" w:rsidRDefault="00C04224" w:rsidP="00C04224">
                  <w:pPr>
                    <w:pStyle w:val="TAH"/>
                    <w:rPr>
                      <w:bCs/>
                      <w:lang w:val="en-US"/>
                    </w:rPr>
                  </w:pPr>
                  <w:r>
                    <w:rPr>
                      <w:kern w:val="24"/>
                    </w:rPr>
                    <w:t xml:space="preserve">Number of RBs </w:t>
                  </w:r>
                  <w:r>
                    <w:rPr>
                      <w:noProof/>
                      <w:position w:val="-10"/>
                      <w:lang w:val="en-US" w:eastAsia="zh-CN"/>
                    </w:rPr>
                    <w:drawing>
                      <wp:inline distT="0" distB="0" distL="0" distR="0">
                        <wp:extent cx="563245"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C04224" w:rsidRDefault="00C04224" w:rsidP="00C04224">
                  <w:pPr>
                    <w:pStyle w:val="TAH"/>
                    <w:rPr>
                      <w:bCs/>
                      <w:lang w:val="en-US"/>
                    </w:rPr>
                  </w:pPr>
                  <w:r>
                    <w:rPr>
                      <w:kern w:val="24"/>
                    </w:rPr>
                    <w:t xml:space="preserve">Number of Symbols </w:t>
                  </w:r>
                  <w:r>
                    <w:rPr>
                      <w:noProof/>
                      <w:position w:val="-12"/>
                      <w:lang w:val="en-US" w:eastAsia="zh-CN"/>
                    </w:rPr>
                    <w:drawing>
                      <wp:inline distT="0" distB="0" distL="0" distR="0">
                        <wp:extent cx="467995"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Pr>
                      <w:kern w:val="24"/>
                    </w:rPr>
                    <w:t xml:space="preserve"> </w:t>
                  </w:r>
                </w:p>
              </w:tc>
              <w:tc>
                <w:tcPr>
                  <w:tcW w:w="1728"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C04224" w:rsidRDefault="00C04224" w:rsidP="00C04224">
                  <w:pPr>
                    <w:pStyle w:val="TAH"/>
                    <w:rPr>
                      <w:bCs/>
                      <w:lang w:val="en-US"/>
                    </w:rPr>
                  </w:pPr>
                  <w:r>
                    <w:rPr>
                      <w:kern w:val="24"/>
                    </w:rPr>
                    <w:t xml:space="preserve">Offset (RBs) </w:t>
                  </w:r>
                </w:p>
              </w:tc>
            </w:tr>
            <w:tr w:rsidR="00C04224" w:rsidTr="00C04224">
              <w:trPr>
                <w:cantSplit/>
              </w:trPr>
              <w:tc>
                <w:tcPr>
                  <w:tcW w:w="803" w:type="dxa"/>
                  <w:tcBorders>
                    <w:top w:val="double" w:sz="4" w:space="0" w:color="auto"/>
                    <w:left w:val="single" w:sz="4" w:space="0" w:color="auto"/>
                    <w:bottom w:val="single" w:sz="4" w:space="0" w:color="auto"/>
                    <w:right w:val="double" w:sz="4" w:space="0" w:color="auto"/>
                  </w:tcBorders>
                  <w:vAlign w:val="center"/>
                  <w:hideMark/>
                </w:tcPr>
                <w:p w:rsidR="00C04224" w:rsidRDefault="00C04224" w:rsidP="00C04224">
                  <w:pPr>
                    <w:pStyle w:val="TAC"/>
                    <w:rPr>
                      <w:lang w:val="en-US"/>
                    </w:rPr>
                  </w:pPr>
                  <w:r>
                    <w:rPr>
                      <w:lang w:val="en-US"/>
                    </w:rPr>
                    <w:t>0</w:t>
                  </w:r>
                </w:p>
              </w:tc>
              <w:tc>
                <w:tcPr>
                  <w:tcW w:w="3157" w:type="dxa"/>
                  <w:tcBorders>
                    <w:top w:val="double" w:sz="4" w:space="0" w:color="auto"/>
                    <w:left w:val="double" w:sz="4" w:space="0" w:color="auto"/>
                    <w:bottom w:val="single" w:sz="4" w:space="0" w:color="auto"/>
                    <w:right w:val="single" w:sz="4" w:space="0" w:color="auto"/>
                  </w:tcBorders>
                  <w:vAlign w:val="center"/>
                  <w:hideMark/>
                </w:tcPr>
                <w:p w:rsidR="00C04224" w:rsidRDefault="00C04224" w:rsidP="00C04224">
                  <w:pPr>
                    <w:pStyle w:val="TAC"/>
                    <w:rPr>
                      <w:lang w:val="en-US"/>
                    </w:rPr>
                  </w:pPr>
                  <w:r>
                    <w:rPr>
                      <w:kern w:val="24"/>
                      <w:szCs w:val="18"/>
                    </w:rPr>
                    <w:t>1</w:t>
                  </w:r>
                </w:p>
              </w:tc>
              <w:tc>
                <w:tcPr>
                  <w:tcW w:w="1620" w:type="dxa"/>
                  <w:tcBorders>
                    <w:top w:val="double" w:sz="4" w:space="0" w:color="auto"/>
                    <w:left w:val="single" w:sz="4" w:space="0" w:color="auto"/>
                    <w:bottom w:val="single" w:sz="4" w:space="0" w:color="auto"/>
                    <w:right w:val="single" w:sz="4" w:space="0" w:color="auto"/>
                  </w:tcBorders>
                  <w:vAlign w:val="center"/>
                  <w:hideMark/>
                </w:tcPr>
                <w:p w:rsidR="00C04224" w:rsidRDefault="00C04224" w:rsidP="00C04224">
                  <w:pPr>
                    <w:pStyle w:val="TAC"/>
                    <w:rPr>
                      <w:lang w:val="en-US"/>
                    </w:rPr>
                  </w:pPr>
                  <w:r>
                    <w:rPr>
                      <w:kern w:val="24"/>
                      <w:szCs w:val="18"/>
                    </w:rPr>
                    <w:t>24</w:t>
                  </w:r>
                </w:p>
              </w:tc>
              <w:tc>
                <w:tcPr>
                  <w:tcW w:w="1980" w:type="dxa"/>
                  <w:tcBorders>
                    <w:top w:val="double" w:sz="4" w:space="0" w:color="auto"/>
                    <w:left w:val="single" w:sz="4" w:space="0" w:color="auto"/>
                    <w:bottom w:val="single" w:sz="4" w:space="0" w:color="auto"/>
                    <w:right w:val="single" w:sz="4" w:space="0" w:color="auto"/>
                  </w:tcBorders>
                  <w:vAlign w:val="center"/>
                  <w:hideMark/>
                </w:tcPr>
                <w:p w:rsidR="00C04224" w:rsidRDefault="00C04224" w:rsidP="00C04224">
                  <w:pPr>
                    <w:pStyle w:val="TAC"/>
                    <w:rPr>
                      <w:lang w:val="en-US"/>
                    </w:rPr>
                  </w:pPr>
                  <w:r>
                    <w:rPr>
                      <w:lang w:val="en-US"/>
                    </w:rPr>
                    <w:t>2</w:t>
                  </w:r>
                </w:p>
              </w:tc>
              <w:tc>
                <w:tcPr>
                  <w:tcW w:w="1728" w:type="dxa"/>
                  <w:tcBorders>
                    <w:top w:val="double" w:sz="4" w:space="0" w:color="auto"/>
                    <w:left w:val="single" w:sz="4" w:space="0" w:color="auto"/>
                    <w:bottom w:val="single" w:sz="4" w:space="0" w:color="auto"/>
                    <w:right w:val="single" w:sz="4" w:space="0" w:color="auto"/>
                  </w:tcBorders>
                  <w:vAlign w:val="center"/>
                  <w:hideMark/>
                </w:tcPr>
                <w:p w:rsidR="00C04224" w:rsidRDefault="00C04224" w:rsidP="00C04224">
                  <w:pPr>
                    <w:pStyle w:val="TAC"/>
                    <w:rPr>
                      <w:lang w:val="en-US"/>
                    </w:rPr>
                  </w:pPr>
                  <w:r>
                    <w:rPr>
                      <w:lang w:val="en-US"/>
                    </w:rPr>
                    <w:t>0</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rPr>
                      <w:lang w:val="en-US"/>
                    </w:rPr>
                  </w:pPr>
                  <w:r>
                    <w:rPr>
                      <w:lang w:val="en-US"/>
                    </w:rPr>
                    <w:t>1</w:t>
                  </w:r>
                </w:p>
              </w:tc>
              <w:tc>
                <w:tcPr>
                  <w:tcW w:w="3157" w:type="dxa"/>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rPr>
                      <w:lang w:val="en-US"/>
                    </w:rPr>
                  </w:pPr>
                  <w:r>
                    <w:rPr>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rPr>
                      <w:lang w:val="en-US"/>
                    </w:rPr>
                  </w:pPr>
                  <w:r>
                    <w:rPr>
                      <w:kern w:val="24"/>
                      <w:szCs w:val="18"/>
                    </w:rPr>
                    <w:t>24</w:t>
                  </w:r>
                </w:p>
              </w:tc>
              <w:tc>
                <w:tcPr>
                  <w:tcW w:w="198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rPr>
                      <w:lang w:val="en-US"/>
                    </w:rPr>
                  </w:pPr>
                  <w:r>
                    <w:rPr>
                      <w:lang w:val="en-US"/>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rPr>
                      <w:lang w:val="en-US"/>
                    </w:rPr>
                  </w:pPr>
                  <w:r>
                    <w:rPr>
                      <w:lang w:val="en-US"/>
                    </w:rPr>
                    <w:t>4</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2</w:t>
                  </w:r>
                </w:p>
              </w:tc>
              <w:tc>
                <w:tcPr>
                  <w:tcW w:w="3157" w:type="dxa"/>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24</w:t>
                  </w:r>
                </w:p>
              </w:tc>
              <w:tc>
                <w:tcPr>
                  <w:tcW w:w="198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3</w:t>
                  </w:r>
                </w:p>
              </w:tc>
              <w:tc>
                <w:tcPr>
                  <w:tcW w:w="1728"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0</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3</w:t>
                  </w:r>
                </w:p>
              </w:tc>
              <w:tc>
                <w:tcPr>
                  <w:tcW w:w="3157" w:type="dxa"/>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24</w:t>
                  </w:r>
                </w:p>
              </w:tc>
              <w:tc>
                <w:tcPr>
                  <w:tcW w:w="198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3</w:t>
                  </w:r>
                </w:p>
              </w:tc>
              <w:tc>
                <w:tcPr>
                  <w:tcW w:w="1728"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4</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4</w:t>
                  </w:r>
                </w:p>
              </w:tc>
              <w:tc>
                <w:tcPr>
                  <w:tcW w:w="3157" w:type="dxa"/>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1</w:t>
                  </w:r>
                </w:p>
              </w:tc>
              <w:tc>
                <w:tcPr>
                  <w:tcW w:w="1728"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0</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5</w:t>
                  </w:r>
                </w:p>
              </w:tc>
              <w:tc>
                <w:tcPr>
                  <w:tcW w:w="3157" w:type="dxa"/>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1</w:t>
                  </w:r>
                </w:p>
              </w:tc>
              <w:tc>
                <w:tcPr>
                  <w:tcW w:w="1728"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28</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6</w:t>
                  </w:r>
                </w:p>
              </w:tc>
              <w:tc>
                <w:tcPr>
                  <w:tcW w:w="3157" w:type="dxa"/>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2</w:t>
                  </w:r>
                </w:p>
              </w:tc>
              <w:tc>
                <w:tcPr>
                  <w:tcW w:w="1728"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0</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7</w:t>
                  </w:r>
                </w:p>
              </w:tc>
              <w:tc>
                <w:tcPr>
                  <w:tcW w:w="3157" w:type="dxa"/>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2</w:t>
                  </w:r>
                </w:p>
              </w:tc>
              <w:tc>
                <w:tcPr>
                  <w:tcW w:w="1728"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28</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8</w:t>
                  </w:r>
                </w:p>
              </w:tc>
              <w:tc>
                <w:tcPr>
                  <w:tcW w:w="3157" w:type="dxa"/>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rPr>
                      <w:kern w:val="24"/>
                      <w:szCs w:val="18"/>
                    </w:rPr>
                  </w:pPr>
                  <w:r>
                    <w:rPr>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rPr>
                      <w:kern w:val="24"/>
                      <w:szCs w:val="18"/>
                    </w:rPr>
                  </w:pPr>
                  <w:r>
                    <w:rPr>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rPr>
                      <w:rFonts w:cs="Times New Roman"/>
                      <w:kern w:val="0"/>
                      <w:szCs w:val="20"/>
                    </w:rPr>
                  </w:pPr>
                  <w:r>
                    <w:t>3</w:t>
                  </w:r>
                </w:p>
              </w:tc>
              <w:tc>
                <w:tcPr>
                  <w:tcW w:w="1728"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0</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9</w:t>
                  </w:r>
                </w:p>
              </w:tc>
              <w:tc>
                <w:tcPr>
                  <w:tcW w:w="3157" w:type="dxa"/>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rPr>
                      <w:kern w:val="24"/>
                      <w:szCs w:val="18"/>
                    </w:rPr>
                  </w:pPr>
                  <w:r>
                    <w:rPr>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rPr>
                      <w:kern w:val="24"/>
                      <w:szCs w:val="18"/>
                    </w:rPr>
                  </w:pPr>
                  <w:r>
                    <w:rPr>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rPr>
                      <w:rFonts w:cs="Times New Roman"/>
                      <w:kern w:val="0"/>
                      <w:szCs w:val="20"/>
                    </w:rPr>
                  </w:pPr>
                  <w:r>
                    <w:t>3</w:t>
                  </w:r>
                </w:p>
              </w:tc>
              <w:tc>
                <w:tcPr>
                  <w:tcW w:w="1728" w:type="dxa"/>
                  <w:tcBorders>
                    <w:top w:val="single" w:sz="4" w:space="0" w:color="auto"/>
                    <w:left w:val="single" w:sz="4" w:space="0" w:color="auto"/>
                    <w:bottom w:val="single" w:sz="4" w:space="0" w:color="auto"/>
                    <w:right w:val="single" w:sz="4" w:space="0" w:color="auto"/>
                  </w:tcBorders>
                  <w:vAlign w:val="center"/>
                  <w:hideMark/>
                </w:tcPr>
                <w:p w:rsidR="00C04224" w:rsidRDefault="00C04224" w:rsidP="00C04224">
                  <w:pPr>
                    <w:pStyle w:val="TAC"/>
                  </w:pPr>
                  <w:r>
                    <w:t>28</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10</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Reserved</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lastRenderedPageBreak/>
                    <w:t>11</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Reserved</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12</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Reserved</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13</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Reserved</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14</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Reserved</w:t>
                  </w:r>
                </w:p>
              </w:tc>
            </w:tr>
            <w:tr w:rsidR="00C04224" w:rsidTr="00C04224">
              <w:trPr>
                <w:cantSplit/>
              </w:trPr>
              <w:tc>
                <w:tcPr>
                  <w:tcW w:w="803" w:type="dxa"/>
                  <w:tcBorders>
                    <w:top w:val="single" w:sz="4" w:space="0" w:color="auto"/>
                    <w:left w:val="single" w:sz="4" w:space="0" w:color="auto"/>
                    <w:bottom w:val="single" w:sz="4" w:space="0" w:color="auto"/>
                    <w:right w:val="double" w:sz="4" w:space="0" w:color="auto"/>
                  </w:tcBorders>
                  <w:vAlign w:val="center"/>
                  <w:hideMark/>
                </w:tcPr>
                <w:p w:rsidR="00C04224" w:rsidRDefault="00C04224" w:rsidP="00C04224">
                  <w:pPr>
                    <w:pStyle w:val="TAC"/>
                  </w:pPr>
                  <w:r>
                    <w:t>15</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C04224" w:rsidRDefault="00C04224" w:rsidP="00C04224">
                  <w:pPr>
                    <w:pStyle w:val="TAC"/>
                  </w:pPr>
                  <w:r>
                    <w:rPr>
                      <w:kern w:val="24"/>
                      <w:szCs w:val="18"/>
                    </w:rPr>
                    <w:t>Reserved</w:t>
                  </w:r>
                </w:p>
              </w:tc>
            </w:tr>
          </w:tbl>
          <w:p w:rsidR="00C04224" w:rsidRDefault="00C04224" w:rsidP="00C04224">
            <w:pPr>
              <w:rPr>
                <w:b/>
              </w:rPr>
            </w:pPr>
          </w:p>
          <w:p w:rsidR="00C04224" w:rsidRPr="00C04224" w:rsidRDefault="00C04224" w:rsidP="004F344B">
            <w:pPr>
              <w:rPr>
                <w:rFonts w:eastAsiaTheme="minorEastAsia"/>
                <w:lang w:eastAsia="zh-CN"/>
              </w:rPr>
            </w:pPr>
          </w:p>
        </w:tc>
      </w:tr>
    </w:tbl>
    <w:p w:rsidR="00C04224" w:rsidRDefault="00C04224" w:rsidP="004F344B">
      <w:pPr>
        <w:rPr>
          <w:rFonts w:eastAsiaTheme="minorEastAsia"/>
          <w:lang w:eastAsia="zh-CN"/>
        </w:rPr>
      </w:pPr>
    </w:p>
    <w:p w:rsidR="00C04224" w:rsidRPr="00C04224" w:rsidRDefault="00C04224" w:rsidP="004F344B">
      <w:pPr>
        <w:rPr>
          <w:rFonts w:eastAsiaTheme="minorEastAsia"/>
          <w:b/>
          <w:lang w:eastAsia="zh-CN"/>
        </w:rPr>
      </w:pPr>
      <w:r w:rsidRPr="00C04224">
        <w:rPr>
          <w:rFonts w:eastAsiaTheme="minorEastAsia"/>
          <w:b/>
          <w:lang w:eastAsia="zh-CN"/>
        </w:rPr>
        <w:t>Proposal 1: For new CBW other than 10 MHz of 15 kHz SCS and 40 MHz of 30 kHz SCS:</w:t>
      </w:r>
    </w:p>
    <w:p w:rsidR="00C04224" w:rsidRPr="00C04224" w:rsidRDefault="00C04224" w:rsidP="004F344B">
      <w:pPr>
        <w:rPr>
          <w:rFonts w:eastAsiaTheme="minorEastAsia"/>
          <w:b/>
          <w:lang w:eastAsia="zh-CN"/>
        </w:rPr>
      </w:pPr>
      <w:r w:rsidRPr="00C04224">
        <w:rPr>
          <w:rFonts w:eastAsiaTheme="minorEastAsia"/>
          <w:b/>
          <w:lang w:eastAsia="zh-CN"/>
        </w:rPr>
        <w:t xml:space="preserve">For 15 kHz SCS, </w:t>
      </w:r>
    </w:p>
    <w:p w:rsidR="00C04224" w:rsidRPr="00C04224" w:rsidRDefault="00C04224" w:rsidP="00C04224">
      <w:pPr>
        <w:pStyle w:val="a6"/>
        <w:numPr>
          <w:ilvl w:val="0"/>
          <w:numId w:val="21"/>
        </w:numPr>
        <w:ind w:firstLineChars="0"/>
        <w:rPr>
          <w:rFonts w:eastAsiaTheme="minorEastAsia"/>
          <w:b/>
          <w:lang w:eastAsia="zh-CN"/>
        </w:rPr>
      </w:pPr>
      <w:r w:rsidRPr="00C04224">
        <w:rPr>
          <w:rFonts w:eastAsiaTheme="minorEastAsia"/>
          <w:b/>
          <w:lang w:eastAsia="zh-CN"/>
        </w:rPr>
        <w:t>Configure the RMC of PDSCH with the same number of RBs as CORESET</w:t>
      </w:r>
    </w:p>
    <w:p w:rsidR="00C04224" w:rsidRPr="00C04224" w:rsidRDefault="00C04224" w:rsidP="00C04224">
      <w:pPr>
        <w:pStyle w:val="a6"/>
        <w:numPr>
          <w:ilvl w:val="0"/>
          <w:numId w:val="21"/>
        </w:numPr>
        <w:ind w:firstLineChars="0"/>
        <w:rPr>
          <w:rFonts w:eastAsiaTheme="minorEastAsia"/>
          <w:b/>
          <w:lang w:eastAsia="zh-CN"/>
        </w:rPr>
      </w:pPr>
      <w:r w:rsidRPr="00C04224">
        <w:rPr>
          <w:rFonts w:eastAsiaTheme="minorEastAsia"/>
          <w:b/>
          <w:lang w:eastAsia="zh-CN"/>
        </w:rPr>
        <w:t>Allocate the PDSCH at the same RB range as CORESET</w:t>
      </w:r>
    </w:p>
    <w:p w:rsidR="00C04224" w:rsidRPr="00C04224" w:rsidRDefault="00C04224" w:rsidP="00C04224">
      <w:pPr>
        <w:pStyle w:val="a6"/>
        <w:numPr>
          <w:ilvl w:val="0"/>
          <w:numId w:val="21"/>
        </w:numPr>
        <w:ind w:firstLineChars="0"/>
        <w:rPr>
          <w:rFonts w:eastAsiaTheme="minorEastAsia"/>
          <w:b/>
          <w:lang w:eastAsia="zh-CN"/>
        </w:rPr>
      </w:pPr>
      <w:r w:rsidRPr="00C04224">
        <w:rPr>
          <w:rFonts w:eastAsiaTheme="minorEastAsia"/>
          <w:b/>
          <w:lang w:eastAsia="zh-CN"/>
        </w:rPr>
        <w:t>Configure CORESET for RMSI and RMC with same configurations as CBW of 10 MHz</w:t>
      </w:r>
    </w:p>
    <w:p w:rsidR="00C04224" w:rsidRPr="00C04224" w:rsidRDefault="00C04224" w:rsidP="00C04224">
      <w:pPr>
        <w:pStyle w:val="a6"/>
        <w:numPr>
          <w:ilvl w:val="0"/>
          <w:numId w:val="21"/>
        </w:numPr>
        <w:ind w:firstLineChars="0"/>
        <w:rPr>
          <w:rFonts w:eastAsiaTheme="minorEastAsia"/>
          <w:b/>
          <w:lang w:eastAsia="zh-CN"/>
        </w:rPr>
      </w:pPr>
      <w:r w:rsidRPr="00C04224">
        <w:rPr>
          <w:rFonts w:eastAsiaTheme="minorEastAsia"/>
          <w:b/>
          <w:lang w:eastAsia="zh-CN"/>
        </w:rPr>
        <w:t>Distribute OC</w:t>
      </w:r>
      <w:r w:rsidR="00207272">
        <w:rPr>
          <w:rFonts w:eastAsiaTheme="minorEastAsia"/>
          <w:b/>
          <w:lang w:eastAsia="zh-CN"/>
        </w:rPr>
        <w:t>NG</w:t>
      </w:r>
      <w:r w:rsidRPr="00C04224">
        <w:rPr>
          <w:rFonts w:eastAsiaTheme="minorEastAsia"/>
          <w:b/>
          <w:lang w:eastAsia="zh-CN"/>
        </w:rPr>
        <w:t xml:space="preserve"> within the same RB range as CORESET</w:t>
      </w:r>
    </w:p>
    <w:p w:rsidR="00C04224" w:rsidRPr="00C04224" w:rsidRDefault="00C04224" w:rsidP="004F344B">
      <w:pPr>
        <w:rPr>
          <w:rFonts w:eastAsiaTheme="minorEastAsia"/>
          <w:b/>
          <w:lang w:eastAsia="zh-CN"/>
        </w:rPr>
      </w:pPr>
      <w:r w:rsidRPr="00C04224">
        <w:rPr>
          <w:rFonts w:eastAsiaTheme="minorEastAsia"/>
          <w:b/>
          <w:lang w:eastAsia="zh-CN"/>
        </w:rPr>
        <w:t xml:space="preserve">For 30 kHz SCS </w:t>
      </w:r>
    </w:p>
    <w:p w:rsidR="00C04224" w:rsidRPr="00C04224" w:rsidRDefault="00C04224" w:rsidP="00C04224">
      <w:pPr>
        <w:pStyle w:val="a6"/>
        <w:numPr>
          <w:ilvl w:val="0"/>
          <w:numId w:val="21"/>
        </w:numPr>
        <w:ind w:firstLineChars="0"/>
        <w:rPr>
          <w:rFonts w:eastAsiaTheme="minorEastAsia"/>
          <w:b/>
          <w:lang w:eastAsia="zh-CN"/>
        </w:rPr>
      </w:pPr>
      <w:r w:rsidRPr="00C04224">
        <w:rPr>
          <w:rFonts w:eastAsiaTheme="minorEastAsia"/>
          <w:b/>
          <w:lang w:eastAsia="zh-CN"/>
        </w:rPr>
        <w:t>Configure the RMC of PDSCH with the same number of RBs as CORESET</w:t>
      </w:r>
    </w:p>
    <w:p w:rsidR="00C04224" w:rsidRPr="00C04224" w:rsidRDefault="00C04224" w:rsidP="00C04224">
      <w:pPr>
        <w:pStyle w:val="a6"/>
        <w:numPr>
          <w:ilvl w:val="0"/>
          <w:numId w:val="21"/>
        </w:numPr>
        <w:ind w:firstLineChars="0"/>
        <w:rPr>
          <w:rFonts w:eastAsiaTheme="minorEastAsia"/>
          <w:b/>
          <w:lang w:eastAsia="zh-CN"/>
        </w:rPr>
      </w:pPr>
      <w:r w:rsidRPr="00C04224">
        <w:rPr>
          <w:rFonts w:eastAsiaTheme="minorEastAsia"/>
          <w:b/>
          <w:lang w:eastAsia="zh-CN"/>
        </w:rPr>
        <w:t>Allocate the PDSCH at the same RB range as CORESET</w:t>
      </w:r>
    </w:p>
    <w:p w:rsidR="00C04224" w:rsidRPr="00C04224" w:rsidRDefault="00C04224" w:rsidP="00C04224">
      <w:pPr>
        <w:pStyle w:val="a6"/>
        <w:numPr>
          <w:ilvl w:val="0"/>
          <w:numId w:val="21"/>
        </w:numPr>
        <w:ind w:firstLineChars="0"/>
        <w:rPr>
          <w:rFonts w:eastAsiaTheme="minorEastAsia"/>
          <w:b/>
          <w:lang w:eastAsia="zh-CN"/>
        </w:rPr>
      </w:pPr>
      <w:r w:rsidRPr="00C04224">
        <w:rPr>
          <w:rFonts w:eastAsiaTheme="minorEastAsia"/>
          <w:b/>
          <w:lang w:eastAsia="zh-CN"/>
        </w:rPr>
        <w:t>Configure CORESET for RMSI and RMC with same configurations as CBW of 40 MHz when CBW is larger than 40 MHz; When CBW is smaller than 40 MHz, the configuration of COREST for RMSI is referred to the table for minimum CBW of 5MHz or 10 MHz.</w:t>
      </w:r>
    </w:p>
    <w:p w:rsidR="00C04224" w:rsidRPr="00C04224" w:rsidRDefault="00C04224" w:rsidP="00C04224">
      <w:pPr>
        <w:pStyle w:val="a6"/>
        <w:numPr>
          <w:ilvl w:val="0"/>
          <w:numId w:val="21"/>
        </w:numPr>
        <w:ind w:firstLineChars="0"/>
        <w:rPr>
          <w:rFonts w:eastAsiaTheme="minorEastAsia"/>
          <w:b/>
          <w:lang w:eastAsia="zh-CN"/>
        </w:rPr>
      </w:pPr>
      <w:r w:rsidRPr="00C04224">
        <w:rPr>
          <w:rFonts w:eastAsiaTheme="minorEastAsia"/>
          <w:b/>
          <w:lang w:eastAsia="zh-CN"/>
        </w:rPr>
        <w:t>Distribute OC</w:t>
      </w:r>
      <w:r w:rsidR="00207272">
        <w:rPr>
          <w:rFonts w:eastAsiaTheme="minorEastAsia"/>
          <w:b/>
          <w:lang w:eastAsia="zh-CN"/>
        </w:rPr>
        <w:t>NG</w:t>
      </w:r>
      <w:r w:rsidRPr="00C04224">
        <w:rPr>
          <w:rFonts w:eastAsiaTheme="minorEastAsia"/>
          <w:b/>
          <w:lang w:eastAsia="zh-CN"/>
        </w:rPr>
        <w:t xml:space="preserve"> within the same RB range as CORESET</w:t>
      </w:r>
    </w:p>
    <w:p w:rsidR="00C04224" w:rsidRDefault="00C04224" w:rsidP="004F344B">
      <w:pPr>
        <w:rPr>
          <w:rFonts w:eastAsiaTheme="minorEastAsia"/>
          <w:lang w:eastAsia="zh-CN"/>
        </w:rPr>
      </w:pPr>
      <w:r>
        <w:rPr>
          <w:rFonts w:eastAsiaTheme="minorEastAsia" w:hint="eastAsia"/>
          <w:lang w:eastAsia="zh-CN"/>
        </w:rPr>
        <w:t>T</w:t>
      </w:r>
      <w:r>
        <w:rPr>
          <w:rFonts w:eastAsiaTheme="minorEastAsia"/>
          <w:lang w:eastAsia="zh-CN"/>
        </w:rPr>
        <w:t>hen based on proposal 1, in each test cases, the test configurations shall be modified to accommodate CBW configuration apart from what has been defined in the configuration table. Then the BW</w:t>
      </w:r>
      <w:r w:rsidRPr="00C04224">
        <w:rPr>
          <w:rFonts w:eastAsiaTheme="minorEastAsia"/>
          <w:vertAlign w:val="subscript"/>
          <w:lang w:eastAsia="zh-CN"/>
        </w:rPr>
        <w:t>channel</w:t>
      </w:r>
      <w:r>
        <w:rPr>
          <w:rFonts w:eastAsiaTheme="minorEastAsia"/>
          <w:vertAlign w:val="subscript"/>
          <w:lang w:eastAsia="zh-CN"/>
        </w:rPr>
        <w:t xml:space="preserve"> </w:t>
      </w:r>
      <w:r>
        <w:rPr>
          <w:rFonts w:eastAsiaTheme="minorEastAsia"/>
          <w:lang w:eastAsia="zh-CN"/>
        </w:rPr>
        <w:t xml:space="preserve">shall also be modified to coordinate the various CBW. One problem is the Noc as mentioned above, currently, Noc will be calculated on the whole CBW, with new CBW (e.g. 50 kHz for 30 kHz SCS), </w:t>
      </w:r>
      <w:r w:rsidR="00B704B9">
        <w:rPr>
          <w:rFonts w:eastAsiaTheme="minorEastAsia"/>
          <w:lang w:eastAsia="zh-CN"/>
        </w:rPr>
        <w:t>with Noc and SINR Es/Iot fixed, the Io and SS-RSRP will be impacted</w:t>
      </w:r>
      <w:r>
        <w:rPr>
          <w:rFonts w:eastAsiaTheme="minorEastAsia"/>
          <w:lang w:eastAsia="zh-CN"/>
        </w:rPr>
        <w:t xml:space="preserve">. </w:t>
      </w:r>
      <w:r w:rsidR="00B704B9">
        <w:rPr>
          <w:rFonts w:eastAsiaTheme="minorEastAsia"/>
          <w:lang w:eastAsia="zh-CN"/>
        </w:rPr>
        <w:t xml:space="preserve">Things are not very critical for most of the test cases as the Io and SS-RSRP are actually derived from other parameters. But for accuracy test cases, </w:t>
      </w:r>
      <w:r w:rsidR="00FB1382">
        <w:rPr>
          <w:rFonts w:eastAsiaTheme="minorEastAsia"/>
          <w:lang w:eastAsia="zh-CN"/>
        </w:rPr>
        <w:t xml:space="preserve">in some test cases the Noc and Es/Iot are configure that the Io could approximate the Max Io to </w:t>
      </w:r>
      <w:r w:rsidR="00CE23E6">
        <w:rPr>
          <w:rFonts w:eastAsiaTheme="minorEastAsia"/>
          <w:lang w:eastAsia="zh-CN"/>
        </w:rPr>
        <w:t>verify</w:t>
      </w:r>
      <w:r w:rsidR="00FB1382">
        <w:rPr>
          <w:rFonts w:eastAsiaTheme="minorEastAsia"/>
          <w:lang w:eastAsia="zh-CN"/>
        </w:rPr>
        <w:t xml:space="preserve"> corresponding accuracy requirements. Then </w:t>
      </w:r>
      <w:r w:rsidR="00D15B13">
        <w:rPr>
          <w:rFonts w:eastAsiaTheme="minorEastAsia"/>
          <w:lang w:eastAsia="zh-CN"/>
        </w:rPr>
        <w:t>for different CBW, the Noc and Es/Iot will be different. In some test cases, the SS-RSRP is configured as the min-RSRP, then the Io, Noc and E</w:t>
      </w:r>
      <w:r w:rsidR="00CE23E6">
        <w:rPr>
          <w:rFonts w:eastAsiaTheme="minorEastAsia"/>
          <w:lang w:eastAsia="zh-CN"/>
        </w:rPr>
        <w:t>s</w:t>
      </w:r>
      <w:r w:rsidR="00D15B13">
        <w:rPr>
          <w:rFonts w:eastAsiaTheme="minorEastAsia"/>
          <w:lang w:eastAsia="zh-CN"/>
        </w:rPr>
        <w:t>/Iot should also be changed accordingly. Currently, we fail to find some good approach to handle this, using equation to represent the variables is one possible way. It is suggested to further discuss how to accommodate different CBW in accuracy test cases.</w:t>
      </w:r>
    </w:p>
    <w:p w:rsidR="00C04224" w:rsidRDefault="00D15B13" w:rsidP="004F344B">
      <w:pPr>
        <w:rPr>
          <w:rFonts w:eastAsiaTheme="minorEastAsia"/>
          <w:b/>
          <w:lang w:eastAsia="zh-CN"/>
        </w:rPr>
      </w:pPr>
      <w:r w:rsidRPr="00D15B13">
        <w:rPr>
          <w:rFonts w:eastAsiaTheme="minorEastAsia"/>
          <w:b/>
          <w:lang w:eastAsia="zh-CN"/>
        </w:rPr>
        <w:t>Observation 2: FFS how to accommodate different CBW in accuracy test cases.</w:t>
      </w:r>
    </w:p>
    <w:p w:rsidR="009117D0" w:rsidRPr="004A22ED" w:rsidRDefault="009117D0" w:rsidP="009117D0">
      <w:pPr>
        <w:pStyle w:val="3"/>
        <w:rPr>
          <w:lang w:val="en-US" w:eastAsia="zh-CN"/>
        </w:rPr>
      </w:pPr>
      <w:r>
        <w:rPr>
          <w:lang w:val="en-US" w:eastAsia="zh-CN"/>
        </w:rPr>
        <w:t xml:space="preserve">2.2 FR1/LTE+FR2 testability </w:t>
      </w:r>
      <w:r w:rsidRPr="004A22ED">
        <w:rPr>
          <w:lang w:val="en-US" w:eastAsia="zh-CN"/>
        </w:rPr>
        <w:t xml:space="preserve"> </w:t>
      </w:r>
    </w:p>
    <w:p w:rsidR="009117D0" w:rsidRDefault="009117D0" w:rsidP="004F344B">
      <w:pPr>
        <w:rPr>
          <w:rFonts w:eastAsiaTheme="minorEastAsia"/>
          <w:lang w:eastAsia="zh-CN"/>
        </w:rPr>
      </w:pPr>
      <w:r w:rsidRPr="009117D0">
        <w:rPr>
          <w:rFonts w:eastAsiaTheme="minorEastAsia" w:hint="eastAsia"/>
          <w:lang w:eastAsia="zh-CN"/>
        </w:rPr>
        <w:t xml:space="preserve">The FR1/LTE + FR2 testability issue was </w:t>
      </w:r>
      <w:r w:rsidRPr="009117D0">
        <w:rPr>
          <w:rFonts w:eastAsiaTheme="minorEastAsia"/>
          <w:lang w:eastAsia="zh-CN"/>
        </w:rPr>
        <w:t>discussed</w:t>
      </w:r>
      <w:r w:rsidRPr="009117D0">
        <w:rPr>
          <w:rFonts w:eastAsiaTheme="minorEastAsia" w:hint="eastAsia"/>
          <w:lang w:eastAsia="zh-CN"/>
        </w:rPr>
        <w:t xml:space="preserve"> </w:t>
      </w:r>
      <w:r w:rsidRPr="009117D0">
        <w:rPr>
          <w:rFonts w:eastAsiaTheme="minorEastAsia"/>
          <w:lang w:eastAsia="zh-CN"/>
        </w:rPr>
        <w:t>again in the last meeting. The issue has been discussed during related Rel-16 WI in the perf stage.</w:t>
      </w:r>
      <w:r>
        <w:rPr>
          <w:rFonts w:eastAsiaTheme="minorEastAsia"/>
          <w:lang w:eastAsia="zh-CN"/>
        </w:rPr>
        <w:t xml:space="preserve"> Some test cases for NR FR1 and FR2 were skipped due to the testability issues. However, there was no clear definition or criteria about what kind of test cases could not be conducted. In the last meeting, it was identified that there were also many test cases facing the same problem since Rel-15 and companies agreed to come up with some general approach to handle this issue. The status were summarized as follows:</w:t>
      </w:r>
    </w:p>
    <w:tbl>
      <w:tblPr>
        <w:tblStyle w:val="a7"/>
        <w:tblW w:w="0" w:type="auto"/>
        <w:tblLook w:val="04A0" w:firstRow="1" w:lastRow="0" w:firstColumn="1" w:lastColumn="0" w:noHBand="0" w:noVBand="1"/>
      </w:tblPr>
      <w:tblGrid>
        <w:gridCol w:w="9562"/>
      </w:tblGrid>
      <w:tr w:rsidR="009117D0" w:rsidTr="009117D0">
        <w:tc>
          <w:tcPr>
            <w:tcW w:w="9562" w:type="dxa"/>
          </w:tcPr>
          <w:p w:rsidR="00D61355" w:rsidRPr="009117D0" w:rsidRDefault="008A65F7" w:rsidP="009117D0">
            <w:pPr>
              <w:numPr>
                <w:ilvl w:val="0"/>
                <w:numId w:val="22"/>
              </w:numPr>
              <w:rPr>
                <w:rFonts w:eastAsiaTheme="minorEastAsia"/>
                <w:lang w:val="en-US" w:eastAsia="zh-CN"/>
              </w:rPr>
            </w:pPr>
            <w:r w:rsidRPr="009117D0">
              <w:rPr>
                <w:rFonts w:eastAsiaTheme="minorEastAsia"/>
                <w:lang w:val="en-US" w:eastAsia="zh-CN"/>
              </w:rPr>
              <w:t>Testability issue for RRM test case which requires performance verification on cells of:</w:t>
            </w:r>
          </w:p>
          <w:p w:rsidR="00D61355" w:rsidRPr="009117D0" w:rsidRDefault="008A65F7" w:rsidP="009117D0">
            <w:pPr>
              <w:numPr>
                <w:ilvl w:val="1"/>
                <w:numId w:val="22"/>
              </w:numPr>
              <w:rPr>
                <w:rFonts w:eastAsiaTheme="minorEastAsia"/>
                <w:lang w:val="en-US" w:eastAsia="zh-CN"/>
              </w:rPr>
            </w:pPr>
            <w:r w:rsidRPr="009117D0">
              <w:rPr>
                <w:rFonts w:eastAsiaTheme="minorEastAsia"/>
                <w:lang w:val="en-US" w:eastAsia="zh-CN"/>
              </w:rPr>
              <w:t>Both FR1 and FR2 or</w:t>
            </w:r>
          </w:p>
          <w:p w:rsidR="00D61355" w:rsidRPr="009117D0" w:rsidRDefault="008A65F7" w:rsidP="009117D0">
            <w:pPr>
              <w:numPr>
                <w:ilvl w:val="1"/>
                <w:numId w:val="22"/>
              </w:numPr>
              <w:rPr>
                <w:rFonts w:eastAsiaTheme="minorEastAsia"/>
                <w:lang w:val="en-US" w:eastAsia="zh-CN"/>
              </w:rPr>
            </w:pPr>
            <w:r w:rsidRPr="009117D0">
              <w:rPr>
                <w:rFonts w:eastAsiaTheme="minorEastAsia"/>
                <w:lang w:val="en-US" w:eastAsia="zh-CN"/>
              </w:rPr>
              <w:t>Both LTE and FR2</w:t>
            </w:r>
          </w:p>
          <w:p w:rsidR="00D61355" w:rsidRPr="009117D0" w:rsidRDefault="008A65F7" w:rsidP="009117D0">
            <w:pPr>
              <w:numPr>
                <w:ilvl w:val="0"/>
                <w:numId w:val="22"/>
              </w:numPr>
              <w:rPr>
                <w:rFonts w:eastAsiaTheme="minorEastAsia"/>
                <w:lang w:val="en-US" w:eastAsia="zh-CN"/>
              </w:rPr>
            </w:pPr>
            <w:r w:rsidRPr="009117D0">
              <w:rPr>
                <w:rFonts w:eastAsiaTheme="minorEastAsia"/>
                <w:lang w:val="en-US" w:eastAsia="zh-CN"/>
              </w:rPr>
              <w:t>FFS: Criteria to identify/select test cases that can be performed and their performance can be verified out of the test cases with OTA testability issue as identified in bullet # 1:</w:t>
            </w:r>
          </w:p>
          <w:p w:rsidR="00D61355" w:rsidRPr="009117D0" w:rsidRDefault="008A65F7" w:rsidP="009117D0">
            <w:pPr>
              <w:numPr>
                <w:ilvl w:val="1"/>
                <w:numId w:val="22"/>
              </w:numPr>
              <w:rPr>
                <w:rFonts w:eastAsiaTheme="minorEastAsia"/>
                <w:lang w:val="en-US" w:eastAsia="zh-CN"/>
              </w:rPr>
            </w:pPr>
            <w:r w:rsidRPr="009117D0">
              <w:rPr>
                <w:rFonts w:eastAsiaTheme="minorEastAsia"/>
                <w:lang w:val="en-US" w:eastAsia="zh-CN"/>
              </w:rPr>
              <w:lastRenderedPageBreak/>
              <w:t xml:space="preserve">Option 1: Based on power level: </w:t>
            </w:r>
          </w:p>
          <w:p w:rsidR="00D61355" w:rsidRPr="009117D0" w:rsidRDefault="008A65F7" w:rsidP="009117D0">
            <w:pPr>
              <w:numPr>
                <w:ilvl w:val="3"/>
                <w:numId w:val="22"/>
              </w:numPr>
              <w:rPr>
                <w:rFonts w:eastAsiaTheme="minorEastAsia"/>
                <w:lang w:val="en-US" w:eastAsia="zh-CN"/>
              </w:rPr>
            </w:pPr>
            <w:r w:rsidRPr="009117D0">
              <w:rPr>
                <w:rFonts w:eastAsiaTheme="minorEastAsia"/>
                <w:lang w:val="en-US" w:eastAsia="zh-CN"/>
              </w:rPr>
              <w:t>Absolute power measured on LTE/FR1 cell or</w:t>
            </w:r>
          </w:p>
          <w:p w:rsidR="00D61355" w:rsidRPr="009117D0" w:rsidRDefault="008A65F7" w:rsidP="009117D0">
            <w:pPr>
              <w:numPr>
                <w:ilvl w:val="3"/>
                <w:numId w:val="22"/>
              </w:numPr>
              <w:rPr>
                <w:rFonts w:eastAsiaTheme="minorEastAsia"/>
                <w:lang w:val="en-US" w:eastAsia="zh-CN"/>
              </w:rPr>
            </w:pPr>
            <w:r w:rsidRPr="009117D0">
              <w:rPr>
                <w:rFonts w:eastAsiaTheme="minorEastAsia"/>
                <w:lang w:val="en-US" w:eastAsia="zh-CN"/>
              </w:rPr>
              <w:t>Relative power measured between LTE and FR2 cells or between FR1 and FR2 cells</w:t>
            </w:r>
          </w:p>
          <w:p w:rsidR="00D61355" w:rsidRPr="009117D0" w:rsidRDefault="008A65F7" w:rsidP="009117D0">
            <w:pPr>
              <w:numPr>
                <w:ilvl w:val="1"/>
                <w:numId w:val="22"/>
              </w:numPr>
              <w:rPr>
                <w:rFonts w:eastAsiaTheme="minorEastAsia"/>
                <w:lang w:val="en-US" w:eastAsia="zh-CN"/>
              </w:rPr>
            </w:pPr>
            <w:r w:rsidRPr="009117D0">
              <w:rPr>
                <w:rFonts w:eastAsiaTheme="minorEastAsia"/>
                <w:lang w:val="en-US" w:eastAsia="zh-CN"/>
              </w:rPr>
              <w:t>Other options/criteria are not precluded.</w:t>
            </w:r>
          </w:p>
          <w:p w:rsidR="00D61355" w:rsidRPr="009117D0" w:rsidRDefault="008A65F7" w:rsidP="009117D0">
            <w:pPr>
              <w:numPr>
                <w:ilvl w:val="1"/>
                <w:numId w:val="22"/>
              </w:numPr>
              <w:rPr>
                <w:rFonts w:eastAsiaTheme="minorEastAsia"/>
                <w:lang w:val="en-US" w:eastAsia="zh-CN"/>
              </w:rPr>
            </w:pPr>
            <w:r w:rsidRPr="009117D0">
              <w:rPr>
                <w:rFonts w:eastAsiaTheme="minorEastAsia"/>
                <w:lang w:val="en-US" w:eastAsia="zh-CN"/>
              </w:rPr>
              <w:t>Companies are encouraged to provide the list of affected test cases.</w:t>
            </w:r>
          </w:p>
          <w:p w:rsidR="00D61355" w:rsidRPr="009117D0" w:rsidRDefault="008A65F7" w:rsidP="009117D0">
            <w:pPr>
              <w:numPr>
                <w:ilvl w:val="0"/>
                <w:numId w:val="22"/>
              </w:numPr>
              <w:rPr>
                <w:rFonts w:eastAsiaTheme="minorEastAsia"/>
                <w:lang w:val="en-US" w:eastAsia="zh-CN"/>
              </w:rPr>
            </w:pPr>
            <w:r w:rsidRPr="009117D0">
              <w:rPr>
                <w:rFonts w:eastAsiaTheme="minorEastAsia"/>
                <w:lang w:val="en-US" w:eastAsia="zh-CN"/>
              </w:rPr>
              <w:t>Mechanism to exclude testing of the test cases (or parts of requirements of the test cases) identified in bullet #1 (with OTA testability issues) but not determined to be testable through bullet #2 criteria:</w:t>
            </w:r>
          </w:p>
          <w:p w:rsidR="00D61355" w:rsidRPr="009117D0" w:rsidRDefault="008A65F7" w:rsidP="009117D0">
            <w:pPr>
              <w:numPr>
                <w:ilvl w:val="1"/>
                <w:numId w:val="22"/>
              </w:numPr>
              <w:rPr>
                <w:rFonts w:eastAsiaTheme="minorEastAsia"/>
                <w:lang w:val="en-US" w:eastAsia="zh-CN"/>
              </w:rPr>
            </w:pPr>
            <w:r w:rsidRPr="009117D0">
              <w:rPr>
                <w:rFonts w:eastAsiaTheme="minorEastAsia"/>
                <w:lang w:val="en-US" w:eastAsia="zh-CN"/>
              </w:rPr>
              <w:t xml:space="preserve">Option 1: General rule/applicability rule is defined in Annex of TS 38.133: </w:t>
            </w:r>
          </w:p>
          <w:p w:rsidR="00D61355" w:rsidRPr="009117D0" w:rsidRDefault="008A65F7" w:rsidP="009117D0">
            <w:pPr>
              <w:numPr>
                <w:ilvl w:val="2"/>
                <w:numId w:val="22"/>
              </w:numPr>
              <w:rPr>
                <w:rFonts w:eastAsiaTheme="minorEastAsia"/>
                <w:lang w:val="en-US" w:eastAsia="zh-CN"/>
              </w:rPr>
            </w:pPr>
            <w:r w:rsidRPr="009117D0">
              <w:rPr>
                <w:rFonts w:eastAsiaTheme="minorEastAsia"/>
                <w:lang w:val="en-US" w:eastAsia="zh-CN"/>
              </w:rPr>
              <w:t>Following tests are not currently performed e.g., RRM test cases which have testability limitation:</w:t>
            </w:r>
          </w:p>
          <w:p w:rsidR="00D61355" w:rsidRPr="009117D0" w:rsidRDefault="008A65F7" w:rsidP="009117D0">
            <w:pPr>
              <w:numPr>
                <w:ilvl w:val="3"/>
                <w:numId w:val="22"/>
              </w:numPr>
              <w:rPr>
                <w:rFonts w:eastAsiaTheme="minorEastAsia"/>
                <w:lang w:val="en-US" w:eastAsia="zh-CN"/>
              </w:rPr>
            </w:pPr>
            <w:r w:rsidRPr="009117D0">
              <w:rPr>
                <w:rFonts w:eastAsiaTheme="minorEastAsia"/>
                <w:lang w:val="sv-SE" w:eastAsia="zh-CN"/>
              </w:rPr>
              <w:t>Test cases are FFS</w:t>
            </w:r>
          </w:p>
          <w:p w:rsidR="00D61355" w:rsidRPr="009117D0" w:rsidRDefault="008A65F7" w:rsidP="009117D0">
            <w:pPr>
              <w:numPr>
                <w:ilvl w:val="2"/>
                <w:numId w:val="22"/>
              </w:numPr>
              <w:rPr>
                <w:rFonts w:eastAsiaTheme="minorEastAsia"/>
                <w:lang w:val="en-US" w:eastAsia="zh-CN"/>
              </w:rPr>
            </w:pPr>
            <w:r w:rsidRPr="009117D0">
              <w:rPr>
                <w:rFonts w:eastAsiaTheme="minorEastAsia"/>
                <w:lang w:val="en-US" w:eastAsia="zh-CN"/>
              </w:rPr>
              <w:t>Section numbers of the tests which are not currently performed will be listed in the section containing applicability rule.</w:t>
            </w:r>
          </w:p>
          <w:p w:rsidR="00D61355" w:rsidRPr="009117D0" w:rsidRDefault="008A65F7" w:rsidP="009117D0">
            <w:pPr>
              <w:numPr>
                <w:ilvl w:val="1"/>
                <w:numId w:val="22"/>
              </w:numPr>
              <w:rPr>
                <w:rFonts w:eastAsiaTheme="minorEastAsia"/>
                <w:lang w:val="en-US" w:eastAsia="zh-CN"/>
              </w:rPr>
            </w:pPr>
            <w:r w:rsidRPr="009117D0">
              <w:rPr>
                <w:rFonts w:eastAsiaTheme="minorEastAsia"/>
                <w:lang w:val="en-US" w:eastAsia="zh-CN"/>
              </w:rPr>
              <w:t>Other options are not precluded.</w:t>
            </w:r>
          </w:p>
          <w:p w:rsidR="00D61355" w:rsidRPr="009117D0" w:rsidRDefault="008A65F7" w:rsidP="009117D0">
            <w:pPr>
              <w:numPr>
                <w:ilvl w:val="0"/>
                <w:numId w:val="22"/>
              </w:numPr>
              <w:rPr>
                <w:rFonts w:eastAsiaTheme="minorEastAsia"/>
                <w:lang w:val="en-US" w:eastAsia="zh-CN"/>
              </w:rPr>
            </w:pPr>
            <w:r w:rsidRPr="009117D0">
              <w:rPr>
                <w:rFonts w:eastAsiaTheme="minorEastAsia"/>
                <w:lang w:val="en-US" w:eastAsia="zh-CN"/>
              </w:rPr>
              <w:t>Companies are encouraged to provide input on the above issues in RAN4#100-e.</w:t>
            </w:r>
          </w:p>
          <w:p w:rsidR="009117D0" w:rsidRPr="009117D0" w:rsidRDefault="009117D0" w:rsidP="004F344B">
            <w:pPr>
              <w:rPr>
                <w:rFonts w:eastAsiaTheme="minorEastAsia"/>
                <w:lang w:val="en-US" w:eastAsia="zh-CN"/>
              </w:rPr>
            </w:pPr>
          </w:p>
        </w:tc>
      </w:tr>
    </w:tbl>
    <w:p w:rsidR="009117D0" w:rsidRDefault="009117D0" w:rsidP="004F344B">
      <w:pPr>
        <w:rPr>
          <w:rFonts w:eastAsiaTheme="minorEastAsia"/>
          <w:lang w:eastAsia="zh-CN"/>
        </w:rPr>
      </w:pPr>
    </w:p>
    <w:p w:rsidR="009117D0" w:rsidRDefault="009117D0" w:rsidP="004F344B">
      <w:pPr>
        <w:rPr>
          <w:rFonts w:eastAsiaTheme="minorEastAsia"/>
          <w:lang w:eastAsia="zh-CN"/>
        </w:rPr>
      </w:pPr>
      <w:r>
        <w:rPr>
          <w:rFonts w:eastAsiaTheme="minorEastAsia" w:hint="eastAsia"/>
          <w:lang w:eastAsia="zh-CN"/>
        </w:rPr>
        <w:t xml:space="preserve">According to the outcome of SI </w:t>
      </w:r>
      <w:r>
        <w:rPr>
          <w:rFonts w:eastAsiaTheme="minorEastAsia"/>
          <w:lang w:eastAsia="zh-CN"/>
        </w:rPr>
        <w:t xml:space="preserve">of test methodology [2], </w:t>
      </w:r>
      <w:r>
        <w:rPr>
          <w:rFonts w:eastAsiaTheme="minorEastAsia"/>
          <w:lang w:eastAsia="zh-CN"/>
        </w:rPr>
        <w:tab/>
        <w:t xml:space="preserve">the test setup shall be capable to provide NR FR1 link to the DUT. But the performance shall not be verified. According the conclusion, it is also hard to derive some </w:t>
      </w:r>
      <w:r w:rsidRPr="009117D0">
        <w:rPr>
          <w:rFonts w:eastAsiaTheme="minorEastAsia"/>
          <w:lang w:eastAsia="zh-CN"/>
        </w:rPr>
        <w:t>quantitative</w:t>
      </w:r>
      <w:r>
        <w:rPr>
          <w:rFonts w:eastAsiaTheme="minorEastAsia"/>
          <w:lang w:eastAsia="zh-CN"/>
        </w:rPr>
        <w:t xml:space="preserve"> criteria to decide whether a certain test cases could be conducted or not.</w:t>
      </w:r>
    </w:p>
    <w:tbl>
      <w:tblPr>
        <w:tblStyle w:val="a7"/>
        <w:tblW w:w="0" w:type="auto"/>
        <w:tblLook w:val="04A0" w:firstRow="1" w:lastRow="0" w:firstColumn="1" w:lastColumn="0" w:noHBand="0" w:noVBand="1"/>
      </w:tblPr>
      <w:tblGrid>
        <w:gridCol w:w="9562"/>
      </w:tblGrid>
      <w:tr w:rsidR="009117D0" w:rsidTr="009117D0">
        <w:tc>
          <w:tcPr>
            <w:tcW w:w="9562" w:type="dxa"/>
          </w:tcPr>
          <w:p w:rsidR="009117D0" w:rsidRPr="009117D0" w:rsidRDefault="009117D0" w:rsidP="009117D0">
            <w:pPr>
              <w:pStyle w:val="B2"/>
              <w:rPr>
                <w:rFonts w:eastAsia="Malgun Gothic"/>
              </w:rPr>
            </w:pPr>
            <w:r>
              <w:t>-</w:t>
            </w:r>
            <w:r>
              <w:tab/>
              <w:t>For test scenarios involving both, NR FR1 and NR FR2 carriers, the test setup shall be capable to provide NR FR1 link to the DUT. The NR FR1 link has a stable and noise-free signal without precise path loss or polarization control. No performance verification for and relative to NR FR1 carriers is supported.</w:t>
            </w:r>
          </w:p>
        </w:tc>
      </w:tr>
    </w:tbl>
    <w:p w:rsidR="009117D0" w:rsidRDefault="009117D0" w:rsidP="004F344B">
      <w:pPr>
        <w:rPr>
          <w:rFonts w:eastAsiaTheme="minorEastAsia"/>
          <w:lang w:eastAsia="zh-CN"/>
        </w:rPr>
      </w:pPr>
    </w:p>
    <w:p w:rsidR="009117D0" w:rsidRDefault="009117D0" w:rsidP="004F344B">
      <w:pPr>
        <w:rPr>
          <w:rFonts w:eastAsiaTheme="minorEastAsia"/>
          <w:lang w:eastAsia="zh-CN"/>
        </w:rPr>
      </w:pPr>
      <w:r>
        <w:rPr>
          <w:rFonts w:eastAsiaTheme="minorEastAsia" w:hint="eastAsia"/>
          <w:lang w:eastAsia="zh-CN"/>
        </w:rPr>
        <w:t>T</w:t>
      </w:r>
      <w:r>
        <w:rPr>
          <w:rFonts w:eastAsiaTheme="minorEastAsia"/>
          <w:lang w:eastAsia="zh-CN"/>
        </w:rPr>
        <w:t xml:space="preserve">hen </w:t>
      </w:r>
      <w:r w:rsidR="00CE23E6">
        <w:rPr>
          <w:rFonts w:eastAsiaTheme="minorEastAsia"/>
          <w:lang w:eastAsia="zh-CN"/>
        </w:rPr>
        <w:t xml:space="preserve">we </w:t>
      </w:r>
      <w:r>
        <w:rPr>
          <w:rFonts w:eastAsiaTheme="minorEastAsia"/>
          <w:lang w:eastAsia="zh-CN"/>
        </w:rPr>
        <w:t>look further into the details of each test cases. The situation for one typical type of test cases is severer recognized by most companies, where the interruption on NR FR1 and LTE Cell is verified. In such test cases, the UE is continuously scheduled in the Cell (NR FR1 or LTE), and the interruption is verified by the transmission of ACK/NACK of UE. The involved test cases are summarized as followed:</w:t>
      </w:r>
    </w:p>
    <w:tbl>
      <w:tblPr>
        <w:tblStyle w:val="a7"/>
        <w:tblW w:w="0" w:type="auto"/>
        <w:tblLook w:val="04A0" w:firstRow="1" w:lastRow="0" w:firstColumn="1" w:lastColumn="0" w:noHBand="0" w:noVBand="1"/>
      </w:tblPr>
      <w:tblGrid>
        <w:gridCol w:w="9562"/>
      </w:tblGrid>
      <w:tr w:rsidR="009117D0" w:rsidTr="009117D0">
        <w:tc>
          <w:tcPr>
            <w:tcW w:w="9562" w:type="dxa"/>
          </w:tcPr>
          <w:p w:rsidR="009117D0" w:rsidRDefault="009117D0" w:rsidP="004F344B">
            <w:pPr>
              <w:rPr>
                <w:rFonts w:eastAsiaTheme="minorEastAsia"/>
                <w:lang w:eastAsia="zh-CN"/>
              </w:rPr>
            </w:pPr>
            <w:r w:rsidRPr="009117D0">
              <w:rPr>
                <w:rFonts w:eastAsiaTheme="minorEastAsia"/>
                <w:lang w:eastAsia="zh-CN"/>
              </w:rPr>
              <w:t>A.5.5.2</w:t>
            </w:r>
            <w:r w:rsidRPr="009117D0">
              <w:rPr>
                <w:rFonts w:eastAsiaTheme="minorEastAsia"/>
                <w:lang w:eastAsia="zh-CN"/>
              </w:rPr>
              <w:tab/>
              <w:t>Interruption</w:t>
            </w:r>
          </w:p>
          <w:p w:rsidR="009117D0" w:rsidRDefault="009117D0" w:rsidP="004F344B">
            <w:pPr>
              <w:rPr>
                <w:rFonts w:eastAsiaTheme="minorEastAsia"/>
                <w:lang w:eastAsia="zh-CN"/>
              </w:rPr>
            </w:pPr>
            <w:r w:rsidRPr="009117D0">
              <w:rPr>
                <w:rFonts w:eastAsiaTheme="minorEastAsia"/>
                <w:lang w:eastAsia="zh-CN"/>
              </w:rPr>
              <w:t>A.5.5.3</w:t>
            </w:r>
            <w:r w:rsidRPr="009117D0">
              <w:rPr>
                <w:rFonts w:eastAsiaTheme="minorEastAsia"/>
                <w:lang w:eastAsia="zh-CN"/>
              </w:rPr>
              <w:tab/>
              <w:t>SCell Activation and Deactivation Delay</w:t>
            </w:r>
          </w:p>
          <w:p w:rsidR="009117D0" w:rsidRDefault="009117D0" w:rsidP="004F344B">
            <w:pPr>
              <w:rPr>
                <w:rFonts w:eastAsiaTheme="minorEastAsia"/>
                <w:lang w:eastAsia="zh-CN"/>
              </w:rPr>
            </w:pPr>
            <w:r w:rsidRPr="009117D0">
              <w:rPr>
                <w:rFonts w:eastAsiaTheme="minorEastAsia"/>
                <w:lang w:eastAsia="zh-CN"/>
              </w:rPr>
              <w:t>A.5.5.6</w:t>
            </w:r>
            <w:r w:rsidRPr="009117D0">
              <w:rPr>
                <w:rFonts w:eastAsiaTheme="minorEastAsia"/>
                <w:lang w:eastAsia="zh-CN"/>
              </w:rPr>
              <w:tab/>
              <w:t>Active BWP switch</w:t>
            </w:r>
          </w:p>
          <w:p w:rsidR="009117D0" w:rsidRDefault="009117D0" w:rsidP="004F344B">
            <w:pPr>
              <w:rPr>
                <w:rFonts w:eastAsiaTheme="minorEastAsia"/>
                <w:lang w:eastAsia="zh-CN"/>
              </w:rPr>
            </w:pPr>
            <w:r w:rsidRPr="009117D0">
              <w:rPr>
                <w:rFonts w:eastAsiaTheme="minorEastAsia"/>
                <w:lang w:eastAsia="zh-CN"/>
              </w:rPr>
              <w:t>A.5.5.10</w:t>
            </w:r>
            <w:r w:rsidRPr="009117D0">
              <w:rPr>
                <w:rFonts w:eastAsiaTheme="minorEastAsia"/>
                <w:lang w:eastAsia="zh-CN"/>
              </w:rPr>
              <w:tab/>
              <w:t>UE specific CBW change</w:t>
            </w:r>
          </w:p>
          <w:p w:rsidR="009117D0" w:rsidRDefault="009117D0" w:rsidP="004F344B">
            <w:pPr>
              <w:rPr>
                <w:rFonts w:eastAsiaTheme="minorEastAsia"/>
                <w:lang w:eastAsia="zh-CN"/>
              </w:rPr>
            </w:pPr>
            <w:r w:rsidRPr="009117D0">
              <w:rPr>
                <w:rFonts w:eastAsiaTheme="minorEastAsia"/>
                <w:lang w:eastAsia="zh-CN"/>
              </w:rPr>
              <w:t>A.7.5.3.2</w:t>
            </w:r>
            <w:r w:rsidRPr="009117D0">
              <w:rPr>
                <w:rFonts w:eastAsiaTheme="minorEastAsia"/>
                <w:lang w:eastAsia="zh-CN"/>
              </w:rPr>
              <w:tab/>
              <w:t>SCell Activation and deactivation for FR1+FR2 inter-band with target SCell in FR2</w:t>
            </w:r>
          </w:p>
          <w:p w:rsidR="009117D0" w:rsidRDefault="009117D0" w:rsidP="004F344B">
            <w:pPr>
              <w:rPr>
                <w:rFonts w:eastAsiaTheme="minorEastAsia"/>
                <w:lang w:eastAsia="zh-CN"/>
              </w:rPr>
            </w:pPr>
            <w:r w:rsidRPr="009117D0">
              <w:rPr>
                <w:rFonts w:eastAsiaTheme="minorEastAsia"/>
                <w:lang w:eastAsia="zh-CN"/>
              </w:rPr>
              <w:t>A.7.5.6.1.2</w:t>
            </w:r>
            <w:r w:rsidRPr="009117D0">
              <w:rPr>
                <w:rFonts w:eastAsiaTheme="minorEastAsia"/>
                <w:lang w:eastAsia="zh-CN"/>
              </w:rPr>
              <w:tab/>
              <w:t>NR FR1- NR FR2 DL active BWP switch of PCell with non-DRX in SA</w:t>
            </w:r>
          </w:p>
          <w:p w:rsidR="009117D0" w:rsidRPr="009117D0" w:rsidRDefault="009117D0" w:rsidP="004F344B">
            <w:pPr>
              <w:rPr>
                <w:rFonts w:eastAsiaTheme="minorEastAsia"/>
                <w:lang w:eastAsia="zh-CN"/>
              </w:rPr>
            </w:pPr>
            <w:r w:rsidRPr="009117D0">
              <w:rPr>
                <w:rFonts w:eastAsiaTheme="minorEastAsia"/>
                <w:lang w:eastAsia="zh-CN"/>
              </w:rPr>
              <w:t>A.7.5.6.4.2</w:t>
            </w:r>
            <w:r w:rsidRPr="009117D0">
              <w:rPr>
                <w:rFonts w:eastAsiaTheme="minorEastAsia"/>
                <w:lang w:eastAsia="zh-CN"/>
              </w:rPr>
              <w:tab/>
              <w:t>NR FR1 PCell SCell dormancy switch of two FR2 SCells outside active time</w:t>
            </w:r>
          </w:p>
        </w:tc>
      </w:tr>
    </w:tbl>
    <w:p w:rsidR="009117D0" w:rsidRDefault="009117D0" w:rsidP="004F344B">
      <w:pPr>
        <w:rPr>
          <w:rFonts w:eastAsiaTheme="minorEastAsia"/>
          <w:lang w:eastAsia="zh-CN"/>
        </w:rPr>
      </w:pPr>
    </w:p>
    <w:p w:rsidR="009117D0" w:rsidRDefault="009117D0" w:rsidP="004F344B">
      <w:r>
        <w:rPr>
          <w:rFonts w:eastAsiaTheme="minorEastAsia"/>
          <w:lang w:eastAsia="zh-CN"/>
        </w:rPr>
        <w:t xml:space="preserve">For the above test cases, companies have concerns that whether the SINR conditions can be guaranteed that UE could decode correctly and feedback the ACK/NACK. So these test cases may not be able to be correctly performed due to the OTA testability issue. For the other test cases </w:t>
      </w:r>
      <w:r>
        <w:rPr>
          <w:rFonts w:eastAsiaTheme="minorEastAsia" w:hint="eastAsia"/>
          <w:lang w:eastAsia="zh-CN"/>
        </w:rPr>
        <w:t>in</w:t>
      </w:r>
      <w:r>
        <w:rPr>
          <w:rFonts w:eastAsiaTheme="minorEastAsia"/>
          <w:lang w:eastAsia="zh-CN"/>
        </w:rPr>
        <w:t xml:space="preserve">volving FR1/LTE + FR2 CC, the NR FR1 or LTE Cell are mainly </w:t>
      </w:r>
      <w:r>
        <w:rPr>
          <w:rFonts w:eastAsiaTheme="minorEastAsia"/>
          <w:lang w:eastAsia="zh-CN"/>
        </w:rPr>
        <w:lastRenderedPageBreak/>
        <w:t xml:space="preserve">work to provide the setup and configurations without performance verification. For instance, in </w:t>
      </w:r>
      <w:r w:rsidRPr="001C0E1B">
        <w:t>A.7.6.2.5</w:t>
      </w:r>
      <w:r>
        <w:t xml:space="preserve"> (event triggered reporting tests for FR2 with PCell 1 FR1), The SINR condition for Cell1 (PCell FR1) is defined as follows:</w:t>
      </w:r>
    </w:p>
    <w:tbl>
      <w:tblPr>
        <w:tblStyle w:val="a7"/>
        <w:tblW w:w="0" w:type="auto"/>
        <w:tblLook w:val="04A0" w:firstRow="1" w:lastRow="0" w:firstColumn="1" w:lastColumn="0" w:noHBand="0" w:noVBand="1"/>
      </w:tblPr>
      <w:tblGrid>
        <w:gridCol w:w="9562"/>
      </w:tblGrid>
      <w:tr w:rsidR="00CB497D" w:rsidTr="00CB497D">
        <w:tc>
          <w:tcPr>
            <w:tcW w:w="9562" w:type="dxa"/>
          </w:tcPr>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087"/>
              <w:gridCol w:w="1251"/>
              <w:gridCol w:w="1896"/>
              <w:gridCol w:w="1032"/>
              <w:gridCol w:w="1128"/>
            </w:tblGrid>
            <w:tr w:rsidR="00CB497D" w:rsidRPr="001C0E1B" w:rsidDel="00860F26" w:rsidTr="003A2C64">
              <w:trPr>
                <w:cantSplit/>
                <w:trHeight w:val="150"/>
              </w:trPr>
              <w:tc>
                <w:tcPr>
                  <w:tcW w:w="2628" w:type="dxa"/>
                  <w:tcBorders>
                    <w:top w:val="nil"/>
                  </w:tcBorders>
                </w:tcPr>
                <w:p w:rsidR="00CB497D" w:rsidRPr="001C0E1B" w:rsidDel="00860F26" w:rsidRDefault="00CB497D" w:rsidP="00CB497D">
                  <w:pPr>
                    <w:pStyle w:val="TAL"/>
                  </w:pPr>
                  <w:r w:rsidRPr="009701F8">
                    <w:rPr>
                      <w:lang w:eastAsia="zh-CN"/>
                    </w:rPr>
                    <w:t>Ê</w:t>
                  </w:r>
                  <w:r w:rsidRPr="009701F8">
                    <w:rPr>
                      <w:vertAlign w:val="subscript"/>
                      <w:lang w:eastAsia="zh-CN"/>
                    </w:rPr>
                    <w:t>s</w:t>
                  </w:r>
                </w:p>
              </w:tc>
              <w:tc>
                <w:tcPr>
                  <w:tcW w:w="876" w:type="dxa"/>
                </w:tcPr>
                <w:p w:rsidR="00CB497D" w:rsidRPr="001C0E1B" w:rsidDel="00860F26" w:rsidRDefault="00CB497D" w:rsidP="00CB497D">
                  <w:pPr>
                    <w:pStyle w:val="TAC"/>
                  </w:pPr>
                  <w:r w:rsidRPr="009701F8">
                    <w:rPr>
                      <w:lang w:eastAsia="zh-CN"/>
                    </w:rPr>
                    <w:t>dBm/SCS</w:t>
                  </w:r>
                </w:p>
              </w:tc>
              <w:tc>
                <w:tcPr>
                  <w:tcW w:w="1280" w:type="dxa"/>
                </w:tcPr>
                <w:p w:rsidR="00CB497D" w:rsidRPr="001C0E1B" w:rsidDel="00860F26" w:rsidRDefault="00CB497D" w:rsidP="00CB497D">
                  <w:pPr>
                    <w:pStyle w:val="TAC"/>
                  </w:pPr>
                  <w:r w:rsidRPr="009701F8">
                    <w:t>Config 1,2,3</w:t>
                  </w:r>
                </w:p>
              </w:tc>
              <w:tc>
                <w:tcPr>
                  <w:tcW w:w="1960" w:type="dxa"/>
                  <w:tcBorders>
                    <w:top w:val="single" w:sz="4" w:space="0" w:color="auto"/>
                    <w:bottom w:val="nil"/>
                  </w:tcBorders>
                </w:tcPr>
                <w:p w:rsidR="00CB497D" w:rsidRPr="001C0E1B" w:rsidDel="00860F26" w:rsidRDefault="00CB497D" w:rsidP="00CB497D">
                  <w:pPr>
                    <w:pStyle w:val="TAC"/>
                  </w:pPr>
                </w:p>
              </w:tc>
              <w:tc>
                <w:tcPr>
                  <w:tcW w:w="1048" w:type="dxa"/>
                </w:tcPr>
                <w:p w:rsidR="00CB497D" w:rsidRPr="001C0E1B" w:rsidDel="00860F26" w:rsidRDefault="00CB497D" w:rsidP="00CB497D">
                  <w:pPr>
                    <w:pStyle w:val="TAC"/>
                  </w:pPr>
                  <w:r w:rsidRPr="009701F8">
                    <w:t>-Infinity</w:t>
                  </w:r>
                </w:p>
              </w:tc>
              <w:tc>
                <w:tcPr>
                  <w:tcW w:w="1154" w:type="dxa"/>
                </w:tcPr>
                <w:p w:rsidR="00CB497D" w:rsidRPr="001C0E1B" w:rsidDel="00860F26" w:rsidRDefault="00CB497D" w:rsidP="00CB497D">
                  <w:pPr>
                    <w:pStyle w:val="TAC"/>
                  </w:pPr>
                  <w:r w:rsidRPr="009701F8">
                    <w:t>-87</w:t>
                  </w:r>
                </w:p>
              </w:tc>
            </w:tr>
            <w:tr w:rsidR="00CB497D" w:rsidRPr="001C0E1B" w:rsidTr="003A2C64">
              <w:trPr>
                <w:cantSplit/>
                <w:trHeight w:val="92"/>
              </w:trPr>
              <w:tc>
                <w:tcPr>
                  <w:tcW w:w="2628" w:type="dxa"/>
                  <w:tcBorders>
                    <w:bottom w:val="nil"/>
                  </w:tcBorders>
                </w:tcPr>
                <w:p w:rsidR="00CB497D" w:rsidRPr="001C0E1B" w:rsidRDefault="00CB497D" w:rsidP="00CB497D">
                  <w:pPr>
                    <w:pStyle w:val="TAL"/>
                    <w:rPr>
                      <w:rFonts w:cs="v4.2.0"/>
                    </w:rPr>
                  </w:pPr>
                  <w:r w:rsidRPr="001C0E1B">
                    <w:rPr>
                      <w:rFonts w:cs="v4.2.0"/>
                    </w:rPr>
                    <w:t>SS</w:t>
                  </w:r>
                  <w:r w:rsidRPr="009701F8">
                    <w:rPr>
                      <w:rFonts w:cs="v4.2.0"/>
                    </w:rPr>
                    <w:t>B_</w:t>
                  </w:r>
                  <w:r w:rsidRPr="001C0E1B">
                    <w:rPr>
                      <w:rFonts w:cs="v4.2.0"/>
                    </w:rPr>
                    <w:t>RP</w:t>
                  </w:r>
                  <w:r w:rsidRPr="001C0E1B">
                    <w:rPr>
                      <w:vertAlign w:val="superscript"/>
                    </w:rPr>
                    <w:t xml:space="preserve"> Note 3</w:t>
                  </w:r>
                </w:p>
              </w:tc>
              <w:tc>
                <w:tcPr>
                  <w:tcW w:w="876" w:type="dxa"/>
                  <w:tcBorders>
                    <w:bottom w:val="nil"/>
                  </w:tcBorders>
                </w:tcPr>
                <w:p w:rsidR="00CB497D" w:rsidRPr="001C0E1B" w:rsidRDefault="00CB497D" w:rsidP="00CB497D">
                  <w:pPr>
                    <w:pStyle w:val="TAC"/>
                  </w:pPr>
                  <w:r w:rsidRPr="001C0E1B">
                    <w:t>dBm/SCS</w:t>
                  </w:r>
                </w:p>
              </w:tc>
              <w:tc>
                <w:tcPr>
                  <w:tcW w:w="1280" w:type="dxa"/>
                </w:tcPr>
                <w:p w:rsidR="00CB497D" w:rsidRPr="001C0E1B" w:rsidRDefault="00CB497D" w:rsidP="00CB497D">
                  <w:pPr>
                    <w:pStyle w:val="TAC"/>
                  </w:pPr>
                  <w:r w:rsidRPr="001C0E1B">
                    <w:t>Config</w:t>
                  </w:r>
                  <w:r w:rsidRPr="001C0E1B">
                    <w:rPr>
                      <w:szCs w:val="18"/>
                    </w:rPr>
                    <w:t xml:space="preserve"> </w:t>
                  </w:r>
                  <w:r w:rsidRPr="001C0E1B">
                    <w:t>1,2</w:t>
                  </w:r>
                </w:p>
              </w:tc>
              <w:tc>
                <w:tcPr>
                  <w:tcW w:w="1960" w:type="dxa"/>
                  <w:tcBorders>
                    <w:top w:val="nil"/>
                    <w:bottom w:val="nil"/>
                  </w:tcBorders>
                </w:tcPr>
                <w:p w:rsidR="00CB497D" w:rsidRPr="001C0E1B" w:rsidRDefault="00CB497D" w:rsidP="00CB497D">
                  <w:pPr>
                    <w:pStyle w:val="TAC"/>
                  </w:pPr>
                </w:p>
              </w:tc>
              <w:tc>
                <w:tcPr>
                  <w:tcW w:w="1048" w:type="dxa"/>
                </w:tcPr>
                <w:p w:rsidR="00CB497D" w:rsidRPr="001C0E1B" w:rsidRDefault="00CB497D" w:rsidP="00CB497D">
                  <w:pPr>
                    <w:pStyle w:val="TAC"/>
                  </w:pPr>
                  <w:r w:rsidRPr="001C0E1B">
                    <w:t>-Infinity</w:t>
                  </w:r>
                </w:p>
              </w:tc>
              <w:tc>
                <w:tcPr>
                  <w:tcW w:w="1154" w:type="dxa"/>
                </w:tcPr>
                <w:p w:rsidR="00CB497D" w:rsidRPr="001C0E1B" w:rsidRDefault="00CB497D" w:rsidP="00CB497D">
                  <w:pPr>
                    <w:pStyle w:val="TAC"/>
                  </w:pPr>
                  <w:r w:rsidRPr="001C0E1B">
                    <w:t>-87</w:t>
                  </w:r>
                </w:p>
              </w:tc>
            </w:tr>
            <w:tr w:rsidR="00CB497D" w:rsidRPr="001C0E1B" w:rsidTr="003A2C64">
              <w:trPr>
                <w:cantSplit/>
                <w:trHeight w:val="92"/>
              </w:trPr>
              <w:tc>
                <w:tcPr>
                  <w:tcW w:w="2628" w:type="dxa"/>
                  <w:tcBorders>
                    <w:top w:val="nil"/>
                  </w:tcBorders>
                </w:tcPr>
                <w:p w:rsidR="00CB497D" w:rsidRPr="001C0E1B" w:rsidRDefault="00CB497D" w:rsidP="00CB497D">
                  <w:pPr>
                    <w:pStyle w:val="TAL"/>
                  </w:pPr>
                </w:p>
              </w:tc>
              <w:tc>
                <w:tcPr>
                  <w:tcW w:w="876" w:type="dxa"/>
                  <w:tcBorders>
                    <w:top w:val="nil"/>
                  </w:tcBorders>
                </w:tcPr>
                <w:p w:rsidR="00CB497D" w:rsidRPr="001C0E1B" w:rsidRDefault="00CB497D" w:rsidP="00CB497D">
                  <w:pPr>
                    <w:pStyle w:val="TAC"/>
                  </w:pPr>
                  <w:r w:rsidRPr="001C0E1B">
                    <w:t>Note5</w:t>
                  </w:r>
                </w:p>
              </w:tc>
              <w:tc>
                <w:tcPr>
                  <w:tcW w:w="1280" w:type="dxa"/>
                </w:tcPr>
                <w:p w:rsidR="00CB497D" w:rsidRPr="001C0E1B" w:rsidRDefault="00CB497D" w:rsidP="00CB497D">
                  <w:pPr>
                    <w:pStyle w:val="TAC"/>
                  </w:pPr>
                  <w:r w:rsidRPr="001C0E1B">
                    <w:t>Config</w:t>
                  </w:r>
                  <w:r w:rsidRPr="001C0E1B">
                    <w:rPr>
                      <w:szCs w:val="18"/>
                    </w:rPr>
                    <w:t xml:space="preserve"> </w:t>
                  </w:r>
                  <w:r w:rsidRPr="001C0E1B">
                    <w:t>3</w:t>
                  </w:r>
                </w:p>
              </w:tc>
              <w:tc>
                <w:tcPr>
                  <w:tcW w:w="1960" w:type="dxa"/>
                  <w:tcBorders>
                    <w:top w:val="nil"/>
                    <w:bottom w:val="nil"/>
                  </w:tcBorders>
                </w:tcPr>
                <w:p w:rsidR="00CB497D" w:rsidRPr="001C0E1B" w:rsidRDefault="00CB497D" w:rsidP="00CB497D">
                  <w:pPr>
                    <w:pStyle w:val="TAC"/>
                  </w:pPr>
                </w:p>
              </w:tc>
              <w:tc>
                <w:tcPr>
                  <w:tcW w:w="1048" w:type="dxa"/>
                </w:tcPr>
                <w:p w:rsidR="00CB497D" w:rsidRPr="001C0E1B" w:rsidRDefault="00CB497D" w:rsidP="00CB497D">
                  <w:pPr>
                    <w:pStyle w:val="TAC"/>
                  </w:pPr>
                  <w:r w:rsidRPr="001C0E1B">
                    <w:t>-Infinity</w:t>
                  </w:r>
                </w:p>
              </w:tc>
              <w:tc>
                <w:tcPr>
                  <w:tcW w:w="1154" w:type="dxa"/>
                </w:tcPr>
                <w:p w:rsidR="00CB497D" w:rsidRPr="001C0E1B" w:rsidRDefault="00CB497D" w:rsidP="00CB497D">
                  <w:pPr>
                    <w:pStyle w:val="TAC"/>
                  </w:pPr>
                  <w:r w:rsidRPr="001C0E1B">
                    <w:t>-87</w:t>
                  </w:r>
                </w:p>
              </w:tc>
            </w:tr>
            <w:tr w:rsidR="00CB497D" w:rsidRPr="001C0E1B" w:rsidDel="004B51DC" w:rsidTr="003A2C64">
              <w:trPr>
                <w:cantSplit/>
                <w:trHeight w:val="94"/>
              </w:trPr>
              <w:tc>
                <w:tcPr>
                  <w:tcW w:w="2628" w:type="dxa"/>
                </w:tcPr>
                <w:p w:rsidR="00CB497D" w:rsidRPr="001C0E1B" w:rsidRDefault="00CB497D" w:rsidP="00CB497D">
                  <w:pPr>
                    <w:pStyle w:val="TAL"/>
                  </w:pPr>
                  <w:r w:rsidRPr="009701F8">
                    <w:rPr>
                      <w:rFonts w:ascii="Times New Roman" w:hAnsi="Times New Roman"/>
                      <w:position w:val="-12"/>
                      <w:sz w:val="20"/>
                    </w:rPr>
                    <w:object w:dxaOrig="576"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5pt" o:ole="" fillcolor="window">
                        <v:imagedata r:id="rId10" o:title=""/>
                      </v:shape>
                      <o:OLEObject Type="Embed" ProgID="Equation.3" ShapeID="_x0000_i1025" DrawAspect="Content" ObjectID="_1689797847" r:id="rId11"/>
                    </w:object>
                  </w:r>
                  <w:r w:rsidRPr="009701F8">
                    <w:rPr>
                      <w:szCs w:val="18"/>
                      <w:vertAlign w:val="subscript"/>
                    </w:rPr>
                    <w:t>BB</w:t>
                  </w:r>
                  <w:r w:rsidRPr="009701F8">
                    <w:rPr>
                      <w:szCs w:val="18"/>
                      <w:vertAlign w:val="superscript"/>
                    </w:rPr>
                    <w:t xml:space="preserve"> Note 8</w:t>
                  </w:r>
                </w:p>
              </w:tc>
              <w:tc>
                <w:tcPr>
                  <w:tcW w:w="876" w:type="dxa"/>
                </w:tcPr>
                <w:p w:rsidR="00CB497D" w:rsidRPr="001C0E1B" w:rsidRDefault="00CB497D" w:rsidP="00CB497D">
                  <w:pPr>
                    <w:pStyle w:val="TAC"/>
                  </w:pPr>
                  <w:r w:rsidRPr="009701F8">
                    <w:t>dB</w:t>
                  </w:r>
                </w:p>
              </w:tc>
              <w:tc>
                <w:tcPr>
                  <w:tcW w:w="1280" w:type="dxa"/>
                </w:tcPr>
                <w:p w:rsidR="00CB497D" w:rsidRPr="001C0E1B" w:rsidRDefault="00CB497D" w:rsidP="00CB497D">
                  <w:pPr>
                    <w:pStyle w:val="TAC"/>
                  </w:pPr>
                  <w:r w:rsidRPr="009701F8">
                    <w:t>Config 1,2,3</w:t>
                  </w:r>
                </w:p>
              </w:tc>
              <w:tc>
                <w:tcPr>
                  <w:tcW w:w="1960" w:type="dxa"/>
                  <w:tcBorders>
                    <w:top w:val="nil"/>
                    <w:bottom w:val="nil"/>
                  </w:tcBorders>
                </w:tcPr>
                <w:p w:rsidR="00CB497D" w:rsidRPr="00CB497D" w:rsidRDefault="00CB497D" w:rsidP="00CB497D">
                  <w:pPr>
                    <w:pStyle w:val="TAC"/>
                    <w:rPr>
                      <w:szCs w:val="18"/>
                      <w:highlight w:val="yellow"/>
                    </w:rPr>
                  </w:pPr>
                  <w:r w:rsidRPr="00CB497D">
                    <w:rPr>
                      <w:szCs w:val="18"/>
                      <w:highlight w:val="yellow"/>
                    </w:rPr>
                    <w:t>NA</w:t>
                  </w:r>
                </w:p>
                <w:p w:rsidR="00CB497D" w:rsidRPr="00CB497D" w:rsidDel="004B51DC" w:rsidRDefault="00CB497D" w:rsidP="00CB497D">
                  <w:pPr>
                    <w:pStyle w:val="TAC"/>
                    <w:rPr>
                      <w:szCs w:val="18"/>
                      <w:highlight w:val="yellow"/>
                    </w:rPr>
                  </w:pPr>
                  <w:r w:rsidRPr="00CB497D">
                    <w:rPr>
                      <w:szCs w:val="18"/>
                      <w:highlight w:val="yellow"/>
                    </w:rPr>
                    <w:t>Link only, see clause</w:t>
                  </w:r>
                </w:p>
              </w:tc>
              <w:tc>
                <w:tcPr>
                  <w:tcW w:w="1048" w:type="dxa"/>
                </w:tcPr>
                <w:p w:rsidR="00CB497D" w:rsidRPr="001C0E1B" w:rsidDel="00B36E6D" w:rsidRDefault="00CB497D" w:rsidP="00CB497D">
                  <w:pPr>
                    <w:pStyle w:val="TAC"/>
                  </w:pPr>
                  <w:r w:rsidRPr="009701F8">
                    <w:t>-Infinity</w:t>
                  </w:r>
                </w:p>
              </w:tc>
              <w:tc>
                <w:tcPr>
                  <w:tcW w:w="1154" w:type="dxa"/>
                </w:tcPr>
                <w:p w:rsidR="00CB497D" w:rsidRPr="001C0E1B" w:rsidDel="004B51DC" w:rsidRDefault="00CB497D" w:rsidP="00CB497D">
                  <w:pPr>
                    <w:pStyle w:val="TAC"/>
                  </w:pPr>
                  <w:r w:rsidRPr="009701F8">
                    <w:t>14.69</w:t>
                  </w:r>
                </w:p>
              </w:tc>
            </w:tr>
            <w:tr w:rsidR="00CB497D" w:rsidRPr="001C0E1B" w:rsidTr="003A2C64">
              <w:trPr>
                <w:cantSplit/>
                <w:trHeight w:val="94"/>
              </w:trPr>
              <w:tc>
                <w:tcPr>
                  <w:tcW w:w="2628" w:type="dxa"/>
                  <w:tcBorders>
                    <w:top w:val="nil"/>
                  </w:tcBorders>
                </w:tcPr>
                <w:p w:rsidR="00CB497D" w:rsidRPr="001C0E1B" w:rsidRDefault="00CB497D" w:rsidP="00CB497D">
                  <w:pPr>
                    <w:pStyle w:val="TAL"/>
                  </w:pPr>
                </w:p>
              </w:tc>
              <w:tc>
                <w:tcPr>
                  <w:tcW w:w="876" w:type="dxa"/>
                </w:tcPr>
                <w:p w:rsidR="00CB497D" w:rsidRPr="001C0E1B" w:rsidRDefault="00CB497D" w:rsidP="00CB497D">
                  <w:pPr>
                    <w:pStyle w:val="TAC"/>
                  </w:pPr>
                  <w:r w:rsidRPr="001C0E1B">
                    <w:t>dBm/95.04 MHz Note5</w:t>
                  </w:r>
                </w:p>
              </w:tc>
              <w:tc>
                <w:tcPr>
                  <w:tcW w:w="1280" w:type="dxa"/>
                </w:tcPr>
                <w:p w:rsidR="00CB497D" w:rsidRPr="001C0E1B" w:rsidRDefault="00CB497D" w:rsidP="00CB497D">
                  <w:pPr>
                    <w:pStyle w:val="TAC"/>
                  </w:pPr>
                  <w:r w:rsidRPr="001C0E1B">
                    <w:t>Config 1,2,3</w:t>
                  </w:r>
                </w:p>
              </w:tc>
              <w:tc>
                <w:tcPr>
                  <w:tcW w:w="1960" w:type="dxa"/>
                  <w:vMerge w:val="restart"/>
                  <w:tcBorders>
                    <w:top w:val="nil"/>
                  </w:tcBorders>
                </w:tcPr>
                <w:p w:rsidR="00CB497D" w:rsidRPr="00CB497D" w:rsidRDefault="00CB497D" w:rsidP="00CB497D">
                  <w:pPr>
                    <w:pStyle w:val="TAC"/>
                    <w:rPr>
                      <w:highlight w:val="yellow"/>
                    </w:rPr>
                  </w:pPr>
                  <w:r w:rsidRPr="00CB497D">
                    <w:rPr>
                      <w:highlight w:val="yellow"/>
                    </w:rPr>
                    <w:t>A.3.7A</w:t>
                  </w:r>
                </w:p>
              </w:tc>
              <w:tc>
                <w:tcPr>
                  <w:tcW w:w="1048" w:type="dxa"/>
                </w:tcPr>
                <w:p w:rsidR="00CB497D" w:rsidRPr="001C0E1B" w:rsidRDefault="00CB497D" w:rsidP="00CB497D">
                  <w:pPr>
                    <w:pStyle w:val="TAC"/>
                  </w:pPr>
                  <w:r w:rsidRPr="001C0E1B">
                    <w:t>-Infinity</w:t>
                  </w:r>
                </w:p>
              </w:tc>
              <w:tc>
                <w:tcPr>
                  <w:tcW w:w="1154" w:type="dxa"/>
                </w:tcPr>
                <w:p w:rsidR="00CB497D" w:rsidRPr="001C0E1B" w:rsidRDefault="00CB497D" w:rsidP="00CB497D">
                  <w:pPr>
                    <w:pStyle w:val="TAC"/>
                  </w:pPr>
                  <w:r w:rsidRPr="001C0E1B">
                    <w:t>-58.01</w:t>
                  </w:r>
                </w:p>
              </w:tc>
            </w:tr>
            <w:tr w:rsidR="00CB497D" w:rsidRPr="001C0E1B" w:rsidTr="003A2C64">
              <w:trPr>
                <w:cantSplit/>
                <w:trHeight w:val="94"/>
              </w:trPr>
              <w:tc>
                <w:tcPr>
                  <w:tcW w:w="2628" w:type="dxa"/>
                  <w:tcBorders>
                    <w:top w:val="nil"/>
                  </w:tcBorders>
                </w:tcPr>
                <w:p w:rsidR="00CB497D" w:rsidRPr="001C0E1B" w:rsidRDefault="00CB497D" w:rsidP="00CB497D">
                  <w:pPr>
                    <w:pStyle w:val="TAL"/>
                  </w:pPr>
                  <w:r w:rsidRPr="009701F8">
                    <w:t xml:space="preserve">Propagation Condition </w:t>
                  </w:r>
                </w:p>
              </w:tc>
              <w:tc>
                <w:tcPr>
                  <w:tcW w:w="876" w:type="dxa"/>
                </w:tcPr>
                <w:p w:rsidR="00CB497D" w:rsidRPr="001C0E1B" w:rsidRDefault="00CB497D" w:rsidP="00CB497D">
                  <w:pPr>
                    <w:pStyle w:val="TAC"/>
                  </w:pPr>
                </w:p>
              </w:tc>
              <w:tc>
                <w:tcPr>
                  <w:tcW w:w="1280" w:type="dxa"/>
                </w:tcPr>
                <w:p w:rsidR="00CB497D" w:rsidRPr="001C0E1B" w:rsidRDefault="00CB497D" w:rsidP="00CB497D">
                  <w:pPr>
                    <w:pStyle w:val="TAC"/>
                  </w:pPr>
                  <w:r w:rsidRPr="009701F8">
                    <w:t>Config 1,2,3</w:t>
                  </w:r>
                </w:p>
              </w:tc>
              <w:tc>
                <w:tcPr>
                  <w:tcW w:w="1960" w:type="dxa"/>
                  <w:vMerge/>
                </w:tcPr>
                <w:p w:rsidR="00CB497D" w:rsidRPr="009701F8" w:rsidRDefault="00CB497D" w:rsidP="00CB497D">
                  <w:pPr>
                    <w:pStyle w:val="TAC"/>
                  </w:pPr>
                </w:p>
              </w:tc>
              <w:tc>
                <w:tcPr>
                  <w:tcW w:w="2202" w:type="dxa"/>
                  <w:gridSpan w:val="2"/>
                </w:tcPr>
                <w:p w:rsidR="00CB497D" w:rsidRPr="001C0E1B" w:rsidRDefault="00CB497D" w:rsidP="00CB497D">
                  <w:pPr>
                    <w:pStyle w:val="TAC"/>
                  </w:pPr>
                  <w:r w:rsidRPr="009701F8">
                    <w:rPr>
                      <w:rFonts w:cs="v4.2.0"/>
                    </w:rPr>
                    <w:t>AWGN</w:t>
                  </w:r>
                </w:p>
              </w:tc>
            </w:tr>
          </w:tbl>
          <w:p w:rsidR="00CB497D" w:rsidRDefault="00CB497D" w:rsidP="004F344B">
            <w:pPr>
              <w:rPr>
                <w:rFonts w:eastAsiaTheme="minorEastAsia"/>
                <w:lang w:eastAsia="zh-CN"/>
              </w:rPr>
            </w:pPr>
          </w:p>
        </w:tc>
      </w:tr>
    </w:tbl>
    <w:p w:rsidR="009117D0" w:rsidRDefault="009117D0" w:rsidP="004F344B">
      <w:pPr>
        <w:rPr>
          <w:rFonts w:eastAsiaTheme="minorEastAsia"/>
          <w:lang w:eastAsia="zh-CN"/>
        </w:rPr>
      </w:pPr>
    </w:p>
    <w:p w:rsidR="00CB497D" w:rsidRDefault="00CB497D" w:rsidP="004F344B">
      <w:pPr>
        <w:rPr>
          <w:rFonts w:eastAsiaTheme="minorEastAsia"/>
          <w:lang w:eastAsia="zh-CN"/>
        </w:rPr>
      </w:pPr>
      <w:r>
        <w:rPr>
          <w:rFonts w:eastAsiaTheme="minorEastAsia" w:hint="eastAsia"/>
          <w:lang w:eastAsia="zh-CN"/>
        </w:rPr>
        <w:t>I</w:t>
      </w:r>
      <w:r>
        <w:rPr>
          <w:rFonts w:eastAsiaTheme="minorEastAsia"/>
          <w:lang w:eastAsia="zh-CN"/>
        </w:rPr>
        <w:t>n these test cases, only the performance of FR2 Cell is verified and NR FR1 or LTE Cell is only use for set up and provide the test configurations, which is align with the output of TS38.810 that “</w:t>
      </w:r>
      <w:r>
        <w:t>the test setup shall be capable to provide NR FR1 link to the DUT</w:t>
      </w:r>
      <w:r>
        <w:rPr>
          <w:rFonts w:eastAsiaTheme="minorEastAsia"/>
          <w:lang w:eastAsia="zh-CN"/>
        </w:rPr>
        <w:t xml:space="preserve">”. Then no significant obstacles to conduct such test cases. Then for the test cases mentioned above, some companies suggested to clarify in the spec that these cases cannot be performed currently with some applicability rules. From our understanding, only the performance on NR FR1 or LTE cell could not be verified but other requirements could be tested. For instance, the test cases in A.5.5.3 </w:t>
      </w:r>
      <w:r w:rsidRPr="00CB497D">
        <w:rPr>
          <w:rFonts w:eastAsiaTheme="minorEastAsia"/>
          <w:lang w:eastAsia="zh-CN"/>
        </w:rPr>
        <w:t>SCell Activation and Deactivation Delay</w:t>
      </w:r>
      <w:r>
        <w:rPr>
          <w:rFonts w:eastAsiaTheme="minorEastAsia"/>
          <w:lang w:eastAsia="zh-CN"/>
        </w:rPr>
        <w:t>, the interruption on LTE PCell may not be verified but the SCell activation delay could still be tested.</w:t>
      </w:r>
    </w:p>
    <w:p w:rsidR="00CB497D" w:rsidRPr="00CB497D" w:rsidRDefault="00CB497D" w:rsidP="004F344B">
      <w:pPr>
        <w:rPr>
          <w:rFonts w:eastAsiaTheme="minorEastAsia"/>
          <w:b/>
          <w:lang w:eastAsia="zh-CN"/>
        </w:rPr>
      </w:pPr>
      <w:r w:rsidRPr="00CB497D">
        <w:rPr>
          <w:rFonts w:eastAsiaTheme="minorEastAsia"/>
          <w:b/>
          <w:lang w:eastAsia="zh-CN"/>
        </w:rPr>
        <w:t xml:space="preserve">Observation </w:t>
      </w:r>
      <w:r>
        <w:rPr>
          <w:rFonts w:eastAsiaTheme="minorEastAsia"/>
          <w:b/>
          <w:lang w:eastAsia="zh-CN"/>
        </w:rPr>
        <w:t>3</w:t>
      </w:r>
      <w:r w:rsidRPr="00CB497D">
        <w:rPr>
          <w:rFonts w:eastAsiaTheme="minorEastAsia"/>
          <w:b/>
          <w:lang w:eastAsia="zh-CN"/>
        </w:rPr>
        <w:t>: Test cases where the interruption on NR FR1 or LTE Cell is verified may not be performed currently due to testability issue.</w:t>
      </w:r>
      <w:r w:rsidRPr="00CB497D">
        <w:rPr>
          <w:rFonts w:eastAsiaTheme="minorEastAsia" w:hint="eastAsia"/>
          <w:b/>
          <w:lang w:eastAsia="zh-CN"/>
        </w:rPr>
        <w:t xml:space="preserve"> </w:t>
      </w:r>
      <w:r w:rsidRPr="00CB497D">
        <w:rPr>
          <w:rFonts w:eastAsiaTheme="minorEastAsia"/>
          <w:b/>
          <w:lang w:eastAsia="zh-CN"/>
        </w:rPr>
        <w:t>Other test cases whether NR FR1 or LTE Cell only work for set up and providing configurations are still valid.</w:t>
      </w:r>
    </w:p>
    <w:p w:rsidR="00CB497D" w:rsidRDefault="00CB497D" w:rsidP="004F344B">
      <w:pPr>
        <w:rPr>
          <w:rFonts w:eastAsiaTheme="minorEastAsia"/>
          <w:lang w:val="en-US" w:eastAsia="zh-CN"/>
        </w:rPr>
      </w:pPr>
      <w:r>
        <w:rPr>
          <w:rFonts w:eastAsiaTheme="minorEastAsia"/>
          <w:lang w:val="en-US" w:eastAsia="zh-CN"/>
        </w:rPr>
        <w:t>Then based on observation 1, for the related the test cases, it doesn’t mean that the entire test case can not be performed. We are fine to add some general statement that the interruption requirements on NR FR1 or LTE cell are not currently performed.</w:t>
      </w:r>
    </w:p>
    <w:p w:rsidR="00CB497D" w:rsidRPr="00CB497D" w:rsidRDefault="00CB497D" w:rsidP="004F344B">
      <w:pPr>
        <w:rPr>
          <w:rFonts w:eastAsiaTheme="minorEastAsia"/>
          <w:b/>
          <w:lang w:val="en-US" w:eastAsia="zh-CN"/>
        </w:rPr>
      </w:pPr>
      <w:r w:rsidRPr="00CB497D">
        <w:rPr>
          <w:rFonts w:eastAsiaTheme="minorEastAsia"/>
          <w:b/>
          <w:lang w:val="en-US" w:eastAsia="zh-CN"/>
        </w:rPr>
        <w:t>Proposal 2: Define general rules in TS 38.133 to state that the interruption requirements on NR FR1 or LTE cell in the following test cases are not performed currently.</w:t>
      </w:r>
    </w:p>
    <w:p w:rsidR="00CB497D" w:rsidRPr="00CB497D" w:rsidRDefault="00CB497D" w:rsidP="00CB497D">
      <w:pPr>
        <w:ind w:leftChars="200" w:left="400"/>
        <w:rPr>
          <w:rFonts w:eastAsiaTheme="minorEastAsia"/>
          <w:b/>
          <w:lang w:eastAsia="zh-CN"/>
        </w:rPr>
      </w:pPr>
      <w:r w:rsidRPr="00CB497D">
        <w:rPr>
          <w:rFonts w:eastAsiaTheme="minorEastAsia"/>
          <w:b/>
          <w:lang w:eastAsia="zh-CN"/>
        </w:rPr>
        <w:t>A.5.5.2</w:t>
      </w:r>
      <w:r w:rsidRPr="00CB497D">
        <w:rPr>
          <w:rFonts w:eastAsiaTheme="minorEastAsia"/>
          <w:b/>
          <w:lang w:eastAsia="zh-CN"/>
        </w:rPr>
        <w:tab/>
        <w:t>Interruption</w:t>
      </w:r>
    </w:p>
    <w:p w:rsidR="00CB497D" w:rsidRPr="00CB497D" w:rsidRDefault="00CB497D" w:rsidP="00CB497D">
      <w:pPr>
        <w:ind w:leftChars="200" w:left="400"/>
        <w:rPr>
          <w:rFonts w:eastAsiaTheme="minorEastAsia"/>
          <w:b/>
          <w:lang w:eastAsia="zh-CN"/>
        </w:rPr>
      </w:pPr>
      <w:r w:rsidRPr="00CB497D">
        <w:rPr>
          <w:rFonts w:eastAsiaTheme="minorEastAsia"/>
          <w:b/>
          <w:lang w:eastAsia="zh-CN"/>
        </w:rPr>
        <w:t>A.5.5.3</w:t>
      </w:r>
      <w:r w:rsidRPr="00CB497D">
        <w:rPr>
          <w:rFonts w:eastAsiaTheme="minorEastAsia"/>
          <w:b/>
          <w:lang w:eastAsia="zh-CN"/>
        </w:rPr>
        <w:tab/>
        <w:t>SCell Activation and Deactivation Delay</w:t>
      </w:r>
    </w:p>
    <w:p w:rsidR="00CB497D" w:rsidRPr="00CB497D" w:rsidRDefault="00CB497D" w:rsidP="00CB497D">
      <w:pPr>
        <w:ind w:leftChars="200" w:left="400"/>
        <w:rPr>
          <w:rFonts w:eastAsiaTheme="minorEastAsia"/>
          <w:b/>
          <w:lang w:eastAsia="zh-CN"/>
        </w:rPr>
      </w:pPr>
      <w:r w:rsidRPr="00CB497D">
        <w:rPr>
          <w:rFonts w:eastAsiaTheme="minorEastAsia"/>
          <w:b/>
          <w:lang w:eastAsia="zh-CN"/>
        </w:rPr>
        <w:t>A.5.5.6</w:t>
      </w:r>
      <w:r w:rsidRPr="00CB497D">
        <w:rPr>
          <w:rFonts w:eastAsiaTheme="minorEastAsia"/>
          <w:b/>
          <w:lang w:eastAsia="zh-CN"/>
        </w:rPr>
        <w:tab/>
        <w:t>Active BWP switch</w:t>
      </w:r>
    </w:p>
    <w:p w:rsidR="00CB497D" w:rsidRPr="00CB497D" w:rsidRDefault="00CB497D" w:rsidP="00CB497D">
      <w:pPr>
        <w:ind w:leftChars="200" w:left="400"/>
        <w:rPr>
          <w:rFonts w:eastAsiaTheme="minorEastAsia"/>
          <w:b/>
          <w:lang w:eastAsia="zh-CN"/>
        </w:rPr>
      </w:pPr>
      <w:r w:rsidRPr="00CB497D">
        <w:rPr>
          <w:rFonts w:eastAsiaTheme="minorEastAsia"/>
          <w:b/>
          <w:lang w:eastAsia="zh-CN"/>
        </w:rPr>
        <w:t>A.5.5.10</w:t>
      </w:r>
      <w:r w:rsidRPr="00CB497D">
        <w:rPr>
          <w:rFonts w:eastAsiaTheme="minorEastAsia"/>
          <w:b/>
          <w:lang w:eastAsia="zh-CN"/>
        </w:rPr>
        <w:tab/>
        <w:t>UE specific CBW change</w:t>
      </w:r>
    </w:p>
    <w:p w:rsidR="00CB497D" w:rsidRPr="00CB497D" w:rsidRDefault="00CB497D" w:rsidP="00CB497D">
      <w:pPr>
        <w:ind w:leftChars="200" w:left="400"/>
        <w:rPr>
          <w:rFonts w:eastAsiaTheme="minorEastAsia"/>
          <w:b/>
          <w:lang w:eastAsia="zh-CN"/>
        </w:rPr>
      </w:pPr>
      <w:r w:rsidRPr="00CB497D">
        <w:rPr>
          <w:rFonts w:eastAsiaTheme="minorEastAsia"/>
          <w:b/>
          <w:lang w:eastAsia="zh-CN"/>
        </w:rPr>
        <w:t>A.7.5.3.2</w:t>
      </w:r>
      <w:r w:rsidRPr="00CB497D">
        <w:rPr>
          <w:rFonts w:eastAsiaTheme="minorEastAsia"/>
          <w:b/>
          <w:lang w:eastAsia="zh-CN"/>
        </w:rPr>
        <w:tab/>
        <w:t>SCell Activation and deactivation for FR1+FR2 inter-band with target SCell in FR2</w:t>
      </w:r>
    </w:p>
    <w:p w:rsidR="00CB497D" w:rsidRPr="00CB497D" w:rsidRDefault="00CB497D" w:rsidP="00CB497D">
      <w:pPr>
        <w:ind w:leftChars="200" w:left="400"/>
        <w:rPr>
          <w:rFonts w:eastAsiaTheme="minorEastAsia"/>
          <w:b/>
          <w:lang w:eastAsia="zh-CN"/>
        </w:rPr>
      </w:pPr>
      <w:r w:rsidRPr="00CB497D">
        <w:rPr>
          <w:rFonts w:eastAsiaTheme="minorEastAsia"/>
          <w:b/>
          <w:lang w:eastAsia="zh-CN"/>
        </w:rPr>
        <w:t>A.7.5.6.1.2</w:t>
      </w:r>
      <w:r w:rsidRPr="00CB497D">
        <w:rPr>
          <w:rFonts w:eastAsiaTheme="minorEastAsia"/>
          <w:b/>
          <w:lang w:eastAsia="zh-CN"/>
        </w:rPr>
        <w:tab/>
        <w:t>NR FR1- NR FR2 DL active BWP switch of PCell with non-DRX in SA</w:t>
      </w:r>
    </w:p>
    <w:p w:rsidR="00CB497D" w:rsidRPr="00CB497D" w:rsidRDefault="00CB497D" w:rsidP="00CB497D">
      <w:pPr>
        <w:ind w:leftChars="200" w:left="400"/>
        <w:rPr>
          <w:rFonts w:eastAsiaTheme="minorEastAsia"/>
          <w:b/>
          <w:lang w:val="en-US" w:eastAsia="zh-CN"/>
        </w:rPr>
      </w:pPr>
      <w:r w:rsidRPr="00CB497D">
        <w:rPr>
          <w:rFonts w:eastAsiaTheme="minorEastAsia"/>
          <w:b/>
          <w:lang w:eastAsia="zh-CN"/>
        </w:rPr>
        <w:t>A.7.5.6.4.2</w:t>
      </w:r>
      <w:r w:rsidRPr="00CB497D">
        <w:rPr>
          <w:rFonts w:eastAsiaTheme="minorEastAsia"/>
          <w:b/>
          <w:lang w:eastAsia="zh-CN"/>
        </w:rPr>
        <w:tab/>
        <w:t>NR FR1 PCell SCell dormancy switch of two FR2 SCells outside active time</w:t>
      </w:r>
    </w:p>
    <w:p w:rsidR="00DF0231" w:rsidRDefault="00DF0231" w:rsidP="00DF0231">
      <w:pPr>
        <w:pStyle w:val="1"/>
        <w:numPr>
          <w:ilvl w:val="0"/>
          <w:numId w:val="1"/>
        </w:numPr>
        <w:rPr>
          <w:lang w:val="en-US"/>
        </w:rPr>
      </w:pPr>
      <w:r w:rsidRPr="002D2977">
        <w:rPr>
          <w:lang w:val="en-US"/>
        </w:rPr>
        <w:t>Conclusions</w:t>
      </w:r>
    </w:p>
    <w:p w:rsidR="004930E8" w:rsidRPr="00784BF5" w:rsidRDefault="004930E8" w:rsidP="004930E8">
      <w:pPr>
        <w:rPr>
          <w:rFonts w:eastAsiaTheme="minorEastAsia"/>
          <w:b/>
          <w:lang w:val="en-US" w:eastAsia="zh-CN"/>
        </w:rPr>
      </w:pPr>
      <w:r w:rsidRPr="00784BF5">
        <w:rPr>
          <w:rFonts w:eastAsiaTheme="minorEastAsia"/>
          <w:b/>
          <w:lang w:val="en-US" w:eastAsia="zh-CN"/>
        </w:rPr>
        <w:t>Observation 1: For new introduced CBW configurations, the RMC configurations could adopt the same configurations of the existing CBW (10 MHz, 40 MHz), where the PDSCH RMC is allocated at the same RBs as CORESET with same number of RBs and the OCNG is also only cover the CORESET RBs.</w:t>
      </w:r>
    </w:p>
    <w:p w:rsidR="004930E8" w:rsidRPr="00C04224" w:rsidRDefault="004930E8" w:rsidP="004930E8">
      <w:pPr>
        <w:rPr>
          <w:rFonts w:eastAsiaTheme="minorEastAsia"/>
          <w:b/>
          <w:lang w:eastAsia="zh-CN"/>
        </w:rPr>
      </w:pPr>
      <w:r w:rsidRPr="00C04224">
        <w:rPr>
          <w:rFonts w:eastAsiaTheme="minorEastAsia"/>
          <w:b/>
          <w:lang w:eastAsia="zh-CN"/>
        </w:rPr>
        <w:t>Proposal 1: For new CBW other than 10 MHz of 15 kHz SCS and 40 MHz of 30 kHz SCS:</w:t>
      </w:r>
    </w:p>
    <w:p w:rsidR="004930E8" w:rsidRPr="00C04224" w:rsidRDefault="004930E8" w:rsidP="004930E8">
      <w:pPr>
        <w:rPr>
          <w:rFonts w:eastAsiaTheme="minorEastAsia"/>
          <w:b/>
          <w:lang w:eastAsia="zh-CN"/>
        </w:rPr>
      </w:pPr>
      <w:r w:rsidRPr="00C04224">
        <w:rPr>
          <w:rFonts w:eastAsiaTheme="minorEastAsia"/>
          <w:b/>
          <w:lang w:eastAsia="zh-CN"/>
        </w:rPr>
        <w:t xml:space="preserve">For 15 kHz SCS, </w:t>
      </w:r>
    </w:p>
    <w:p w:rsidR="004930E8" w:rsidRPr="00C04224" w:rsidRDefault="004930E8" w:rsidP="004930E8">
      <w:pPr>
        <w:pStyle w:val="a6"/>
        <w:numPr>
          <w:ilvl w:val="0"/>
          <w:numId w:val="21"/>
        </w:numPr>
        <w:ind w:firstLineChars="0"/>
        <w:rPr>
          <w:rFonts w:eastAsiaTheme="minorEastAsia"/>
          <w:b/>
          <w:lang w:eastAsia="zh-CN"/>
        </w:rPr>
      </w:pPr>
      <w:r w:rsidRPr="00C04224">
        <w:rPr>
          <w:rFonts w:eastAsiaTheme="minorEastAsia"/>
          <w:b/>
          <w:lang w:eastAsia="zh-CN"/>
        </w:rPr>
        <w:t>Configure the RMC of PDSCH with the same number of RBs as CORESET</w:t>
      </w:r>
    </w:p>
    <w:p w:rsidR="004930E8" w:rsidRPr="00C04224" w:rsidRDefault="004930E8" w:rsidP="004930E8">
      <w:pPr>
        <w:pStyle w:val="a6"/>
        <w:numPr>
          <w:ilvl w:val="0"/>
          <w:numId w:val="21"/>
        </w:numPr>
        <w:ind w:firstLineChars="0"/>
        <w:rPr>
          <w:rFonts w:eastAsiaTheme="minorEastAsia"/>
          <w:b/>
          <w:lang w:eastAsia="zh-CN"/>
        </w:rPr>
      </w:pPr>
      <w:r w:rsidRPr="00C04224">
        <w:rPr>
          <w:rFonts w:eastAsiaTheme="minorEastAsia"/>
          <w:b/>
          <w:lang w:eastAsia="zh-CN"/>
        </w:rPr>
        <w:t>Allocate the PDSCH at the same RB range as CORESET</w:t>
      </w:r>
    </w:p>
    <w:p w:rsidR="004930E8" w:rsidRPr="00C04224" w:rsidRDefault="004930E8" w:rsidP="004930E8">
      <w:pPr>
        <w:pStyle w:val="a6"/>
        <w:numPr>
          <w:ilvl w:val="0"/>
          <w:numId w:val="21"/>
        </w:numPr>
        <w:ind w:firstLineChars="0"/>
        <w:rPr>
          <w:rFonts w:eastAsiaTheme="minorEastAsia"/>
          <w:b/>
          <w:lang w:eastAsia="zh-CN"/>
        </w:rPr>
      </w:pPr>
      <w:r w:rsidRPr="00C04224">
        <w:rPr>
          <w:rFonts w:eastAsiaTheme="minorEastAsia"/>
          <w:b/>
          <w:lang w:eastAsia="zh-CN"/>
        </w:rPr>
        <w:t>Configure CORESET for RMSI and RMC with same configurations as CBW of 10 MHz</w:t>
      </w:r>
    </w:p>
    <w:p w:rsidR="004930E8" w:rsidRPr="00C04224" w:rsidRDefault="004930E8" w:rsidP="004930E8">
      <w:pPr>
        <w:pStyle w:val="a6"/>
        <w:numPr>
          <w:ilvl w:val="0"/>
          <w:numId w:val="21"/>
        </w:numPr>
        <w:ind w:firstLineChars="0"/>
        <w:rPr>
          <w:rFonts w:eastAsiaTheme="minorEastAsia"/>
          <w:b/>
          <w:lang w:eastAsia="zh-CN"/>
        </w:rPr>
      </w:pPr>
      <w:r w:rsidRPr="00C04224">
        <w:rPr>
          <w:rFonts w:eastAsiaTheme="minorEastAsia"/>
          <w:b/>
          <w:lang w:eastAsia="zh-CN"/>
        </w:rPr>
        <w:t>Distribute OCGN within the same RB range as CORESET</w:t>
      </w:r>
    </w:p>
    <w:p w:rsidR="004930E8" w:rsidRPr="00C04224" w:rsidRDefault="004930E8" w:rsidP="004930E8">
      <w:pPr>
        <w:rPr>
          <w:rFonts w:eastAsiaTheme="minorEastAsia"/>
          <w:b/>
          <w:lang w:eastAsia="zh-CN"/>
        </w:rPr>
      </w:pPr>
      <w:r w:rsidRPr="00C04224">
        <w:rPr>
          <w:rFonts w:eastAsiaTheme="minorEastAsia"/>
          <w:b/>
          <w:lang w:eastAsia="zh-CN"/>
        </w:rPr>
        <w:lastRenderedPageBreak/>
        <w:t xml:space="preserve">For 30 kHz SCS </w:t>
      </w:r>
    </w:p>
    <w:p w:rsidR="004930E8" w:rsidRPr="00C04224" w:rsidRDefault="004930E8" w:rsidP="004930E8">
      <w:pPr>
        <w:pStyle w:val="a6"/>
        <w:numPr>
          <w:ilvl w:val="0"/>
          <w:numId w:val="21"/>
        </w:numPr>
        <w:ind w:firstLineChars="0"/>
        <w:rPr>
          <w:rFonts w:eastAsiaTheme="minorEastAsia"/>
          <w:b/>
          <w:lang w:eastAsia="zh-CN"/>
        </w:rPr>
      </w:pPr>
      <w:r w:rsidRPr="00C04224">
        <w:rPr>
          <w:rFonts w:eastAsiaTheme="minorEastAsia"/>
          <w:b/>
          <w:lang w:eastAsia="zh-CN"/>
        </w:rPr>
        <w:t>Configure the RMC of PDSCH with the same number of RBs as CORESET</w:t>
      </w:r>
    </w:p>
    <w:p w:rsidR="004930E8" w:rsidRPr="00C04224" w:rsidRDefault="004930E8" w:rsidP="004930E8">
      <w:pPr>
        <w:pStyle w:val="a6"/>
        <w:numPr>
          <w:ilvl w:val="0"/>
          <w:numId w:val="21"/>
        </w:numPr>
        <w:ind w:firstLineChars="0"/>
        <w:rPr>
          <w:rFonts w:eastAsiaTheme="minorEastAsia"/>
          <w:b/>
          <w:lang w:eastAsia="zh-CN"/>
        </w:rPr>
      </w:pPr>
      <w:r w:rsidRPr="00C04224">
        <w:rPr>
          <w:rFonts w:eastAsiaTheme="minorEastAsia"/>
          <w:b/>
          <w:lang w:eastAsia="zh-CN"/>
        </w:rPr>
        <w:t>Allocate the PDSCH at the same RB range as CORESET</w:t>
      </w:r>
    </w:p>
    <w:p w:rsidR="004930E8" w:rsidRPr="00C04224" w:rsidRDefault="004930E8" w:rsidP="004930E8">
      <w:pPr>
        <w:pStyle w:val="a6"/>
        <w:numPr>
          <w:ilvl w:val="0"/>
          <w:numId w:val="21"/>
        </w:numPr>
        <w:ind w:firstLineChars="0"/>
        <w:rPr>
          <w:rFonts w:eastAsiaTheme="minorEastAsia"/>
          <w:b/>
          <w:lang w:eastAsia="zh-CN"/>
        </w:rPr>
      </w:pPr>
      <w:r w:rsidRPr="00C04224">
        <w:rPr>
          <w:rFonts w:eastAsiaTheme="minorEastAsia"/>
          <w:b/>
          <w:lang w:eastAsia="zh-CN"/>
        </w:rPr>
        <w:t>Configure CORESET for RMSI and RMC with same configurations as CBW of 40 MHz when CBW is larger than 40 MHz; When CBW is smaller than 40 MHz, the configuration of COREST for RMSI is referred to the table for minimum CBW of 5MHz or 10 MHz.</w:t>
      </w:r>
    </w:p>
    <w:p w:rsidR="004930E8" w:rsidRPr="00C04224" w:rsidRDefault="004930E8" w:rsidP="004930E8">
      <w:pPr>
        <w:pStyle w:val="a6"/>
        <w:numPr>
          <w:ilvl w:val="0"/>
          <w:numId w:val="21"/>
        </w:numPr>
        <w:ind w:firstLineChars="0"/>
        <w:rPr>
          <w:rFonts w:eastAsiaTheme="minorEastAsia"/>
          <w:b/>
          <w:lang w:eastAsia="zh-CN"/>
        </w:rPr>
      </w:pPr>
      <w:r w:rsidRPr="00C04224">
        <w:rPr>
          <w:rFonts w:eastAsiaTheme="minorEastAsia"/>
          <w:b/>
          <w:lang w:eastAsia="zh-CN"/>
        </w:rPr>
        <w:t>Distribute OCGN within the same RB range as CORESET</w:t>
      </w:r>
    </w:p>
    <w:p w:rsidR="004930E8" w:rsidRPr="00D15B13" w:rsidRDefault="004930E8" w:rsidP="004930E8">
      <w:pPr>
        <w:rPr>
          <w:rFonts w:eastAsiaTheme="minorEastAsia"/>
          <w:b/>
          <w:lang w:val="en-US" w:eastAsia="zh-CN"/>
        </w:rPr>
      </w:pPr>
      <w:r w:rsidRPr="00D15B13">
        <w:rPr>
          <w:rFonts w:eastAsiaTheme="minorEastAsia"/>
          <w:b/>
          <w:lang w:eastAsia="zh-CN"/>
        </w:rPr>
        <w:t>Observation 2: FFS how to accommodate different CBW in accuracy test cases.</w:t>
      </w:r>
    </w:p>
    <w:p w:rsidR="00CB497D" w:rsidRPr="00CB497D" w:rsidRDefault="00CB497D" w:rsidP="00CB497D">
      <w:pPr>
        <w:rPr>
          <w:rFonts w:eastAsiaTheme="minorEastAsia"/>
          <w:b/>
          <w:lang w:eastAsia="zh-CN"/>
        </w:rPr>
      </w:pPr>
      <w:r w:rsidRPr="00CB497D">
        <w:rPr>
          <w:rFonts w:eastAsiaTheme="minorEastAsia"/>
          <w:b/>
          <w:lang w:eastAsia="zh-CN"/>
        </w:rPr>
        <w:t xml:space="preserve">Observation </w:t>
      </w:r>
      <w:r>
        <w:rPr>
          <w:rFonts w:eastAsiaTheme="minorEastAsia"/>
          <w:b/>
          <w:lang w:eastAsia="zh-CN"/>
        </w:rPr>
        <w:t>3</w:t>
      </w:r>
      <w:r w:rsidRPr="00CB497D">
        <w:rPr>
          <w:rFonts w:eastAsiaTheme="minorEastAsia"/>
          <w:b/>
          <w:lang w:eastAsia="zh-CN"/>
        </w:rPr>
        <w:t>: Test cases where the interruption on NR FR1 or LTE Cell is verified may not be performed currently due to testability issue.</w:t>
      </w:r>
      <w:r w:rsidRPr="00CB497D">
        <w:rPr>
          <w:rFonts w:eastAsiaTheme="minorEastAsia" w:hint="eastAsia"/>
          <w:b/>
          <w:lang w:eastAsia="zh-CN"/>
        </w:rPr>
        <w:t xml:space="preserve"> </w:t>
      </w:r>
      <w:r w:rsidRPr="00CB497D">
        <w:rPr>
          <w:rFonts w:eastAsiaTheme="minorEastAsia"/>
          <w:b/>
          <w:lang w:eastAsia="zh-CN"/>
        </w:rPr>
        <w:t>Other test cases whether NR FR1 or LTE Cell only work for set up and providing configurations are still valid.</w:t>
      </w:r>
    </w:p>
    <w:p w:rsidR="00CB497D" w:rsidRPr="00CB497D" w:rsidRDefault="00CB497D" w:rsidP="00CB497D">
      <w:pPr>
        <w:rPr>
          <w:rFonts w:eastAsiaTheme="minorEastAsia"/>
          <w:b/>
          <w:lang w:val="en-US" w:eastAsia="zh-CN"/>
        </w:rPr>
      </w:pPr>
      <w:r w:rsidRPr="00CB497D">
        <w:rPr>
          <w:rFonts w:eastAsiaTheme="minorEastAsia"/>
          <w:b/>
          <w:lang w:val="en-US" w:eastAsia="zh-CN"/>
        </w:rPr>
        <w:t>Proposal 2: Define general rules in TS 38.133 to state that the interruption requirements on NR FR1 or LTE cell in the following test cases are not performed currently.</w:t>
      </w:r>
    </w:p>
    <w:p w:rsidR="00CB497D" w:rsidRPr="00CB497D" w:rsidRDefault="00CB497D" w:rsidP="00CB497D">
      <w:pPr>
        <w:ind w:leftChars="200" w:left="400"/>
        <w:rPr>
          <w:rFonts w:eastAsiaTheme="minorEastAsia"/>
          <w:b/>
          <w:lang w:eastAsia="zh-CN"/>
        </w:rPr>
      </w:pPr>
      <w:r w:rsidRPr="00CB497D">
        <w:rPr>
          <w:rFonts w:eastAsiaTheme="minorEastAsia"/>
          <w:b/>
          <w:lang w:eastAsia="zh-CN"/>
        </w:rPr>
        <w:t>A.5.5.2</w:t>
      </w:r>
      <w:r w:rsidRPr="00CB497D">
        <w:rPr>
          <w:rFonts w:eastAsiaTheme="minorEastAsia"/>
          <w:b/>
          <w:lang w:eastAsia="zh-CN"/>
        </w:rPr>
        <w:tab/>
        <w:t>Interruption</w:t>
      </w:r>
    </w:p>
    <w:p w:rsidR="00CB497D" w:rsidRPr="00CB497D" w:rsidRDefault="00CB497D" w:rsidP="00CB497D">
      <w:pPr>
        <w:ind w:leftChars="200" w:left="400"/>
        <w:rPr>
          <w:rFonts w:eastAsiaTheme="minorEastAsia"/>
          <w:b/>
          <w:lang w:eastAsia="zh-CN"/>
        </w:rPr>
      </w:pPr>
      <w:r w:rsidRPr="00CB497D">
        <w:rPr>
          <w:rFonts w:eastAsiaTheme="minorEastAsia"/>
          <w:b/>
          <w:lang w:eastAsia="zh-CN"/>
        </w:rPr>
        <w:t>A.5.5.3</w:t>
      </w:r>
      <w:r w:rsidRPr="00CB497D">
        <w:rPr>
          <w:rFonts w:eastAsiaTheme="minorEastAsia"/>
          <w:b/>
          <w:lang w:eastAsia="zh-CN"/>
        </w:rPr>
        <w:tab/>
        <w:t>SCell Activation and Deactivation Delay</w:t>
      </w:r>
    </w:p>
    <w:p w:rsidR="00CB497D" w:rsidRPr="00CB497D" w:rsidRDefault="00CB497D" w:rsidP="00CB497D">
      <w:pPr>
        <w:ind w:leftChars="200" w:left="400"/>
        <w:rPr>
          <w:rFonts w:eastAsiaTheme="minorEastAsia"/>
          <w:b/>
          <w:lang w:eastAsia="zh-CN"/>
        </w:rPr>
      </w:pPr>
      <w:r w:rsidRPr="00CB497D">
        <w:rPr>
          <w:rFonts w:eastAsiaTheme="minorEastAsia"/>
          <w:b/>
          <w:lang w:eastAsia="zh-CN"/>
        </w:rPr>
        <w:t>A.5.5.6</w:t>
      </w:r>
      <w:r w:rsidRPr="00CB497D">
        <w:rPr>
          <w:rFonts w:eastAsiaTheme="minorEastAsia"/>
          <w:b/>
          <w:lang w:eastAsia="zh-CN"/>
        </w:rPr>
        <w:tab/>
        <w:t>Active BWP switch</w:t>
      </w:r>
    </w:p>
    <w:p w:rsidR="00CB497D" w:rsidRPr="00CB497D" w:rsidRDefault="00CB497D" w:rsidP="00CB497D">
      <w:pPr>
        <w:ind w:leftChars="200" w:left="400"/>
        <w:rPr>
          <w:rFonts w:eastAsiaTheme="minorEastAsia"/>
          <w:b/>
          <w:lang w:eastAsia="zh-CN"/>
        </w:rPr>
      </w:pPr>
      <w:r w:rsidRPr="00CB497D">
        <w:rPr>
          <w:rFonts w:eastAsiaTheme="minorEastAsia"/>
          <w:b/>
          <w:lang w:eastAsia="zh-CN"/>
        </w:rPr>
        <w:t>A.5.5.10</w:t>
      </w:r>
      <w:r w:rsidRPr="00CB497D">
        <w:rPr>
          <w:rFonts w:eastAsiaTheme="minorEastAsia"/>
          <w:b/>
          <w:lang w:eastAsia="zh-CN"/>
        </w:rPr>
        <w:tab/>
        <w:t>UE specific CBW change</w:t>
      </w:r>
    </w:p>
    <w:p w:rsidR="00CB497D" w:rsidRPr="00CB497D" w:rsidRDefault="00CB497D" w:rsidP="00CB497D">
      <w:pPr>
        <w:ind w:leftChars="200" w:left="400"/>
        <w:rPr>
          <w:rFonts w:eastAsiaTheme="minorEastAsia"/>
          <w:b/>
          <w:lang w:eastAsia="zh-CN"/>
        </w:rPr>
      </w:pPr>
      <w:r w:rsidRPr="00CB497D">
        <w:rPr>
          <w:rFonts w:eastAsiaTheme="minorEastAsia"/>
          <w:b/>
          <w:lang w:eastAsia="zh-CN"/>
        </w:rPr>
        <w:t>A.7.5.3.2</w:t>
      </w:r>
      <w:r w:rsidRPr="00CB497D">
        <w:rPr>
          <w:rFonts w:eastAsiaTheme="minorEastAsia"/>
          <w:b/>
          <w:lang w:eastAsia="zh-CN"/>
        </w:rPr>
        <w:tab/>
        <w:t>SCell Activation and deactivation for FR1+FR2 inter-band with target SCell in FR2</w:t>
      </w:r>
    </w:p>
    <w:p w:rsidR="00CB497D" w:rsidRPr="00CB497D" w:rsidRDefault="00CB497D" w:rsidP="00CB497D">
      <w:pPr>
        <w:ind w:leftChars="200" w:left="400"/>
        <w:rPr>
          <w:rFonts w:eastAsiaTheme="minorEastAsia"/>
          <w:b/>
          <w:lang w:eastAsia="zh-CN"/>
        </w:rPr>
      </w:pPr>
      <w:r w:rsidRPr="00CB497D">
        <w:rPr>
          <w:rFonts w:eastAsiaTheme="minorEastAsia"/>
          <w:b/>
          <w:lang w:eastAsia="zh-CN"/>
        </w:rPr>
        <w:t>A.7.5.6.1.2</w:t>
      </w:r>
      <w:r w:rsidRPr="00CB497D">
        <w:rPr>
          <w:rFonts w:eastAsiaTheme="minorEastAsia"/>
          <w:b/>
          <w:lang w:eastAsia="zh-CN"/>
        </w:rPr>
        <w:tab/>
        <w:t>NR FR1- NR FR2 DL active BWP switch of PCell with non-DRX in SA</w:t>
      </w:r>
    </w:p>
    <w:p w:rsidR="00CB497D" w:rsidRPr="00CB497D" w:rsidRDefault="00CB497D" w:rsidP="00CB497D">
      <w:pPr>
        <w:ind w:leftChars="200" w:left="400"/>
        <w:rPr>
          <w:rFonts w:eastAsiaTheme="minorEastAsia"/>
          <w:b/>
          <w:lang w:val="en-US" w:eastAsia="zh-CN"/>
        </w:rPr>
      </w:pPr>
      <w:r w:rsidRPr="00CB497D">
        <w:rPr>
          <w:rFonts w:eastAsiaTheme="minorEastAsia"/>
          <w:b/>
          <w:lang w:eastAsia="zh-CN"/>
        </w:rPr>
        <w:t>A.7.5.6.4.2</w:t>
      </w:r>
      <w:r w:rsidRPr="00CB497D">
        <w:rPr>
          <w:rFonts w:eastAsiaTheme="minorEastAsia"/>
          <w:b/>
          <w:lang w:eastAsia="zh-CN"/>
        </w:rPr>
        <w:tab/>
        <w:t>NR FR1 PCell SCell dormancy switch of two FR2 SCells outside active time</w:t>
      </w:r>
    </w:p>
    <w:p w:rsidR="003657FC" w:rsidRPr="00CB497D" w:rsidRDefault="003657FC" w:rsidP="0037468E">
      <w:pPr>
        <w:rPr>
          <w:rFonts w:eastAsiaTheme="minorEastAsia"/>
          <w:b/>
          <w:lang w:val="en-US" w:eastAsia="zh-CN"/>
        </w:rPr>
      </w:pPr>
    </w:p>
    <w:p w:rsidR="00DF0231" w:rsidRPr="002D2977" w:rsidRDefault="00DF0231" w:rsidP="00DF0231">
      <w:pPr>
        <w:pStyle w:val="1"/>
        <w:tabs>
          <w:tab w:val="clear" w:pos="432"/>
        </w:tabs>
        <w:ind w:left="0" w:firstLine="0"/>
        <w:rPr>
          <w:lang w:val="en-US"/>
        </w:rPr>
      </w:pPr>
      <w:r w:rsidRPr="002D2977">
        <w:rPr>
          <w:lang w:val="en-US"/>
        </w:rPr>
        <w:t>References</w:t>
      </w:r>
    </w:p>
    <w:p w:rsidR="00637A49" w:rsidRDefault="00637A49" w:rsidP="00637A49">
      <w:pPr>
        <w:rPr>
          <w:lang w:val="en-US"/>
        </w:rPr>
      </w:pPr>
      <w:r>
        <w:rPr>
          <w:lang w:val="en-US"/>
        </w:rPr>
        <w:t xml:space="preserve">[1] </w:t>
      </w:r>
      <w:r w:rsidR="003657FC" w:rsidRPr="003657FC">
        <w:rPr>
          <w:lang w:val="en-US"/>
        </w:rPr>
        <w:t>R4-2108038</w:t>
      </w:r>
      <w:r>
        <w:rPr>
          <w:lang w:val="en-US"/>
        </w:rPr>
        <w:t xml:space="preserve"> </w:t>
      </w:r>
      <w:r w:rsidR="003657FC" w:rsidRPr="003657FC">
        <w:t>WF on RRM test case related issues</w:t>
      </w:r>
      <w:r>
        <w:rPr>
          <w:lang w:val="en-US"/>
        </w:rPr>
        <w:t xml:space="preserve">, </w:t>
      </w:r>
      <w:r w:rsidR="003657FC">
        <w:rPr>
          <w:lang w:val="en-US"/>
        </w:rPr>
        <w:t>Ericsson</w:t>
      </w:r>
    </w:p>
    <w:p w:rsidR="004A22ED" w:rsidRDefault="004A22ED" w:rsidP="00637A49">
      <w:pPr>
        <w:rPr>
          <w:lang w:val="en-US"/>
        </w:rPr>
      </w:pPr>
      <w:r>
        <w:rPr>
          <w:lang w:val="en-US"/>
        </w:rPr>
        <w:t xml:space="preserve">[2] </w:t>
      </w:r>
      <w:r w:rsidRPr="004A22ED">
        <w:rPr>
          <w:lang w:val="en-US"/>
        </w:rPr>
        <w:t>R4-2108849</w:t>
      </w:r>
      <w:r>
        <w:rPr>
          <w:lang w:val="en-US"/>
        </w:rPr>
        <w:t xml:space="preserve"> </w:t>
      </w:r>
      <w:r w:rsidRPr="004A22ED">
        <w:rPr>
          <w:lang w:val="en-US"/>
        </w:rPr>
        <w:t>CA channel BW configuration shortage for RRM TCs</w:t>
      </w:r>
      <w:r>
        <w:rPr>
          <w:lang w:val="en-US"/>
        </w:rPr>
        <w:t xml:space="preserve">, </w:t>
      </w:r>
      <w:r w:rsidRPr="004A22ED">
        <w:rPr>
          <w:lang w:val="en-US"/>
        </w:rPr>
        <w:t>Anritsu Corporation</w:t>
      </w:r>
    </w:p>
    <w:p w:rsidR="009117D0" w:rsidRDefault="009117D0" w:rsidP="00637A49">
      <w:pPr>
        <w:rPr>
          <w:lang w:val="en-US"/>
        </w:rPr>
      </w:pPr>
      <w:r>
        <w:rPr>
          <w:lang w:val="en-US"/>
        </w:rPr>
        <w:t>[3] TR 38.810</w:t>
      </w:r>
    </w:p>
    <w:p w:rsidR="00637A49" w:rsidRPr="00637A49" w:rsidRDefault="00637A49" w:rsidP="00637A49">
      <w:pPr>
        <w:rPr>
          <w:rFonts w:eastAsiaTheme="minorEastAsia"/>
        </w:rPr>
      </w:pPr>
    </w:p>
    <w:p w:rsidR="00BA4C0A" w:rsidRPr="00637A49" w:rsidRDefault="00BA4C0A">
      <w:pPr>
        <w:rPr>
          <w:rFonts w:eastAsiaTheme="minorEastAsia"/>
          <w:lang w:val="en-US" w:eastAsia="zh-CN"/>
        </w:rPr>
      </w:pPr>
    </w:p>
    <w:sectPr w:rsidR="00BA4C0A" w:rsidRPr="00637A49"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A14" w:rsidRDefault="00613A14">
      <w:pPr>
        <w:spacing w:after="0"/>
      </w:pPr>
      <w:r>
        <w:separator/>
      </w:r>
    </w:p>
  </w:endnote>
  <w:endnote w:type="continuationSeparator" w:id="0">
    <w:p w:rsidR="00613A14" w:rsidRDefault="00613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224" w:rsidRDefault="00C0422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C04224" w:rsidRDefault="00C0422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224" w:rsidRDefault="00C0422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F480F">
      <w:rPr>
        <w:rStyle w:val="a5"/>
      </w:rPr>
      <w:t>7</w:t>
    </w:r>
    <w:r>
      <w:rPr>
        <w:rStyle w:val="a5"/>
      </w:rPr>
      <w:fldChar w:fldCharType="end"/>
    </w:r>
  </w:p>
  <w:p w:rsidR="00C04224" w:rsidRDefault="00C0422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A14" w:rsidRDefault="00613A14">
      <w:pPr>
        <w:spacing w:after="0"/>
      </w:pPr>
      <w:r>
        <w:separator/>
      </w:r>
    </w:p>
  </w:footnote>
  <w:footnote w:type="continuationSeparator" w:id="0">
    <w:p w:rsidR="00613A14" w:rsidRDefault="00613A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778730C"/>
    <w:multiLevelType w:val="hybridMultilevel"/>
    <w:tmpl w:val="ADD6916A"/>
    <w:lvl w:ilvl="0" w:tplc="130AE9CA">
      <w:start w:val="1"/>
      <w:numFmt w:val="bullet"/>
      <w:lvlText w:val="•"/>
      <w:lvlJc w:val="left"/>
      <w:pPr>
        <w:tabs>
          <w:tab w:val="num" w:pos="720"/>
        </w:tabs>
        <w:ind w:left="720" w:hanging="360"/>
      </w:pPr>
      <w:rPr>
        <w:rFonts w:ascii="Arial" w:hAnsi="Arial" w:hint="default"/>
      </w:rPr>
    </w:lvl>
    <w:lvl w:ilvl="1" w:tplc="79D8CB9A">
      <w:numFmt w:val="bullet"/>
      <w:lvlText w:val="•"/>
      <w:lvlJc w:val="left"/>
      <w:pPr>
        <w:tabs>
          <w:tab w:val="num" w:pos="1440"/>
        </w:tabs>
        <w:ind w:left="1440" w:hanging="360"/>
      </w:pPr>
      <w:rPr>
        <w:rFonts w:ascii="Arial" w:hAnsi="Arial" w:hint="default"/>
      </w:rPr>
    </w:lvl>
    <w:lvl w:ilvl="2" w:tplc="81540CF0">
      <w:start w:val="1"/>
      <w:numFmt w:val="decimal"/>
      <w:lvlText w:val="%3."/>
      <w:lvlJc w:val="left"/>
      <w:pPr>
        <w:tabs>
          <w:tab w:val="num" w:pos="2160"/>
        </w:tabs>
        <w:ind w:left="2160" w:hanging="360"/>
      </w:pPr>
    </w:lvl>
    <w:lvl w:ilvl="3" w:tplc="8F66CA22">
      <w:numFmt w:val="bullet"/>
      <w:lvlText w:val="•"/>
      <w:lvlJc w:val="left"/>
      <w:pPr>
        <w:tabs>
          <w:tab w:val="num" w:pos="2880"/>
        </w:tabs>
        <w:ind w:left="2880" w:hanging="360"/>
      </w:pPr>
      <w:rPr>
        <w:rFonts w:ascii="Arial" w:hAnsi="Arial" w:hint="default"/>
      </w:rPr>
    </w:lvl>
    <w:lvl w:ilvl="4" w:tplc="390872F2">
      <w:numFmt w:val="bullet"/>
      <w:lvlText w:val="•"/>
      <w:lvlJc w:val="left"/>
      <w:pPr>
        <w:tabs>
          <w:tab w:val="num" w:pos="3600"/>
        </w:tabs>
        <w:ind w:left="3600" w:hanging="360"/>
      </w:pPr>
      <w:rPr>
        <w:rFonts w:ascii="Arial" w:hAnsi="Arial" w:hint="default"/>
      </w:rPr>
    </w:lvl>
    <w:lvl w:ilvl="5" w:tplc="089CA68C" w:tentative="1">
      <w:start w:val="1"/>
      <w:numFmt w:val="bullet"/>
      <w:lvlText w:val="•"/>
      <w:lvlJc w:val="left"/>
      <w:pPr>
        <w:tabs>
          <w:tab w:val="num" w:pos="4320"/>
        </w:tabs>
        <w:ind w:left="4320" w:hanging="360"/>
      </w:pPr>
      <w:rPr>
        <w:rFonts w:ascii="Arial" w:hAnsi="Arial" w:hint="default"/>
      </w:rPr>
    </w:lvl>
    <w:lvl w:ilvl="6" w:tplc="F468DD7A" w:tentative="1">
      <w:start w:val="1"/>
      <w:numFmt w:val="bullet"/>
      <w:lvlText w:val="•"/>
      <w:lvlJc w:val="left"/>
      <w:pPr>
        <w:tabs>
          <w:tab w:val="num" w:pos="5040"/>
        </w:tabs>
        <w:ind w:left="5040" w:hanging="360"/>
      </w:pPr>
      <w:rPr>
        <w:rFonts w:ascii="Arial" w:hAnsi="Arial" w:hint="default"/>
      </w:rPr>
    </w:lvl>
    <w:lvl w:ilvl="7" w:tplc="31AA8D08" w:tentative="1">
      <w:start w:val="1"/>
      <w:numFmt w:val="bullet"/>
      <w:lvlText w:val="•"/>
      <w:lvlJc w:val="left"/>
      <w:pPr>
        <w:tabs>
          <w:tab w:val="num" w:pos="5760"/>
        </w:tabs>
        <w:ind w:left="5760" w:hanging="360"/>
      </w:pPr>
      <w:rPr>
        <w:rFonts w:ascii="Arial" w:hAnsi="Arial" w:hint="default"/>
      </w:rPr>
    </w:lvl>
    <w:lvl w:ilvl="8" w:tplc="FD38D0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0B65FD"/>
    <w:multiLevelType w:val="hybridMultilevel"/>
    <w:tmpl w:val="D6F62074"/>
    <w:lvl w:ilvl="0" w:tplc="5C9EA474">
      <w:start w:val="1"/>
      <w:numFmt w:val="decimal"/>
      <w:lvlText w:val="%1."/>
      <w:lvlJc w:val="left"/>
      <w:pPr>
        <w:tabs>
          <w:tab w:val="num" w:pos="720"/>
        </w:tabs>
        <w:ind w:left="720" w:hanging="360"/>
      </w:pPr>
    </w:lvl>
    <w:lvl w:ilvl="1" w:tplc="9CD2B8EA">
      <w:numFmt w:val="bullet"/>
      <w:lvlText w:val="•"/>
      <w:lvlJc w:val="left"/>
      <w:pPr>
        <w:tabs>
          <w:tab w:val="num" w:pos="1440"/>
        </w:tabs>
        <w:ind w:left="1440" w:hanging="360"/>
      </w:pPr>
      <w:rPr>
        <w:rFonts w:ascii="Arial" w:hAnsi="Arial" w:hint="default"/>
      </w:rPr>
    </w:lvl>
    <w:lvl w:ilvl="2" w:tplc="9D3809C0">
      <w:numFmt w:val="bullet"/>
      <w:lvlText w:val="•"/>
      <w:lvlJc w:val="left"/>
      <w:pPr>
        <w:tabs>
          <w:tab w:val="num" w:pos="2160"/>
        </w:tabs>
        <w:ind w:left="2160" w:hanging="360"/>
      </w:pPr>
      <w:rPr>
        <w:rFonts w:ascii="Arial" w:hAnsi="Arial" w:hint="default"/>
      </w:rPr>
    </w:lvl>
    <w:lvl w:ilvl="3" w:tplc="7DD620A4">
      <w:numFmt w:val="bullet"/>
      <w:lvlText w:val="•"/>
      <w:lvlJc w:val="left"/>
      <w:pPr>
        <w:tabs>
          <w:tab w:val="num" w:pos="2880"/>
        </w:tabs>
        <w:ind w:left="2880" w:hanging="360"/>
      </w:pPr>
      <w:rPr>
        <w:rFonts w:ascii="Arial" w:hAnsi="Arial" w:hint="default"/>
      </w:rPr>
    </w:lvl>
    <w:lvl w:ilvl="4" w:tplc="7B34046E" w:tentative="1">
      <w:start w:val="1"/>
      <w:numFmt w:val="decimal"/>
      <w:lvlText w:val="%5."/>
      <w:lvlJc w:val="left"/>
      <w:pPr>
        <w:tabs>
          <w:tab w:val="num" w:pos="3600"/>
        </w:tabs>
        <w:ind w:left="3600" w:hanging="360"/>
      </w:pPr>
    </w:lvl>
    <w:lvl w:ilvl="5" w:tplc="3D86CC34" w:tentative="1">
      <w:start w:val="1"/>
      <w:numFmt w:val="decimal"/>
      <w:lvlText w:val="%6."/>
      <w:lvlJc w:val="left"/>
      <w:pPr>
        <w:tabs>
          <w:tab w:val="num" w:pos="4320"/>
        </w:tabs>
        <w:ind w:left="4320" w:hanging="360"/>
      </w:pPr>
    </w:lvl>
    <w:lvl w:ilvl="6" w:tplc="79CC175A" w:tentative="1">
      <w:start w:val="1"/>
      <w:numFmt w:val="decimal"/>
      <w:lvlText w:val="%7."/>
      <w:lvlJc w:val="left"/>
      <w:pPr>
        <w:tabs>
          <w:tab w:val="num" w:pos="5040"/>
        </w:tabs>
        <w:ind w:left="5040" w:hanging="360"/>
      </w:pPr>
    </w:lvl>
    <w:lvl w:ilvl="7" w:tplc="3CBAF69E" w:tentative="1">
      <w:start w:val="1"/>
      <w:numFmt w:val="decimal"/>
      <w:lvlText w:val="%8."/>
      <w:lvlJc w:val="left"/>
      <w:pPr>
        <w:tabs>
          <w:tab w:val="num" w:pos="5760"/>
        </w:tabs>
        <w:ind w:left="5760" w:hanging="360"/>
      </w:pPr>
    </w:lvl>
    <w:lvl w:ilvl="8" w:tplc="D810A07C" w:tentative="1">
      <w:start w:val="1"/>
      <w:numFmt w:val="decimal"/>
      <w:lvlText w:val="%9."/>
      <w:lvlJc w:val="left"/>
      <w:pPr>
        <w:tabs>
          <w:tab w:val="num" w:pos="6480"/>
        </w:tabs>
        <w:ind w:left="6480" w:hanging="360"/>
      </w:pPr>
    </w:lvl>
  </w:abstractNum>
  <w:abstractNum w:abstractNumId="1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0"/>
  </w:num>
  <w:num w:numId="4">
    <w:abstractNumId w:val="19"/>
  </w:num>
  <w:num w:numId="5">
    <w:abstractNumId w:val="0"/>
  </w:num>
  <w:num w:numId="6">
    <w:abstractNumId w:val="9"/>
  </w:num>
  <w:num w:numId="7">
    <w:abstractNumId w:val="2"/>
  </w:num>
  <w:num w:numId="8">
    <w:abstractNumId w:val="12"/>
  </w:num>
  <w:num w:numId="9">
    <w:abstractNumId w:val="13"/>
  </w:num>
  <w:num w:numId="10">
    <w:abstractNumId w:val="10"/>
  </w:num>
  <w:num w:numId="11">
    <w:abstractNumId w:val="11"/>
  </w:num>
  <w:num w:numId="12">
    <w:abstractNumId w:val="1"/>
  </w:num>
  <w:num w:numId="13">
    <w:abstractNumId w:val="6"/>
  </w:num>
  <w:num w:numId="1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7"/>
  </w:num>
  <w:num w:numId="17">
    <w:abstractNumId w:val="15"/>
  </w:num>
  <w:num w:numId="18">
    <w:abstractNumId w:val="7"/>
  </w:num>
  <w:num w:numId="19">
    <w:abstractNumId w:val="4"/>
  </w:num>
  <w:num w:numId="20">
    <w:abstractNumId w:val="3"/>
  </w:num>
  <w:num w:numId="21">
    <w:abstractNumId w:val="5"/>
  </w:num>
  <w:num w:numId="2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55B5D"/>
    <w:rsid w:val="00063E08"/>
    <w:rsid w:val="00067A48"/>
    <w:rsid w:val="00067B89"/>
    <w:rsid w:val="00076C0A"/>
    <w:rsid w:val="00087858"/>
    <w:rsid w:val="000903D2"/>
    <w:rsid w:val="00096503"/>
    <w:rsid w:val="00097E39"/>
    <w:rsid w:val="000A1878"/>
    <w:rsid w:val="000A2ED7"/>
    <w:rsid w:val="000A4BCB"/>
    <w:rsid w:val="000A7A19"/>
    <w:rsid w:val="000B15EC"/>
    <w:rsid w:val="000C2147"/>
    <w:rsid w:val="000D2930"/>
    <w:rsid w:val="000D6B9B"/>
    <w:rsid w:val="000E0A8A"/>
    <w:rsid w:val="000E2C03"/>
    <w:rsid w:val="000E3042"/>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47895"/>
    <w:rsid w:val="00151949"/>
    <w:rsid w:val="00161981"/>
    <w:rsid w:val="0017747E"/>
    <w:rsid w:val="0018314E"/>
    <w:rsid w:val="00184719"/>
    <w:rsid w:val="00197964"/>
    <w:rsid w:val="001A1E7C"/>
    <w:rsid w:val="001C4240"/>
    <w:rsid w:val="001D3006"/>
    <w:rsid w:val="001D4EF9"/>
    <w:rsid w:val="001E7174"/>
    <w:rsid w:val="0020033A"/>
    <w:rsid w:val="00207272"/>
    <w:rsid w:val="00216AAB"/>
    <w:rsid w:val="00217770"/>
    <w:rsid w:val="002221AC"/>
    <w:rsid w:val="00222A85"/>
    <w:rsid w:val="00222AF7"/>
    <w:rsid w:val="00232120"/>
    <w:rsid w:val="002328DD"/>
    <w:rsid w:val="00234AA1"/>
    <w:rsid w:val="00243552"/>
    <w:rsid w:val="00243BFC"/>
    <w:rsid w:val="00245810"/>
    <w:rsid w:val="00254F38"/>
    <w:rsid w:val="00267D3F"/>
    <w:rsid w:val="00272F1F"/>
    <w:rsid w:val="0027365E"/>
    <w:rsid w:val="002736F0"/>
    <w:rsid w:val="00282D3C"/>
    <w:rsid w:val="00294B79"/>
    <w:rsid w:val="002A235C"/>
    <w:rsid w:val="002A2EF8"/>
    <w:rsid w:val="002A5E54"/>
    <w:rsid w:val="002B0D3D"/>
    <w:rsid w:val="002B45C3"/>
    <w:rsid w:val="002E3A74"/>
    <w:rsid w:val="002E668C"/>
    <w:rsid w:val="002F00F2"/>
    <w:rsid w:val="002F579F"/>
    <w:rsid w:val="00311CF9"/>
    <w:rsid w:val="003158EC"/>
    <w:rsid w:val="00321181"/>
    <w:rsid w:val="00323702"/>
    <w:rsid w:val="00336939"/>
    <w:rsid w:val="003422A4"/>
    <w:rsid w:val="00352697"/>
    <w:rsid w:val="00356FB6"/>
    <w:rsid w:val="003622B2"/>
    <w:rsid w:val="003657FC"/>
    <w:rsid w:val="003664ED"/>
    <w:rsid w:val="0037468E"/>
    <w:rsid w:val="00377D59"/>
    <w:rsid w:val="0038462A"/>
    <w:rsid w:val="0038557C"/>
    <w:rsid w:val="003A5CBC"/>
    <w:rsid w:val="003A5E2B"/>
    <w:rsid w:val="003D6F09"/>
    <w:rsid w:val="003E7C96"/>
    <w:rsid w:val="003F762D"/>
    <w:rsid w:val="00401473"/>
    <w:rsid w:val="00415933"/>
    <w:rsid w:val="00424544"/>
    <w:rsid w:val="00430F24"/>
    <w:rsid w:val="00435D65"/>
    <w:rsid w:val="00435EBD"/>
    <w:rsid w:val="00451B80"/>
    <w:rsid w:val="00455FD0"/>
    <w:rsid w:val="00466D02"/>
    <w:rsid w:val="00477263"/>
    <w:rsid w:val="004930E8"/>
    <w:rsid w:val="0049501A"/>
    <w:rsid w:val="004A22ED"/>
    <w:rsid w:val="004A29B2"/>
    <w:rsid w:val="004A678E"/>
    <w:rsid w:val="004A7CF2"/>
    <w:rsid w:val="004B1ECE"/>
    <w:rsid w:val="004B4633"/>
    <w:rsid w:val="004C11F4"/>
    <w:rsid w:val="004C4868"/>
    <w:rsid w:val="004D3C97"/>
    <w:rsid w:val="004E3732"/>
    <w:rsid w:val="004E5D51"/>
    <w:rsid w:val="004F0167"/>
    <w:rsid w:val="004F344B"/>
    <w:rsid w:val="00502991"/>
    <w:rsid w:val="00514A5F"/>
    <w:rsid w:val="005235DB"/>
    <w:rsid w:val="00530EB0"/>
    <w:rsid w:val="005375AA"/>
    <w:rsid w:val="005409B9"/>
    <w:rsid w:val="00545EC2"/>
    <w:rsid w:val="0054734A"/>
    <w:rsid w:val="005546D8"/>
    <w:rsid w:val="00557527"/>
    <w:rsid w:val="005755A4"/>
    <w:rsid w:val="005763DF"/>
    <w:rsid w:val="00582652"/>
    <w:rsid w:val="005A2C70"/>
    <w:rsid w:val="005A456B"/>
    <w:rsid w:val="005B0D68"/>
    <w:rsid w:val="005B6053"/>
    <w:rsid w:val="005C337F"/>
    <w:rsid w:val="005C5F9E"/>
    <w:rsid w:val="005D15A2"/>
    <w:rsid w:val="005D231A"/>
    <w:rsid w:val="005D3DC0"/>
    <w:rsid w:val="005D6BEF"/>
    <w:rsid w:val="005E29AA"/>
    <w:rsid w:val="005E4CCD"/>
    <w:rsid w:val="005F5231"/>
    <w:rsid w:val="00604490"/>
    <w:rsid w:val="0060650F"/>
    <w:rsid w:val="00607CE8"/>
    <w:rsid w:val="00613A14"/>
    <w:rsid w:val="0061679F"/>
    <w:rsid w:val="00637A49"/>
    <w:rsid w:val="0066186B"/>
    <w:rsid w:val="00672FCE"/>
    <w:rsid w:val="00681F59"/>
    <w:rsid w:val="006A68E5"/>
    <w:rsid w:val="006C4181"/>
    <w:rsid w:val="006C4BDB"/>
    <w:rsid w:val="006D43CD"/>
    <w:rsid w:val="006D7325"/>
    <w:rsid w:val="006E28F1"/>
    <w:rsid w:val="006F1BAF"/>
    <w:rsid w:val="006F27CD"/>
    <w:rsid w:val="006F5874"/>
    <w:rsid w:val="00701598"/>
    <w:rsid w:val="00702FA5"/>
    <w:rsid w:val="00704CE7"/>
    <w:rsid w:val="00712608"/>
    <w:rsid w:val="00714064"/>
    <w:rsid w:val="007200C7"/>
    <w:rsid w:val="00723883"/>
    <w:rsid w:val="00732D90"/>
    <w:rsid w:val="007334B6"/>
    <w:rsid w:val="00734B34"/>
    <w:rsid w:val="00736D84"/>
    <w:rsid w:val="00763EF7"/>
    <w:rsid w:val="00766048"/>
    <w:rsid w:val="0077159B"/>
    <w:rsid w:val="00782C5D"/>
    <w:rsid w:val="00784099"/>
    <w:rsid w:val="00784BF5"/>
    <w:rsid w:val="00786C50"/>
    <w:rsid w:val="007902A8"/>
    <w:rsid w:val="007A336E"/>
    <w:rsid w:val="007A37DA"/>
    <w:rsid w:val="007A52D1"/>
    <w:rsid w:val="007A6ED4"/>
    <w:rsid w:val="007B119C"/>
    <w:rsid w:val="007B3DC0"/>
    <w:rsid w:val="007B57F3"/>
    <w:rsid w:val="007B7B6A"/>
    <w:rsid w:val="007C0D2E"/>
    <w:rsid w:val="007C5B24"/>
    <w:rsid w:val="007D0DF7"/>
    <w:rsid w:val="007D3409"/>
    <w:rsid w:val="007D58F5"/>
    <w:rsid w:val="007E2057"/>
    <w:rsid w:val="007E2E8A"/>
    <w:rsid w:val="007E3BD5"/>
    <w:rsid w:val="007E5F97"/>
    <w:rsid w:val="007E67EC"/>
    <w:rsid w:val="007F045C"/>
    <w:rsid w:val="007F2371"/>
    <w:rsid w:val="007F2E6A"/>
    <w:rsid w:val="007F7E14"/>
    <w:rsid w:val="00804945"/>
    <w:rsid w:val="00821B76"/>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A65F7"/>
    <w:rsid w:val="008B3970"/>
    <w:rsid w:val="008B4A2C"/>
    <w:rsid w:val="008B4F73"/>
    <w:rsid w:val="008B7660"/>
    <w:rsid w:val="008C31D2"/>
    <w:rsid w:val="008C398B"/>
    <w:rsid w:val="008D2D3D"/>
    <w:rsid w:val="008D55C5"/>
    <w:rsid w:val="008E2591"/>
    <w:rsid w:val="008E35EC"/>
    <w:rsid w:val="008E79C6"/>
    <w:rsid w:val="008F37CA"/>
    <w:rsid w:val="008F3874"/>
    <w:rsid w:val="008F67CF"/>
    <w:rsid w:val="00904C87"/>
    <w:rsid w:val="009117D0"/>
    <w:rsid w:val="009118FA"/>
    <w:rsid w:val="00914A03"/>
    <w:rsid w:val="00915DEA"/>
    <w:rsid w:val="0092386A"/>
    <w:rsid w:val="00923CC3"/>
    <w:rsid w:val="00931830"/>
    <w:rsid w:val="009333B5"/>
    <w:rsid w:val="009450D8"/>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480F"/>
    <w:rsid w:val="009F7F10"/>
    <w:rsid w:val="00A0093B"/>
    <w:rsid w:val="00A1597D"/>
    <w:rsid w:val="00A22790"/>
    <w:rsid w:val="00A26AB0"/>
    <w:rsid w:val="00A34913"/>
    <w:rsid w:val="00A35F07"/>
    <w:rsid w:val="00A42E3A"/>
    <w:rsid w:val="00A628B8"/>
    <w:rsid w:val="00A7739E"/>
    <w:rsid w:val="00A848D0"/>
    <w:rsid w:val="00A87084"/>
    <w:rsid w:val="00A93E0D"/>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60998"/>
    <w:rsid w:val="00B704B9"/>
    <w:rsid w:val="00B71C35"/>
    <w:rsid w:val="00B72BEC"/>
    <w:rsid w:val="00B73A82"/>
    <w:rsid w:val="00B76F4D"/>
    <w:rsid w:val="00B77412"/>
    <w:rsid w:val="00B77752"/>
    <w:rsid w:val="00B83BC0"/>
    <w:rsid w:val="00B87A6F"/>
    <w:rsid w:val="00BA4C0A"/>
    <w:rsid w:val="00BB2A32"/>
    <w:rsid w:val="00BB6484"/>
    <w:rsid w:val="00BC3920"/>
    <w:rsid w:val="00BC47AB"/>
    <w:rsid w:val="00BD2AB1"/>
    <w:rsid w:val="00BE09C1"/>
    <w:rsid w:val="00BE194F"/>
    <w:rsid w:val="00BE1FD4"/>
    <w:rsid w:val="00BE677A"/>
    <w:rsid w:val="00BE6A2E"/>
    <w:rsid w:val="00BF00A7"/>
    <w:rsid w:val="00BF33D9"/>
    <w:rsid w:val="00C04224"/>
    <w:rsid w:val="00C075BD"/>
    <w:rsid w:val="00C11B10"/>
    <w:rsid w:val="00C15E40"/>
    <w:rsid w:val="00C338CA"/>
    <w:rsid w:val="00C50A0A"/>
    <w:rsid w:val="00C572D7"/>
    <w:rsid w:val="00C60016"/>
    <w:rsid w:val="00C638D8"/>
    <w:rsid w:val="00C63D6B"/>
    <w:rsid w:val="00C64128"/>
    <w:rsid w:val="00C76E52"/>
    <w:rsid w:val="00C83525"/>
    <w:rsid w:val="00CA1729"/>
    <w:rsid w:val="00CA1984"/>
    <w:rsid w:val="00CA1DAE"/>
    <w:rsid w:val="00CA7429"/>
    <w:rsid w:val="00CB497D"/>
    <w:rsid w:val="00CB6216"/>
    <w:rsid w:val="00CC4578"/>
    <w:rsid w:val="00CC58C1"/>
    <w:rsid w:val="00CD0284"/>
    <w:rsid w:val="00CD160F"/>
    <w:rsid w:val="00CE0DA0"/>
    <w:rsid w:val="00CE23E6"/>
    <w:rsid w:val="00CF030B"/>
    <w:rsid w:val="00CF1DFC"/>
    <w:rsid w:val="00CF2856"/>
    <w:rsid w:val="00CF5CE7"/>
    <w:rsid w:val="00CF5EF5"/>
    <w:rsid w:val="00CF7481"/>
    <w:rsid w:val="00CF7EE3"/>
    <w:rsid w:val="00D13FC8"/>
    <w:rsid w:val="00D15B13"/>
    <w:rsid w:val="00D3442D"/>
    <w:rsid w:val="00D34F1B"/>
    <w:rsid w:val="00D41D2D"/>
    <w:rsid w:val="00D463A3"/>
    <w:rsid w:val="00D51833"/>
    <w:rsid w:val="00D61355"/>
    <w:rsid w:val="00D73373"/>
    <w:rsid w:val="00D828E1"/>
    <w:rsid w:val="00D94E39"/>
    <w:rsid w:val="00DB10D2"/>
    <w:rsid w:val="00DB1DD4"/>
    <w:rsid w:val="00DB61B3"/>
    <w:rsid w:val="00DC220E"/>
    <w:rsid w:val="00DD0915"/>
    <w:rsid w:val="00DD1DFF"/>
    <w:rsid w:val="00DE3896"/>
    <w:rsid w:val="00DF0231"/>
    <w:rsid w:val="00E04C43"/>
    <w:rsid w:val="00E13E91"/>
    <w:rsid w:val="00E16D37"/>
    <w:rsid w:val="00E17E17"/>
    <w:rsid w:val="00E17F78"/>
    <w:rsid w:val="00E21B03"/>
    <w:rsid w:val="00E222F0"/>
    <w:rsid w:val="00E22D0F"/>
    <w:rsid w:val="00E31284"/>
    <w:rsid w:val="00E406F2"/>
    <w:rsid w:val="00E415BA"/>
    <w:rsid w:val="00E470EC"/>
    <w:rsid w:val="00E5666B"/>
    <w:rsid w:val="00E577DD"/>
    <w:rsid w:val="00E600F0"/>
    <w:rsid w:val="00E72064"/>
    <w:rsid w:val="00E76A71"/>
    <w:rsid w:val="00E85BF2"/>
    <w:rsid w:val="00E91110"/>
    <w:rsid w:val="00E9184C"/>
    <w:rsid w:val="00E94DD3"/>
    <w:rsid w:val="00EA49BA"/>
    <w:rsid w:val="00EA4E79"/>
    <w:rsid w:val="00EA5149"/>
    <w:rsid w:val="00EB02DF"/>
    <w:rsid w:val="00EE1CF7"/>
    <w:rsid w:val="00EE6F45"/>
    <w:rsid w:val="00EF0E38"/>
    <w:rsid w:val="00EF2DE4"/>
    <w:rsid w:val="00EF66B2"/>
    <w:rsid w:val="00F0497C"/>
    <w:rsid w:val="00F076D1"/>
    <w:rsid w:val="00F0770B"/>
    <w:rsid w:val="00F10653"/>
    <w:rsid w:val="00F14670"/>
    <w:rsid w:val="00F1617A"/>
    <w:rsid w:val="00F2033F"/>
    <w:rsid w:val="00F20408"/>
    <w:rsid w:val="00F20D63"/>
    <w:rsid w:val="00F22DF5"/>
    <w:rsid w:val="00F303F4"/>
    <w:rsid w:val="00F31FA7"/>
    <w:rsid w:val="00F34526"/>
    <w:rsid w:val="00F413E7"/>
    <w:rsid w:val="00F42BFC"/>
    <w:rsid w:val="00F52BDB"/>
    <w:rsid w:val="00F52FE8"/>
    <w:rsid w:val="00F5790A"/>
    <w:rsid w:val="00F609CD"/>
    <w:rsid w:val="00F76B81"/>
    <w:rsid w:val="00FA4943"/>
    <w:rsid w:val="00FB1382"/>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9117D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semiHidden/>
    <w:unhideWhenUsed/>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semiHidden/>
    <w:rsid w:val="000F04C6"/>
    <w:rPr>
      <w:rFonts w:ascii="Times New Roman" w:eastAsia="宋体" w:hAnsi="Times New Roman" w:cs="Times New Roman"/>
      <w:kern w:val="0"/>
      <w:sz w:val="20"/>
      <w:szCs w:val="20"/>
      <w:lang w:val="en-GB" w:eastAsia="en-GB"/>
    </w:rPr>
  </w:style>
  <w:style w:type="character" w:styleId="ac">
    <w:name w:val="annotation reference"/>
    <w:semiHidden/>
    <w:unhideWhenUsed/>
    <w:rsid w:val="000F04C6"/>
    <w:rPr>
      <w:sz w:val="16"/>
      <w:szCs w:val="16"/>
    </w:rPr>
  </w:style>
  <w:style w:type="paragraph" w:customStyle="1" w:styleId="TAL">
    <w:name w:val="TAL"/>
    <w:basedOn w:val="a"/>
    <w:link w:val="TALCar"/>
    <w:rsid w:val="00C0422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C04224"/>
    <w:rPr>
      <w:rFonts w:ascii="Arial" w:eastAsia="Times New Roman" w:hAnsi="Arial" w:cs="Times New Roman"/>
      <w:kern w:val="0"/>
      <w:sz w:val="18"/>
      <w:szCs w:val="20"/>
      <w:lang w:val="en-GB" w:eastAsia="en-GB"/>
    </w:rPr>
  </w:style>
  <w:style w:type="character" w:customStyle="1" w:styleId="B2Char">
    <w:name w:val="B2 Char"/>
    <w:link w:val="B2"/>
    <w:qFormat/>
    <w:locked/>
    <w:rsid w:val="009117D0"/>
    <w:rPr>
      <w:lang w:val="en-GB" w:eastAsia="en-US"/>
    </w:rPr>
  </w:style>
  <w:style w:type="paragraph" w:customStyle="1" w:styleId="B2">
    <w:name w:val="B2"/>
    <w:basedOn w:val="20"/>
    <w:link w:val="B2Char"/>
    <w:qFormat/>
    <w:rsid w:val="009117D0"/>
    <w:pPr>
      <w:ind w:leftChars="0" w:left="851" w:firstLineChars="0" w:hanging="284"/>
      <w:contextualSpacing w:val="0"/>
    </w:pPr>
    <w:rPr>
      <w:rFonts w:asciiTheme="minorHAnsi" w:eastAsiaTheme="minorEastAsia" w:hAnsiTheme="minorHAnsi" w:cstheme="minorBidi"/>
      <w:kern w:val="2"/>
      <w:sz w:val="21"/>
      <w:szCs w:val="22"/>
    </w:rPr>
  </w:style>
  <w:style w:type="paragraph" w:styleId="20">
    <w:name w:val="List 2"/>
    <w:basedOn w:val="a"/>
    <w:uiPriority w:val="99"/>
    <w:semiHidden/>
    <w:unhideWhenUsed/>
    <w:rsid w:val="009117D0"/>
    <w:pPr>
      <w:ind w:leftChars="200" w:left="100" w:hangingChars="200" w:hanging="200"/>
      <w:contextualSpacing/>
    </w:pPr>
  </w:style>
  <w:style w:type="character" w:customStyle="1" w:styleId="5Char">
    <w:name w:val="标题 5 Char"/>
    <w:basedOn w:val="a0"/>
    <w:link w:val="5"/>
    <w:uiPriority w:val="9"/>
    <w:semiHidden/>
    <w:rsid w:val="009117D0"/>
    <w:rPr>
      <w:rFonts w:ascii="Times New Roman" w:eastAsia="MS Mincho"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16510">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75010199">
      <w:bodyDiv w:val="1"/>
      <w:marLeft w:val="0"/>
      <w:marRight w:val="0"/>
      <w:marTop w:val="0"/>
      <w:marBottom w:val="0"/>
      <w:divBdr>
        <w:top w:val="none" w:sz="0" w:space="0" w:color="auto"/>
        <w:left w:val="none" w:sz="0" w:space="0" w:color="auto"/>
        <w:bottom w:val="none" w:sz="0" w:space="0" w:color="auto"/>
        <w:right w:val="none" w:sz="0" w:space="0" w:color="auto"/>
      </w:divBdr>
      <w:divsChild>
        <w:div w:id="1184589800">
          <w:marLeft w:val="806"/>
          <w:marRight w:val="0"/>
          <w:marTop w:val="200"/>
          <w:marBottom w:val="0"/>
          <w:divBdr>
            <w:top w:val="none" w:sz="0" w:space="0" w:color="auto"/>
            <w:left w:val="none" w:sz="0" w:space="0" w:color="auto"/>
            <w:bottom w:val="none" w:sz="0" w:space="0" w:color="auto"/>
            <w:right w:val="none" w:sz="0" w:space="0" w:color="auto"/>
          </w:divBdr>
        </w:div>
        <w:div w:id="1127049422">
          <w:marLeft w:val="1080"/>
          <w:marRight w:val="0"/>
          <w:marTop w:val="100"/>
          <w:marBottom w:val="0"/>
          <w:divBdr>
            <w:top w:val="none" w:sz="0" w:space="0" w:color="auto"/>
            <w:left w:val="none" w:sz="0" w:space="0" w:color="auto"/>
            <w:bottom w:val="none" w:sz="0" w:space="0" w:color="auto"/>
            <w:right w:val="none" w:sz="0" w:space="0" w:color="auto"/>
          </w:divBdr>
        </w:div>
        <w:div w:id="1453208739">
          <w:marLeft w:val="1080"/>
          <w:marRight w:val="0"/>
          <w:marTop w:val="100"/>
          <w:marBottom w:val="0"/>
          <w:divBdr>
            <w:top w:val="none" w:sz="0" w:space="0" w:color="auto"/>
            <w:left w:val="none" w:sz="0" w:space="0" w:color="auto"/>
            <w:bottom w:val="none" w:sz="0" w:space="0" w:color="auto"/>
            <w:right w:val="none" w:sz="0" w:space="0" w:color="auto"/>
          </w:divBdr>
        </w:div>
        <w:div w:id="203031602">
          <w:marLeft w:val="806"/>
          <w:marRight w:val="0"/>
          <w:marTop w:val="200"/>
          <w:marBottom w:val="0"/>
          <w:divBdr>
            <w:top w:val="none" w:sz="0" w:space="0" w:color="auto"/>
            <w:left w:val="none" w:sz="0" w:space="0" w:color="auto"/>
            <w:bottom w:val="none" w:sz="0" w:space="0" w:color="auto"/>
            <w:right w:val="none" w:sz="0" w:space="0" w:color="auto"/>
          </w:divBdr>
        </w:div>
        <w:div w:id="1382826230">
          <w:marLeft w:val="1080"/>
          <w:marRight w:val="0"/>
          <w:marTop w:val="100"/>
          <w:marBottom w:val="0"/>
          <w:divBdr>
            <w:top w:val="none" w:sz="0" w:space="0" w:color="auto"/>
            <w:left w:val="none" w:sz="0" w:space="0" w:color="auto"/>
            <w:bottom w:val="none" w:sz="0" w:space="0" w:color="auto"/>
            <w:right w:val="none" w:sz="0" w:space="0" w:color="auto"/>
          </w:divBdr>
        </w:div>
        <w:div w:id="1006785538">
          <w:marLeft w:val="2520"/>
          <w:marRight w:val="0"/>
          <w:marTop w:val="100"/>
          <w:marBottom w:val="0"/>
          <w:divBdr>
            <w:top w:val="none" w:sz="0" w:space="0" w:color="auto"/>
            <w:left w:val="none" w:sz="0" w:space="0" w:color="auto"/>
            <w:bottom w:val="none" w:sz="0" w:space="0" w:color="auto"/>
            <w:right w:val="none" w:sz="0" w:space="0" w:color="auto"/>
          </w:divBdr>
        </w:div>
        <w:div w:id="1608582538">
          <w:marLeft w:val="2520"/>
          <w:marRight w:val="0"/>
          <w:marTop w:val="100"/>
          <w:marBottom w:val="0"/>
          <w:divBdr>
            <w:top w:val="none" w:sz="0" w:space="0" w:color="auto"/>
            <w:left w:val="none" w:sz="0" w:space="0" w:color="auto"/>
            <w:bottom w:val="none" w:sz="0" w:space="0" w:color="auto"/>
            <w:right w:val="none" w:sz="0" w:space="0" w:color="auto"/>
          </w:divBdr>
        </w:div>
        <w:div w:id="739448178">
          <w:marLeft w:val="1080"/>
          <w:marRight w:val="0"/>
          <w:marTop w:val="100"/>
          <w:marBottom w:val="0"/>
          <w:divBdr>
            <w:top w:val="none" w:sz="0" w:space="0" w:color="auto"/>
            <w:left w:val="none" w:sz="0" w:space="0" w:color="auto"/>
            <w:bottom w:val="none" w:sz="0" w:space="0" w:color="auto"/>
            <w:right w:val="none" w:sz="0" w:space="0" w:color="auto"/>
          </w:divBdr>
        </w:div>
        <w:div w:id="1782920062">
          <w:marLeft w:val="1080"/>
          <w:marRight w:val="0"/>
          <w:marTop w:val="100"/>
          <w:marBottom w:val="0"/>
          <w:divBdr>
            <w:top w:val="none" w:sz="0" w:space="0" w:color="auto"/>
            <w:left w:val="none" w:sz="0" w:space="0" w:color="auto"/>
            <w:bottom w:val="none" w:sz="0" w:space="0" w:color="auto"/>
            <w:right w:val="none" w:sz="0" w:space="0" w:color="auto"/>
          </w:divBdr>
        </w:div>
        <w:div w:id="1534339066">
          <w:marLeft w:val="806"/>
          <w:marRight w:val="0"/>
          <w:marTop w:val="200"/>
          <w:marBottom w:val="0"/>
          <w:divBdr>
            <w:top w:val="none" w:sz="0" w:space="0" w:color="auto"/>
            <w:left w:val="none" w:sz="0" w:space="0" w:color="auto"/>
            <w:bottom w:val="none" w:sz="0" w:space="0" w:color="auto"/>
            <w:right w:val="none" w:sz="0" w:space="0" w:color="auto"/>
          </w:divBdr>
        </w:div>
        <w:div w:id="499733090">
          <w:marLeft w:val="1080"/>
          <w:marRight w:val="0"/>
          <w:marTop w:val="100"/>
          <w:marBottom w:val="0"/>
          <w:divBdr>
            <w:top w:val="none" w:sz="0" w:space="0" w:color="auto"/>
            <w:left w:val="none" w:sz="0" w:space="0" w:color="auto"/>
            <w:bottom w:val="none" w:sz="0" w:space="0" w:color="auto"/>
            <w:right w:val="none" w:sz="0" w:space="0" w:color="auto"/>
          </w:divBdr>
        </w:div>
        <w:div w:id="1806191249">
          <w:marLeft w:val="1800"/>
          <w:marRight w:val="0"/>
          <w:marTop w:val="100"/>
          <w:marBottom w:val="0"/>
          <w:divBdr>
            <w:top w:val="none" w:sz="0" w:space="0" w:color="auto"/>
            <w:left w:val="none" w:sz="0" w:space="0" w:color="auto"/>
            <w:bottom w:val="none" w:sz="0" w:space="0" w:color="auto"/>
            <w:right w:val="none" w:sz="0" w:space="0" w:color="auto"/>
          </w:divBdr>
        </w:div>
        <w:div w:id="1814635756">
          <w:marLeft w:val="2520"/>
          <w:marRight w:val="0"/>
          <w:marTop w:val="100"/>
          <w:marBottom w:val="0"/>
          <w:divBdr>
            <w:top w:val="none" w:sz="0" w:space="0" w:color="auto"/>
            <w:left w:val="none" w:sz="0" w:space="0" w:color="auto"/>
            <w:bottom w:val="none" w:sz="0" w:space="0" w:color="auto"/>
            <w:right w:val="none" w:sz="0" w:space="0" w:color="auto"/>
          </w:divBdr>
        </w:div>
        <w:div w:id="618923140">
          <w:marLeft w:val="1800"/>
          <w:marRight w:val="0"/>
          <w:marTop w:val="100"/>
          <w:marBottom w:val="0"/>
          <w:divBdr>
            <w:top w:val="none" w:sz="0" w:space="0" w:color="auto"/>
            <w:left w:val="none" w:sz="0" w:space="0" w:color="auto"/>
            <w:bottom w:val="none" w:sz="0" w:space="0" w:color="auto"/>
            <w:right w:val="none" w:sz="0" w:space="0" w:color="auto"/>
          </w:divBdr>
        </w:div>
        <w:div w:id="470831573">
          <w:marLeft w:val="1080"/>
          <w:marRight w:val="0"/>
          <w:marTop w:val="100"/>
          <w:marBottom w:val="0"/>
          <w:divBdr>
            <w:top w:val="none" w:sz="0" w:space="0" w:color="auto"/>
            <w:left w:val="none" w:sz="0" w:space="0" w:color="auto"/>
            <w:bottom w:val="none" w:sz="0" w:space="0" w:color="auto"/>
            <w:right w:val="none" w:sz="0" w:space="0" w:color="auto"/>
          </w:divBdr>
        </w:div>
        <w:div w:id="761071134">
          <w:marLeft w:val="806"/>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10708563">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85197">
      <w:bodyDiv w:val="1"/>
      <w:marLeft w:val="0"/>
      <w:marRight w:val="0"/>
      <w:marTop w:val="0"/>
      <w:marBottom w:val="0"/>
      <w:divBdr>
        <w:top w:val="none" w:sz="0" w:space="0" w:color="auto"/>
        <w:left w:val="none" w:sz="0" w:space="0" w:color="auto"/>
        <w:bottom w:val="none" w:sz="0" w:space="0" w:color="auto"/>
        <w:right w:val="none" w:sz="0" w:space="0" w:color="auto"/>
      </w:divBdr>
      <w:divsChild>
        <w:div w:id="532425168">
          <w:marLeft w:val="806"/>
          <w:marRight w:val="0"/>
          <w:marTop w:val="200"/>
          <w:marBottom w:val="0"/>
          <w:divBdr>
            <w:top w:val="none" w:sz="0" w:space="0" w:color="auto"/>
            <w:left w:val="none" w:sz="0" w:space="0" w:color="auto"/>
            <w:bottom w:val="none" w:sz="0" w:space="0" w:color="auto"/>
            <w:right w:val="none" w:sz="0" w:space="0" w:color="auto"/>
          </w:divBdr>
        </w:div>
        <w:div w:id="848832412">
          <w:marLeft w:val="1080"/>
          <w:marRight w:val="0"/>
          <w:marTop w:val="100"/>
          <w:marBottom w:val="0"/>
          <w:divBdr>
            <w:top w:val="none" w:sz="0" w:space="0" w:color="auto"/>
            <w:left w:val="none" w:sz="0" w:space="0" w:color="auto"/>
            <w:bottom w:val="none" w:sz="0" w:space="0" w:color="auto"/>
            <w:right w:val="none" w:sz="0" w:space="0" w:color="auto"/>
          </w:divBdr>
        </w:div>
        <w:div w:id="776173349">
          <w:marLeft w:val="1080"/>
          <w:marRight w:val="0"/>
          <w:marTop w:val="100"/>
          <w:marBottom w:val="0"/>
          <w:divBdr>
            <w:top w:val="none" w:sz="0" w:space="0" w:color="auto"/>
            <w:left w:val="none" w:sz="0" w:space="0" w:color="auto"/>
            <w:bottom w:val="none" w:sz="0" w:space="0" w:color="auto"/>
            <w:right w:val="none" w:sz="0" w:space="0" w:color="auto"/>
          </w:divBdr>
        </w:div>
        <w:div w:id="2098942248">
          <w:marLeft w:val="806"/>
          <w:marRight w:val="0"/>
          <w:marTop w:val="200"/>
          <w:marBottom w:val="0"/>
          <w:divBdr>
            <w:top w:val="none" w:sz="0" w:space="0" w:color="auto"/>
            <w:left w:val="none" w:sz="0" w:space="0" w:color="auto"/>
            <w:bottom w:val="none" w:sz="0" w:space="0" w:color="auto"/>
            <w:right w:val="none" w:sz="0" w:space="0" w:color="auto"/>
          </w:divBdr>
        </w:div>
        <w:div w:id="70545776">
          <w:marLeft w:val="1080"/>
          <w:marRight w:val="0"/>
          <w:marTop w:val="100"/>
          <w:marBottom w:val="0"/>
          <w:divBdr>
            <w:top w:val="none" w:sz="0" w:space="0" w:color="auto"/>
            <w:left w:val="none" w:sz="0" w:space="0" w:color="auto"/>
            <w:bottom w:val="none" w:sz="0" w:space="0" w:color="auto"/>
            <w:right w:val="none" w:sz="0" w:space="0" w:color="auto"/>
          </w:divBdr>
        </w:div>
        <w:div w:id="618953330">
          <w:marLeft w:val="2520"/>
          <w:marRight w:val="0"/>
          <w:marTop w:val="100"/>
          <w:marBottom w:val="0"/>
          <w:divBdr>
            <w:top w:val="none" w:sz="0" w:space="0" w:color="auto"/>
            <w:left w:val="none" w:sz="0" w:space="0" w:color="auto"/>
            <w:bottom w:val="none" w:sz="0" w:space="0" w:color="auto"/>
            <w:right w:val="none" w:sz="0" w:space="0" w:color="auto"/>
          </w:divBdr>
        </w:div>
        <w:div w:id="1079988436">
          <w:marLeft w:val="2520"/>
          <w:marRight w:val="0"/>
          <w:marTop w:val="100"/>
          <w:marBottom w:val="0"/>
          <w:divBdr>
            <w:top w:val="none" w:sz="0" w:space="0" w:color="auto"/>
            <w:left w:val="none" w:sz="0" w:space="0" w:color="auto"/>
            <w:bottom w:val="none" w:sz="0" w:space="0" w:color="auto"/>
            <w:right w:val="none" w:sz="0" w:space="0" w:color="auto"/>
          </w:divBdr>
        </w:div>
        <w:div w:id="1557660314">
          <w:marLeft w:val="1080"/>
          <w:marRight w:val="0"/>
          <w:marTop w:val="100"/>
          <w:marBottom w:val="0"/>
          <w:divBdr>
            <w:top w:val="none" w:sz="0" w:space="0" w:color="auto"/>
            <w:left w:val="none" w:sz="0" w:space="0" w:color="auto"/>
            <w:bottom w:val="none" w:sz="0" w:space="0" w:color="auto"/>
            <w:right w:val="none" w:sz="0" w:space="0" w:color="auto"/>
          </w:divBdr>
        </w:div>
        <w:div w:id="697003288">
          <w:marLeft w:val="1080"/>
          <w:marRight w:val="0"/>
          <w:marTop w:val="100"/>
          <w:marBottom w:val="0"/>
          <w:divBdr>
            <w:top w:val="none" w:sz="0" w:space="0" w:color="auto"/>
            <w:left w:val="none" w:sz="0" w:space="0" w:color="auto"/>
            <w:bottom w:val="none" w:sz="0" w:space="0" w:color="auto"/>
            <w:right w:val="none" w:sz="0" w:space="0" w:color="auto"/>
          </w:divBdr>
        </w:div>
        <w:div w:id="743720561">
          <w:marLeft w:val="806"/>
          <w:marRight w:val="0"/>
          <w:marTop w:val="200"/>
          <w:marBottom w:val="0"/>
          <w:divBdr>
            <w:top w:val="none" w:sz="0" w:space="0" w:color="auto"/>
            <w:left w:val="none" w:sz="0" w:space="0" w:color="auto"/>
            <w:bottom w:val="none" w:sz="0" w:space="0" w:color="auto"/>
            <w:right w:val="none" w:sz="0" w:space="0" w:color="auto"/>
          </w:divBdr>
        </w:div>
        <w:div w:id="1494295449">
          <w:marLeft w:val="1080"/>
          <w:marRight w:val="0"/>
          <w:marTop w:val="100"/>
          <w:marBottom w:val="0"/>
          <w:divBdr>
            <w:top w:val="none" w:sz="0" w:space="0" w:color="auto"/>
            <w:left w:val="none" w:sz="0" w:space="0" w:color="auto"/>
            <w:bottom w:val="none" w:sz="0" w:space="0" w:color="auto"/>
            <w:right w:val="none" w:sz="0" w:space="0" w:color="auto"/>
          </w:divBdr>
        </w:div>
        <w:div w:id="99960480">
          <w:marLeft w:val="1800"/>
          <w:marRight w:val="0"/>
          <w:marTop w:val="100"/>
          <w:marBottom w:val="0"/>
          <w:divBdr>
            <w:top w:val="none" w:sz="0" w:space="0" w:color="auto"/>
            <w:left w:val="none" w:sz="0" w:space="0" w:color="auto"/>
            <w:bottom w:val="none" w:sz="0" w:space="0" w:color="auto"/>
            <w:right w:val="none" w:sz="0" w:space="0" w:color="auto"/>
          </w:divBdr>
        </w:div>
        <w:div w:id="320159470">
          <w:marLeft w:val="2520"/>
          <w:marRight w:val="0"/>
          <w:marTop w:val="100"/>
          <w:marBottom w:val="0"/>
          <w:divBdr>
            <w:top w:val="none" w:sz="0" w:space="0" w:color="auto"/>
            <w:left w:val="none" w:sz="0" w:space="0" w:color="auto"/>
            <w:bottom w:val="none" w:sz="0" w:space="0" w:color="auto"/>
            <w:right w:val="none" w:sz="0" w:space="0" w:color="auto"/>
          </w:divBdr>
        </w:div>
        <w:div w:id="1421180477">
          <w:marLeft w:val="1800"/>
          <w:marRight w:val="0"/>
          <w:marTop w:val="100"/>
          <w:marBottom w:val="0"/>
          <w:divBdr>
            <w:top w:val="none" w:sz="0" w:space="0" w:color="auto"/>
            <w:left w:val="none" w:sz="0" w:space="0" w:color="auto"/>
            <w:bottom w:val="none" w:sz="0" w:space="0" w:color="auto"/>
            <w:right w:val="none" w:sz="0" w:space="0" w:color="auto"/>
          </w:divBdr>
        </w:div>
        <w:div w:id="2101245131">
          <w:marLeft w:val="1080"/>
          <w:marRight w:val="0"/>
          <w:marTop w:val="100"/>
          <w:marBottom w:val="0"/>
          <w:divBdr>
            <w:top w:val="none" w:sz="0" w:space="0" w:color="auto"/>
            <w:left w:val="none" w:sz="0" w:space="0" w:color="auto"/>
            <w:bottom w:val="none" w:sz="0" w:space="0" w:color="auto"/>
            <w:right w:val="none" w:sz="0" w:space="0" w:color="auto"/>
          </w:divBdr>
        </w:div>
        <w:div w:id="498349702">
          <w:marLeft w:val="806"/>
          <w:marRight w:val="0"/>
          <w:marTop w:val="200"/>
          <w:marBottom w:val="0"/>
          <w:divBdr>
            <w:top w:val="none" w:sz="0" w:space="0" w:color="auto"/>
            <w:left w:val="none" w:sz="0" w:space="0" w:color="auto"/>
            <w:bottom w:val="none" w:sz="0" w:space="0" w:color="auto"/>
            <w:right w:val="none" w:sz="0" w:space="0" w:color="auto"/>
          </w:divBdr>
        </w:div>
      </w:divsChild>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69880909">
      <w:bodyDiv w:val="1"/>
      <w:marLeft w:val="0"/>
      <w:marRight w:val="0"/>
      <w:marTop w:val="0"/>
      <w:marBottom w:val="0"/>
      <w:divBdr>
        <w:top w:val="none" w:sz="0" w:space="0" w:color="auto"/>
        <w:left w:val="none" w:sz="0" w:space="0" w:color="auto"/>
        <w:bottom w:val="none" w:sz="0" w:space="0" w:color="auto"/>
        <w:right w:val="none" w:sz="0" w:space="0" w:color="auto"/>
      </w:divBdr>
      <w:divsChild>
        <w:div w:id="1860467604">
          <w:marLeft w:val="360"/>
          <w:marRight w:val="0"/>
          <w:marTop w:val="200"/>
          <w:marBottom w:val="0"/>
          <w:divBdr>
            <w:top w:val="none" w:sz="0" w:space="0" w:color="auto"/>
            <w:left w:val="none" w:sz="0" w:space="0" w:color="auto"/>
            <w:bottom w:val="none" w:sz="0" w:space="0" w:color="auto"/>
            <w:right w:val="none" w:sz="0" w:space="0" w:color="auto"/>
          </w:divBdr>
        </w:div>
        <w:div w:id="921331475">
          <w:marLeft w:val="1080"/>
          <w:marRight w:val="0"/>
          <w:marTop w:val="100"/>
          <w:marBottom w:val="0"/>
          <w:divBdr>
            <w:top w:val="none" w:sz="0" w:space="0" w:color="auto"/>
            <w:left w:val="none" w:sz="0" w:space="0" w:color="auto"/>
            <w:bottom w:val="none" w:sz="0" w:space="0" w:color="auto"/>
            <w:right w:val="none" w:sz="0" w:space="0" w:color="auto"/>
          </w:divBdr>
        </w:div>
        <w:div w:id="1329746226">
          <w:marLeft w:val="1987"/>
          <w:marRight w:val="0"/>
          <w:marTop w:val="100"/>
          <w:marBottom w:val="0"/>
          <w:divBdr>
            <w:top w:val="none" w:sz="0" w:space="0" w:color="auto"/>
            <w:left w:val="none" w:sz="0" w:space="0" w:color="auto"/>
            <w:bottom w:val="none" w:sz="0" w:space="0" w:color="auto"/>
            <w:right w:val="none" w:sz="0" w:space="0" w:color="auto"/>
          </w:divBdr>
        </w:div>
        <w:div w:id="1774549889">
          <w:marLeft w:val="2520"/>
          <w:marRight w:val="0"/>
          <w:marTop w:val="100"/>
          <w:marBottom w:val="0"/>
          <w:divBdr>
            <w:top w:val="none" w:sz="0" w:space="0" w:color="auto"/>
            <w:left w:val="none" w:sz="0" w:space="0" w:color="auto"/>
            <w:bottom w:val="none" w:sz="0" w:space="0" w:color="auto"/>
            <w:right w:val="none" w:sz="0" w:space="0" w:color="auto"/>
          </w:divBdr>
        </w:div>
        <w:div w:id="783576952">
          <w:marLeft w:val="3240"/>
          <w:marRight w:val="0"/>
          <w:marTop w:val="100"/>
          <w:marBottom w:val="0"/>
          <w:divBdr>
            <w:top w:val="none" w:sz="0" w:space="0" w:color="auto"/>
            <w:left w:val="none" w:sz="0" w:space="0" w:color="auto"/>
            <w:bottom w:val="none" w:sz="0" w:space="0" w:color="auto"/>
            <w:right w:val="none" w:sz="0" w:space="0" w:color="auto"/>
          </w:divBdr>
        </w:div>
        <w:div w:id="1719209223">
          <w:marLeft w:val="3240"/>
          <w:marRight w:val="0"/>
          <w:marTop w:val="100"/>
          <w:marBottom w:val="0"/>
          <w:divBdr>
            <w:top w:val="none" w:sz="0" w:space="0" w:color="auto"/>
            <w:left w:val="none" w:sz="0" w:space="0" w:color="auto"/>
            <w:bottom w:val="none" w:sz="0" w:space="0" w:color="auto"/>
            <w:right w:val="none" w:sz="0" w:space="0" w:color="auto"/>
          </w:divBdr>
        </w:div>
        <w:div w:id="588347512">
          <w:marLeft w:val="2160"/>
          <w:marRight w:val="0"/>
          <w:marTop w:val="100"/>
          <w:marBottom w:val="0"/>
          <w:divBdr>
            <w:top w:val="none" w:sz="0" w:space="0" w:color="auto"/>
            <w:left w:val="none" w:sz="0" w:space="0" w:color="auto"/>
            <w:bottom w:val="none" w:sz="0" w:space="0" w:color="auto"/>
            <w:right w:val="none" w:sz="0" w:space="0" w:color="auto"/>
          </w:divBdr>
        </w:div>
        <w:div w:id="1088388897">
          <w:marLeft w:val="2520"/>
          <w:marRight w:val="0"/>
          <w:marTop w:val="100"/>
          <w:marBottom w:val="0"/>
          <w:divBdr>
            <w:top w:val="none" w:sz="0" w:space="0" w:color="auto"/>
            <w:left w:val="none" w:sz="0" w:space="0" w:color="auto"/>
            <w:bottom w:val="none" w:sz="0" w:space="0" w:color="auto"/>
            <w:right w:val="none" w:sz="0" w:space="0" w:color="auto"/>
          </w:divBdr>
        </w:div>
        <w:div w:id="384647756">
          <w:marLeft w:val="2160"/>
          <w:marRight w:val="0"/>
          <w:marTop w:val="100"/>
          <w:marBottom w:val="0"/>
          <w:divBdr>
            <w:top w:val="none" w:sz="0" w:space="0" w:color="auto"/>
            <w:left w:val="none" w:sz="0" w:space="0" w:color="auto"/>
            <w:bottom w:val="none" w:sz="0" w:space="0" w:color="auto"/>
            <w:right w:val="none" w:sz="0" w:space="0" w:color="auto"/>
          </w:divBdr>
        </w:div>
        <w:div w:id="1134326236">
          <w:marLeft w:val="2520"/>
          <w:marRight w:val="0"/>
          <w:marTop w:val="100"/>
          <w:marBottom w:val="0"/>
          <w:divBdr>
            <w:top w:val="none" w:sz="0" w:space="0" w:color="auto"/>
            <w:left w:val="none" w:sz="0" w:space="0" w:color="auto"/>
            <w:bottom w:val="none" w:sz="0" w:space="0" w:color="auto"/>
            <w:right w:val="none" w:sz="0" w:space="0" w:color="auto"/>
          </w:divBdr>
        </w:div>
        <w:div w:id="735664096">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1587503">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868946">
      <w:bodyDiv w:val="1"/>
      <w:marLeft w:val="0"/>
      <w:marRight w:val="0"/>
      <w:marTop w:val="0"/>
      <w:marBottom w:val="0"/>
      <w:divBdr>
        <w:top w:val="none" w:sz="0" w:space="0" w:color="auto"/>
        <w:left w:val="none" w:sz="0" w:space="0" w:color="auto"/>
        <w:bottom w:val="none" w:sz="0" w:space="0" w:color="auto"/>
        <w:right w:val="none" w:sz="0" w:space="0" w:color="auto"/>
      </w:divBdr>
      <w:divsChild>
        <w:div w:id="1420515582">
          <w:marLeft w:val="806"/>
          <w:marRight w:val="0"/>
          <w:marTop w:val="200"/>
          <w:marBottom w:val="0"/>
          <w:divBdr>
            <w:top w:val="none" w:sz="0" w:space="0" w:color="auto"/>
            <w:left w:val="none" w:sz="0" w:space="0" w:color="auto"/>
            <w:bottom w:val="none" w:sz="0" w:space="0" w:color="auto"/>
            <w:right w:val="none" w:sz="0" w:space="0" w:color="auto"/>
          </w:divBdr>
        </w:div>
        <w:div w:id="1487355506">
          <w:marLeft w:val="1080"/>
          <w:marRight w:val="0"/>
          <w:marTop w:val="100"/>
          <w:marBottom w:val="0"/>
          <w:divBdr>
            <w:top w:val="none" w:sz="0" w:space="0" w:color="auto"/>
            <w:left w:val="none" w:sz="0" w:space="0" w:color="auto"/>
            <w:bottom w:val="none" w:sz="0" w:space="0" w:color="auto"/>
            <w:right w:val="none" w:sz="0" w:space="0" w:color="auto"/>
          </w:divBdr>
        </w:div>
        <w:div w:id="47730436">
          <w:marLeft w:val="1080"/>
          <w:marRight w:val="0"/>
          <w:marTop w:val="100"/>
          <w:marBottom w:val="0"/>
          <w:divBdr>
            <w:top w:val="none" w:sz="0" w:space="0" w:color="auto"/>
            <w:left w:val="none" w:sz="0" w:space="0" w:color="auto"/>
            <w:bottom w:val="none" w:sz="0" w:space="0" w:color="auto"/>
            <w:right w:val="none" w:sz="0" w:space="0" w:color="auto"/>
          </w:divBdr>
        </w:div>
        <w:div w:id="1214275393">
          <w:marLeft w:val="806"/>
          <w:marRight w:val="0"/>
          <w:marTop w:val="200"/>
          <w:marBottom w:val="0"/>
          <w:divBdr>
            <w:top w:val="none" w:sz="0" w:space="0" w:color="auto"/>
            <w:left w:val="none" w:sz="0" w:space="0" w:color="auto"/>
            <w:bottom w:val="none" w:sz="0" w:space="0" w:color="auto"/>
            <w:right w:val="none" w:sz="0" w:space="0" w:color="auto"/>
          </w:divBdr>
        </w:div>
        <w:div w:id="259989632">
          <w:marLeft w:val="1080"/>
          <w:marRight w:val="0"/>
          <w:marTop w:val="100"/>
          <w:marBottom w:val="0"/>
          <w:divBdr>
            <w:top w:val="none" w:sz="0" w:space="0" w:color="auto"/>
            <w:left w:val="none" w:sz="0" w:space="0" w:color="auto"/>
            <w:bottom w:val="none" w:sz="0" w:space="0" w:color="auto"/>
            <w:right w:val="none" w:sz="0" w:space="0" w:color="auto"/>
          </w:divBdr>
        </w:div>
        <w:div w:id="1123305567">
          <w:marLeft w:val="2520"/>
          <w:marRight w:val="0"/>
          <w:marTop w:val="100"/>
          <w:marBottom w:val="0"/>
          <w:divBdr>
            <w:top w:val="none" w:sz="0" w:space="0" w:color="auto"/>
            <w:left w:val="none" w:sz="0" w:space="0" w:color="auto"/>
            <w:bottom w:val="none" w:sz="0" w:space="0" w:color="auto"/>
            <w:right w:val="none" w:sz="0" w:space="0" w:color="auto"/>
          </w:divBdr>
        </w:div>
        <w:div w:id="967012172">
          <w:marLeft w:val="2520"/>
          <w:marRight w:val="0"/>
          <w:marTop w:val="100"/>
          <w:marBottom w:val="0"/>
          <w:divBdr>
            <w:top w:val="none" w:sz="0" w:space="0" w:color="auto"/>
            <w:left w:val="none" w:sz="0" w:space="0" w:color="auto"/>
            <w:bottom w:val="none" w:sz="0" w:space="0" w:color="auto"/>
            <w:right w:val="none" w:sz="0" w:space="0" w:color="auto"/>
          </w:divBdr>
        </w:div>
        <w:div w:id="1563247306">
          <w:marLeft w:val="1080"/>
          <w:marRight w:val="0"/>
          <w:marTop w:val="100"/>
          <w:marBottom w:val="0"/>
          <w:divBdr>
            <w:top w:val="none" w:sz="0" w:space="0" w:color="auto"/>
            <w:left w:val="none" w:sz="0" w:space="0" w:color="auto"/>
            <w:bottom w:val="none" w:sz="0" w:space="0" w:color="auto"/>
            <w:right w:val="none" w:sz="0" w:space="0" w:color="auto"/>
          </w:divBdr>
        </w:div>
        <w:div w:id="2061829707">
          <w:marLeft w:val="1080"/>
          <w:marRight w:val="0"/>
          <w:marTop w:val="100"/>
          <w:marBottom w:val="0"/>
          <w:divBdr>
            <w:top w:val="none" w:sz="0" w:space="0" w:color="auto"/>
            <w:left w:val="none" w:sz="0" w:space="0" w:color="auto"/>
            <w:bottom w:val="none" w:sz="0" w:space="0" w:color="auto"/>
            <w:right w:val="none" w:sz="0" w:space="0" w:color="auto"/>
          </w:divBdr>
        </w:div>
        <w:div w:id="1662342659">
          <w:marLeft w:val="806"/>
          <w:marRight w:val="0"/>
          <w:marTop w:val="200"/>
          <w:marBottom w:val="0"/>
          <w:divBdr>
            <w:top w:val="none" w:sz="0" w:space="0" w:color="auto"/>
            <w:left w:val="none" w:sz="0" w:space="0" w:color="auto"/>
            <w:bottom w:val="none" w:sz="0" w:space="0" w:color="auto"/>
            <w:right w:val="none" w:sz="0" w:space="0" w:color="auto"/>
          </w:divBdr>
        </w:div>
        <w:div w:id="43330947">
          <w:marLeft w:val="1080"/>
          <w:marRight w:val="0"/>
          <w:marTop w:val="100"/>
          <w:marBottom w:val="0"/>
          <w:divBdr>
            <w:top w:val="none" w:sz="0" w:space="0" w:color="auto"/>
            <w:left w:val="none" w:sz="0" w:space="0" w:color="auto"/>
            <w:bottom w:val="none" w:sz="0" w:space="0" w:color="auto"/>
            <w:right w:val="none" w:sz="0" w:space="0" w:color="auto"/>
          </w:divBdr>
        </w:div>
        <w:div w:id="961882786">
          <w:marLeft w:val="1800"/>
          <w:marRight w:val="0"/>
          <w:marTop w:val="100"/>
          <w:marBottom w:val="0"/>
          <w:divBdr>
            <w:top w:val="none" w:sz="0" w:space="0" w:color="auto"/>
            <w:left w:val="none" w:sz="0" w:space="0" w:color="auto"/>
            <w:bottom w:val="none" w:sz="0" w:space="0" w:color="auto"/>
            <w:right w:val="none" w:sz="0" w:space="0" w:color="auto"/>
          </w:divBdr>
        </w:div>
        <w:div w:id="552162247">
          <w:marLeft w:val="2520"/>
          <w:marRight w:val="0"/>
          <w:marTop w:val="100"/>
          <w:marBottom w:val="0"/>
          <w:divBdr>
            <w:top w:val="none" w:sz="0" w:space="0" w:color="auto"/>
            <w:left w:val="none" w:sz="0" w:space="0" w:color="auto"/>
            <w:bottom w:val="none" w:sz="0" w:space="0" w:color="auto"/>
            <w:right w:val="none" w:sz="0" w:space="0" w:color="auto"/>
          </w:divBdr>
        </w:div>
        <w:div w:id="1946108965">
          <w:marLeft w:val="1800"/>
          <w:marRight w:val="0"/>
          <w:marTop w:val="100"/>
          <w:marBottom w:val="0"/>
          <w:divBdr>
            <w:top w:val="none" w:sz="0" w:space="0" w:color="auto"/>
            <w:left w:val="none" w:sz="0" w:space="0" w:color="auto"/>
            <w:bottom w:val="none" w:sz="0" w:space="0" w:color="auto"/>
            <w:right w:val="none" w:sz="0" w:space="0" w:color="auto"/>
          </w:divBdr>
        </w:div>
        <w:div w:id="2144879702">
          <w:marLeft w:val="1080"/>
          <w:marRight w:val="0"/>
          <w:marTop w:val="100"/>
          <w:marBottom w:val="0"/>
          <w:divBdr>
            <w:top w:val="none" w:sz="0" w:space="0" w:color="auto"/>
            <w:left w:val="none" w:sz="0" w:space="0" w:color="auto"/>
            <w:bottom w:val="none" w:sz="0" w:space="0" w:color="auto"/>
            <w:right w:val="none" w:sz="0" w:space="0" w:color="auto"/>
          </w:divBdr>
        </w:div>
        <w:div w:id="767700711">
          <w:marLeft w:val="806"/>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D9396-68EA-45DF-893A-944E63A7A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10129</TotalTime>
  <Pages>1</Pages>
  <Words>2522</Words>
  <Characters>14382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16871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160</cp:revision>
  <dcterms:created xsi:type="dcterms:W3CDTF">2019-09-18T02:52:00Z</dcterms:created>
  <dcterms:modified xsi:type="dcterms:W3CDTF">2021-08-06T15:31:00Z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(3)mH7ZjyQrslGQz5S+rrM07sM4VMu0f7lGET4bC/GZj8MUAUuvNQ4PX8DeUSINSXUOHcFy9967
Ll1UzNtm2KfaMkVBpOBGkimOWyiDNi9Ja1P5Qoz5KzEEt6CLCB2GjTkLSG99kVQb6vaBtvx1
7kY09D/ItTyot66pxwj8z8EaY0qMhb9EOddBt3Cp6xGZOY/CTPGEm652Wh5j8YUoFekG28l/
rkoTPy8e5UBDm6gV3n</vt:lpwstr>
  </property>
  <property fmtid="{D5CDD505-2E9C-101B-9397-08002B2CF9AE}" pid="3" name="_2015_ms_pID_7253431">
    <vt:lpwstr>Dw/KVFD044J0DJL8XebIURSicuuzWjHgvrLsoPbQJYNNBkhGy1vCO7
YNBhRDokvriCQ105d6S2l5pG0NotftbS2vBRG+ghmg6+FPXPjNetYmlXm/Q/zBFPUMSwBb8b
0bo7UU084ACSMHa4WgqZHQMMMEn+NuyAmQcueGHVOY5Yo4hl7vJ7kIlhdPPqSTz9EPIoiewN
6+iNq/dH6Oz7PH39PZe02i+govFTD5cB2d/v</vt:lpwstr>
  </property>
  <property fmtid="{D5CDD505-2E9C-101B-9397-08002B2CF9AE}" pid="4" name="_2015_ms_pID_7253432">
    <vt:lpwstr>z+EbpKBV2veKLP+B80Xfbzw=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