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BE15" w14:textId="73A9ABCA" w:rsidR="00F26BE6" w:rsidRDefault="00F26BE6" w:rsidP="00F26BE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w:t>
      </w:r>
      <w:r w:rsidR="004932B7">
        <w:rPr>
          <w:rFonts w:cs="Arial"/>
          <w:b/>
          <w:sz w:val="24"/>
          <w:szCs w:val="24"/>
        </w:rPr>
        <w:t>100</w:t>
      </w:r>
      <w:r w:rsidR="00BF40C1">
        <w:rPr>
          <w:rFonts w:cs="Arial"/>
          <w:b/>
          <w:sz w:val="24"/>
          <w:szCs w:val="24"/>
        </w:rPr>
        <w:t>-</w:t>
      </w:r>
      <w:r w:rsidR="00593AEE">
        <w:rPr>
          <w:rFonts w:cs="Arial"/>
          <w:b/>
          <w:sz w:val="24"/>
          <w:szCs w:val="24"/>
        </w:rPr>
        <w:t>e</w:t>
      </w:r>
      <w:r>
        <w:rPr>
          <w:rFonts w:cs="Arial"/>
          <w:b/>
          <w:sz w:val="24"/>
          <w:szCs w:val="24"/>
        </w:rPr>
        <w:tab/>
      </w:r>
      <w:r w:rsidR="00D0209F" w:rsidRPr="00D0209F">
        <w:rPr>
          <w:rFonts w:cs="Arial"/>
          <w:b/>
          <w:sz w:val="24"/>
          <w:szCs w:val="24"/>
        </w:rPr>
        <w:t>R4-2112022</w:t>
      </w:r>
    </w:p>
    <w:p w14:paraId="06BF1402" w14:textId="48506C45" w:rsidR="00F26BE6" w:rsidRDefault="004932B7" w:rsidP="00F26BE6">
      <w:pPr>
        <w:pStyle w:val="CRCoverPage"/>
        <w:tabs>
          <w:tab w:val="right" w:pos="9639"/>
        </w:tabs>
        <w:spacing w:after="0"/>
        <w:rPr>
          <w:rFonts w:cs="Arial"/>
          <w:b/>
          <w:sz w:val="24"/>
          <w:szCs w:val="24"/>
        </w:rPr>
      </w:pPr>
      <w:r>
        <w:rPr>
          <w:rFonts w:cs="Arial"/>
          <w:b/>
          <w:sz w:val="24"/>
          <w:szCs w:val="24"/>
        </w:rPr>
        <w:t>16</w:t>
      </w:r>
      <w:r w:rsidR="00F26BE6" w:rsidRPr="006D0B81">
        <w:rPr>
          <w:rFonts w:cs="Arial"/>
          <w:b/>
          <w:sz w:val="24"/>
          <w:szCs w:val="24"/>
          <w:vertAlign w:val="superscript"/>
        </w:rPr>
        <w:t>th</w:t>
      </w:r>
      <w:r w:rsidR="00F26BE6" w:rsidRPr="00690ADD">
        <w:rPr>
          <w:rFonts w:cs="Arial"/>
          <w:b/>
          <w:sz w:val="24"/>
          <w:szCs w:val="24"/>
        </w:rPr>
        <w:t xml:space="preserve">– </w:t>
      </w:r>
      <w:r w:rsidR="00BF40C1">
        <w:rPr>
          <w:rFonts w:cs="Arial"/>
          <w:b/>
          <w:sz w:val="24"/>
          <w:szCs w:val="24"/>
        </w:rPr>
        <w:t>2</w:t>
      </w:r>
      <w:r w:rsidR="007F4A42">
        <w:rPr>
          <w:rFonts w:cs="Arial"/>
          <w:b/>
          <w:sz w:val="24"/>
          <w:szCs w:val="24"/>
        </w:rPr>
        <w:t>7</w:t>
      </w:r>
      <w:r w:rsidR="00F26BE6" w:rsidRPr="0085598E">
        <w:rPr>
          <w:rFonts w:cs="Arial"/>
          <w:b/>
          <w:sz w:val="24"/>
          <w:szCs w:val="24"/>
          <w:vertAlign w:val="superscript"/>
        </w:rPr>
        <w:t>th</w:t>
      </w:r>
      <w:r w:rsidR="00F26BE6">
        <w:rPr>
          <w:rFonts w:cs="Arial"/>
          <w:b/>
          <w:sz w:val="24"/>
          <w:szCs w:val="24"/>
        </w:rPr>
        <w:t xml:space="preserve"> </w:t>
      </w:r>
      <w:r>
        <w:rPr>
          <w:rFonts w:cs="Arial"/>
          <w:b/>
          <w:sz w:val="24"/>
          <w:szCs w:val="24"/>
        </w:rPr>
        <w:t xml:space="preserve">August </w:t>
      </w:r>
      <w:r w:rsidR="00F26BE6" w:rsidRPr="00690ADD">
        <w:rPr>
          <w:rFonts w:cs="Arial"/>
          <w:b/>
          <w:sz w:val="24"/>
          <w:szCs w:val="24"/>
        </w:rPr>
        <w:t>20</w:t>
      </w:r>
      <w:bookmarkEnd w:id="0"/>
      <w:r w:rsidR="00F26BE6">
        <w:rPr>
          <w:rFonts w:cs="Arial"/>
          <w:b/>
          <w:sz w:val="24"/>
          <w:szCs w:val="24"/>
        </w:rPr>
        <w:t>2</w:t>
      </w:r>
      <w:r w:rsidR="00803C45">
        <w:rPr>
          <w:rFonts w:cs="Arial"/>
          <w:b/>
          <w:sz w:val="24"/>
          <w:szCs w:val="24"/>
        </w:rPr>
        <w:t>1</w:t>
      </w:r>
    </w:p>
    <w:p w14:paraId="31AA9375" w14:textId="77777777" w:rsidR="00F26BE6" w:rsidRPr="0087636F" w:rsidRDefault="00F26BE6" w:rsidP="00F26BE6">
      <w:pPr>
        <w:pStyle w:val="CRCoverPage"/>
        <w:tabs>
          <w:tab w:val="right" w:pos="9639"/>
        </w:tabs>
        <w:spacing w:after="0"/>
        <w:rPr>
          <w:rFonts w:cs="Arial"/>
          <w:b/>
          <w:sz w:val="24"/>
          <w:szCs w:val="24"/>
        </w:rPr>
      </w:pPr>
    </w:p>
    <w:p w14:paraId="2078F563" w14:textId="3903F4B3"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715E6E">
        <w:rPr>
          <w:sz w:val="22"/>
        </w:rPr>
        <w:t>, Nokia Shanghai Bell</w:t>
      </w:r>
    </w:p>
    <w:p w14:paraId="5B6A96A7" w14:textId="57D6E890"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0209F">
        <w:t xml:space="preserve">PC2 </w:t>
      </w:r>
      <w:r w:rsidR="00116D10">
        <w:t xml:space="preserve">Intra-band UL NC CA </w:t>
      </w:r>
      <w:r w:rsidR="00D0209F">
        <w:t xml:space="preserve">MPR </w:t>
      </w:r>
      <w:r w:rsidR="00116D10">
        <w:t xml:space="preserve">Simulations </w:t>
      </w:r>
      <w:r w:rsidR="00D0209F">
        <w:t>with 1PA</w:t>
      </w:r>
    </w:p>
    <w:p w14:paraId="23226DA5" w14:textId="555FD1F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16D10" w:rsidRPr="00116D10">
        <w:rPr>
          <w:b/>
          <w:sz w:val="22"/>
        </w:rPr>
        <w:t>9.3.2.5</w:t>
      </w:r>
    </w:p>
    <w:p w14:paraId="7AD518C5" w14:textId="41706D41" w:rsidR="0043450E" w:rsidRPr="00F26B60" w:rsidRDefault="0043450E" w:rsidP="0043450E">
      <w:pPr>
        <w:tabs>
          <w:tab w:val="left" w:pos="1985"/>
        </w:tabs>
        <w:jc w:val="both"/>
        <w:rPr>
          <w:caps/>
          <w:sz w:val="22"/>
        </w:rPr>
      </w:pPr>
      <w:r w:rsidRPr="00B16EEF">
        <w:rPr>
          <w:b/>
          <w:sz w:val="22"/>
        </w:rPr>
        <w:t>Document for:</w:t>
      </w:r>
      <w:r w:rsidRPr="00B16EEF">
        <w:rPr>
          <w:sz w:val="22"/>
        </w:rPr>
        <w:tab/>
      </w:r>
      <w:r w:rsidR="00EA0331">
        <w:rPr>
          <w:sz w:val="22"/>
        </w:rPr>
        <w:t>Discussion</w:t>
      </w:r>
    </w:p>
    <w:p w14:paraId="5C2448DB" w14:textId="77777777" w:rsidR="0043450E" w:rsidRDefault="0043450E" w:rsidP="0043450E">
      <w:pPr>
        <w:pStyle w:val="Heading1"/>
      </w:pPr>
      <w:r>
        <w:t>1</w:t>
      </w:r>
      <w:r>
        <w:tab/>
        <w:t>Introduction</w:t>
      </w:r>
    </w:p>
    <w:p w14:paraId="6D98D123" w14:textId="4FBBD883" w:rsidR="006A6B9C" w:rsidRDefault="00CA336E" w:rsidP="008B10F5">
      <w:r>
        <w:t xml:space="preserve">This contribution presents simulated PC2 1PA intra-band UL non-contiguous </w:t>
      </w:r>
      <w:r w:rsidR="00CE413C">
        <w:t xml:space="preserve">carrier aggregation </w:t>
      </w:r>
      <w:r w:rsidR="00D0209F">
        <w:t>back-off</w:t>
      </w:r>
      <w:r>
        <w:t xml:space="preserve"> results.</w:t>
      </w:r>
    </w:p>
    <w:p w14:paraId="16375C65" w14:textId="207823D2" w:rsidR="00470375" w:rsidRDefault="00470375" w:rsidP="00470375">
      <w:pPr>
        <w:pStyle w:val="Heading1"/>
      </w:pPr>
      <w:r>
        <w:t>2</w:t>
      </w:r>
      <w:r>
        <w:tab/>
        <w:t>Simulation scenario and assumptions</w:t>
      </w:r>
    </w:p>
    <w:p w14:paraId="15F09F8F" w14:textId="4F72B311" w:rsidR="00F7348E" w:rsidRDefault="00C92CEA" w:rsidP="00E10098">
      <w:r>
        <w:t xml:space="preserve">As </w:t>
      </w:r>
      <w:r w:rsidR="00116D10">
        <w:t xml:space="preserve">previously </w:t>
      </w:r>
      <w:r>
        <w:t>discussed</w:t>
      </w:r>
      <w:r w:rsidR="00116D10">
        <w:t>, for example, in</w:t>
      </w:r>
      <w:r>
        <w:t xml:space="preserve"> [1]</w:t>
      </w:r>
      <w:r w:rsidR="00116D10">
        <w:t xml:space="preserve"> and [2]</w:t>
      </w:r>
      <w:r>
        <w:t xml:space="preserve">, 1x26 dBm PA + 1LO with 200 MHz BW </w:t>
      </w:r>
      <w:r w:rsidR="00D0209F">
        <w:t>back-off</w:t>
      </w:r>
      <w:r>
        <w:t xml:space="preserve"> is simulated for PC2 intra-band UL non-contiguous CA. Scenarios </w:t>
      </w:r>
    </w:p>
    <w:p w14:paraId="38243E73" w14:textId="5418A441" w:rsidR="00F7348E" w:rsidRDefault="00EF1DB5" w:rsidP="00F7348E">
      <w:pPr>
        <w:pStyle w:val="ListParagraph"/>
        <w:numPr>
          <w:ilvl w:val="0"/>
          <w:numId w:val="9"/>
        </w:numPr>
      </w:pPr>
      <w:r>
        <w:t>symmetric 20+20 MHz CA with 20 MHz gap</w:t>
      </w:r>
      <w:r w:rsidR="00F7348E">
        <w:t xml:space="preserve"> </w:t>
      </w:r>
      <w:r w:rsidR="00C92CEA">
        <w:t>and</w:t>
      </w:r>
    </w:p>
    <w:p w14:paraId="5B3DCD26" w14:textId="24D681F0" w:rsidR="00F7348E" w:rsidRDefault="00EF1DB5" w:rsidP="00F7348E">
      <w:pPr>
        <w:pStyle w:val="ListParagraph"/>
        <w:numPr>
          <w:ilvl w:val="0"/>
          <w:numId w:val="9"/>
        </w:numPr>
      </w:pPr>
      <w:r>
        <w:t xml:space="preserve">asymmetric 20+40 MHz CA with </w:t>
      </w:r>
      <w:r w:rsidR="00EB4DB2">
        <w:t>4</w:t>
      </w:r>
      <w:r>
        <w:t>0 MHz gap.</w:t>
      </w:r>
    </w:p>
    <w:p w14:paraId="3DA73A2B" w14:textId="4F4DA7D0" w:rsidR="00E10098" w:rsidRDefault="00C92CEA" w:rsidP="00F7348E">
      <w:r>
        <w:t>are considered.</w:t>
      </w:r>
      <w:r w:rsidR="00EF1DB5">
        <w:t xml:space="preserve"> In the symmetric scenario, </w:t>
      </w:r>
      <w:r w:rsidR="00D0209F">
        <w:t>MPR</w:t>
      </w:r>
      <w:r w:rsidR="00EF1DB5">
        <w:t xml:space="preserve"> is simulated while sweeping the LO suppression in order to find feasible suppression. In the asymmetric scenario, spectral example</w:t>
      </w:r>
      <w:r w:rsidR="000D0229">
        <w:t>s and  two specific CC allocations</w:t>
      </w:r>
      <w:r w:rsidR="00EF1DB5">
        <w:t xml:space="preserve"> are used to highlight additional </w:t>
      </w:r>
      <w:r w:rsidR="000D0229">
        <w:t xml:space="preserve">problems in reaching the ACLR threshold </w:t>
      </w:r>
      <w:r w:rsidR="00EF1DB5">
        <w:t xml:space="preserve">when </w:t>
      </w:r>
      <w:r w:rsidR="000D0229">
        <w:t xml:space="preserve">the </w:t>
      </w:r>
      <w:bookmarkStart w:id="1" w:name="_GoBack"/>
      <w:bookmarkEnd w:id="1"/>
      <w:r w:rsidR="00EF1DB5">
        <w:t>default IQ suppression is applied.</w:t>
      </w:r>
    </w:p>
    <w:p w14:paraId="7A6D7B28" w14:textId="177560ED" w:rsidR="00CA336E" w:rsidRDefault="00EF1DB5" w:rsidP="00E10098">
      <w:r>
        <w:t>In the symmetric scenario</w:t>
      </w:r>
      <w:r w:rsidR="00CA336E">
        <w:t xml:space="preserve"> range of channel outer edge allocations are simulated in order to evaluate the worst-case behaviour.</w:t>
      </w:r>
    </w:p>
    <w:p w14:paraId="4E950E09" w14:textId="268CE6EB" w:rsidR="00E10098" w:rsidRDefault="00E10098" w:rsidP="00E10098">
      <w:r>
        <w:t>The simulation assumptions were as follows:</w:t>
      </w:r>
    </w:p>
    <w:p w14:paraId="57A161A0" w14:textId="205420B2" w:rsidR="00BF40C1" w:rsidRDefault="00BF40C1" w:rsidP="00E10098">
      <w:pPr>
        <w:pStyle w:val="ListParagraph"/>
        <w:numPr>
          <w:ilvl w:val="0"/>
          <w:numId w:val="8"/>
        </w:numPr>
      </w:pPr>
      <w:r>
        <w:t>IQ image and LO leakage</w:t>
      </w:r>
      <w:r w:rsidR="00116D10">
        <w:t xml:space="preserve"> are varied as discussed below</w:t>
      </w:r>
      <w:r w:rsidR="00E10098">
        <w:t>,</w:t>
      </w:r>
    </w:p>
    <w:p w14:paraId="1DCCDF5B" w14:textId="01480C19" w:rsidR="00BF40C1" w:rsidRDefault="00BF40C1" w:rsidP="00E10098">
      <w:pPr>
        <w:pStyle w:val="ListParagraph"/>
        <w:numPr>
          <w:ilvl w:val="0"/>
          <w:numId w:val="8"/>
        </w:numPr>
      </w:pPr>
      <w:r>
        <w:t>CIM3 = -60 dBc</w:t>
      </w:r>
      <w:r w:rsidR="00E10098">
        <w:t>,</w:t>
      </w:r>
    </w:p>
    <w:p w14:paraId="7C389261" w14:textId="2304D400" w:rsidR="00EA0331" w:rsidRDefault="00470375" w:rsidP="00E10098">
      <w:pPr>
        <w:pStyle w:val="ListParagraph"/>
        <w:numPr>
          <w:ilvl w:val="0"/>
          <w:numId w:val="8"/>
        </w:numPr>
      </w:pPr>
      <w:r>
        <w:t xml:space="preserve">PA calibration point was 20 MHz, 15 kHz, QPSK, DFT-S-OFMA, 100 RB at lower channel edge with </w:t>
      </w:r>
      <w:r w:rsidR="00353ADB">
        <w:t xml:space="preserve">1 </w:t>
      </w:r>
      <w:r>
        <w:t>dB MPR</w:t>
      </w:r>
      <w:r w:rsidR="00676A68">
        <w:t>,</w:t>
      </w:r>
      <w:r w:rsidR="00071E0D">
        <w:t xml:space="preserve"> and</w:t>
      </w:r>
    </w:p>
    <w:p w14:paraId="0AF43AED" w14:textId="790A1990" w:rsidR="00C22231" w:rsidRDefault="00C22231" w:rsidP="00C22231">
      <w:pPr>
        <w:pStyle w:val="ListParagraph"/>
        <w:numPr>
          <w:ilvl w:val="0"/>
          <w:numId w:val="8"/>
        </w:numPr>
      </w:pPr>
      <w:r>
        <w:t>no IBE or EVM was evaluated.</w:t>
      </w:r>
    </w:p>
    <w:p w14:paraId="709AFE89" w14:textId="3AE5D61F" w:rsidR="00EA0331" w:rsidRDefault="000B7337" w:rsidP="00BF40C1">
      <w:pPr>
        <w:pStyle w:val="Heading1"/>
      </w:pPr>
      <w:r>
        <w:t>3</w:t>
      </w:r>
      <w:r w:rsidR="006376BE">
        <w:tab/>
      </w:r>
      <w:r w:rsidR="00150207">
        <w:t>Back-off Results</w:t>
      </w:r>
    </w:p>
    <w:p w14:paraId="25C9D002" w14:textId="6751E2C2" w:rsidR="00474912" w:rsidRDefault="00EF1DB5" w:rsidP="00EF1DB5">
      <w:pPr>
        <w:pStyle w:val="Heading2"/>
      </w:pPr>
      <w:bookmarkStart w:id="2" w:name="_Hlk78562048"/>
      <w:r>
        <w:t>3.1</w:t>
      </w:r>
      <w:r>
        <w:tab/>
      </w:r>
      <w:r w:rsidR="004932B7">
        <w:t>Symmetric</w:t>
      </w:r>
      <w:r w:rsidR="004C735B">
        <w:t xml:space="preserve"> 20+20 </w:t>
      </w:r>
      <w:r>
        <w:t xml:space="preserve">MHz CA </w:t>
      </w:r>
      <w:r w:rsidR="004C735B">
        <w:t>with 20 MHz gap</w:t>
      </w:r>
    </w:p>
    <w:bookmarkEnd w:id="2"/>
    <w:p w14:paraId="60B70F21" w14:textId="06E237D9" w:rsidR="00A76B87" w:rsidRDefault="00A76B87" w:rsidP="00A76B87">
      <w:r>
        <w:t xml:space="preserve">Below, </w:t>
      </w:r>
      <w:r w:rsidR="00D0209F">
        <w:t>MPR</w:t>
      </w:r>
      <w:r>
        <w:t xml:space="preserve"> results are shown using removed LO case as a reference result. </w:t>
      </w:r>
      <w:r w:rsidR="00D0209F">
        <w:t>MPR</w:t>
      </w:r>
      <w:r>
        <w:t xml:space="preserve"> results with finite LO suppression are then compared against this reference. Thus, we are able to see how much of LO suppression is necessary in order to reasonably approximate the reference scenario. The results are shown in Figure 1.</w:t>
      </w:r>
    </w:p>
    <w:p w14:paraId="7863ECE2" w14:textId="25A65D02" w:rsidR="00A76B87" w:rsidRDefault="00A76B87" w:rsidP="00A76B87">
      <w:r>
        <w:t xml:space="preserve">First, default 28 dB LO suppression is applied. In this case, as can be seen in Figure 1, </w:t>
      </w:r>
      <w:r w:rsidR="00D0209F">
        <w:t>MPR</w:t>
      </w:r>
      <w:r>
        <w:t xml:space="preserve"> for all simulated allocation equals, or exceeds, 20 dB (blue dots at top left in Figure 1). As intermediate steps, results with 31 dB and 35 dB LO suppression are also illustrated. Finally, when 37 dB LO suppression is applied, it can be seen that the difference when compared to the reference scenario without LO starts to become relatively small.</w:t>
      </w:r>
    </w:p>
    <w:p w14:paraId="6DAEE6A5" w14:textId="264E70F0" w:rsidR="00A76B87" w:rsidRPr="00A76B87" w:rsidRDefault="00A76B87" w:rsidP="00A76B87">
      <w:r>
        <w:t xml:space="preserve">However, if the envelope of the </w:t>
      </w:r>
      <w:r w:rsidR="00D0209F">
        <w:t>MPR</w:t>
      </w:r>
      <w:r>
        <w:t xml:space="preserve"> cloud is used to write the specification, already 35 dB LO suppression behaves quite close to the no LO scenario. Thus, this seems like a reasonable compromise.</w:t>
      </w:r>
    </w:p>
    <w:p w14:paraId="3EC8A8BF" w14:textId="76A8BD21" w:rsidR="004932B7" w:rsidRDefault="004932B7" w:rsidP="004932B7">
      <w:pPr>
        <w:jc w:val="center"/>
      </w:pPr>
      <w:r w:rsidRPr="004932B7">
        <w:rPr>
          <w:noProof/>
        </w:rPr>
        <w:lastRenderedPageBreak/>
        <w:drawing>
          <wp:inline distT="0" distB="0" distL="0" distR="0" wp14:anchorId="3EDB45C1" wp14:editId="7D0FE09D">
            <wp:extent cx="2523963" cy="1877731"/>
            <wp:effectExtent l="0" t="0" r="0" b="8255"/>
            <wp:docPr id="9" name="Picture 8">
              <a:extLst xmlns:a="http://schemas.openxmlformats.org/drawingml/2006/main">
                <a:ext uri="{FF2B5EF4-FFF2-40B4-BE49-F238E27FC236}">
                  <a16:creationId xmlns:a16="http://schemas.microsoft.com/office/drawing/2014/main" id="{4C890CEB-410E-4E95-8917-BD70BF1058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C890CEB-410E-4E95-8917-BD70BF10584C}"/>
                        </a:ext>
                      </a:extLst>
                    </pic:cNvPr>
                    <pic:cNvPicPr>
                      <a:picLocks noChangeAspect="1"/>
                    </pic:cNvPicPr>
                  </pic:nvPicPr>
                  <pic:blipFill>
                    <a:blip r:embed="rId7" cstate="email">
                      <a:extLst>
                        <a:ext uri="{28A0092B-C50C-407E-A947-70E740481C1C}">
                          <a14:useLocalDpi xmlns:a14="http://schemas.microsoft.com/office/drawing/2010/main" val="0"/>
                        </a:ext>
                      </a:extLst>
                    </a:blip>
                    <a:stretch>
                      <a:fillRect/>
                    </a:stretch>
                  </pic:blipFill>
                  <pic:spPr>
                    <a:xfrm>
                      <a:off x="0" y="0"/>
                      <a:ext cx="2523963" cy="1877731"/>
                    </a:xfrm>
                    <a:prstGeom prst="rect">
                      <a:avLst/>
                    </a:prstGeom>
                  </pic:spPr>
                </pic:pic>
              </a:graphicData>
            </a:graphic>
          </wp:inline>
        </w:drawing>
      </w:r>
      <w:r w:rsidRPr="004932B7">
        <w:rPr>
          <w:noProof/>
        </w:rPr>
        <w:drawing>
          <wp:inline distT="0" distB="0" distL="0" distR="0" wp14:anchorId="78CF945D" wp14:editId="4E7B9D82">
            <wp:extent cx="2517866" cy="1877731"/>
            <wp:effectExtent l="0" t="0" r="0" b="8255"/>
            <wp:docPr id="15" name="Picture 14">
              <a:extLst xmlns:a="http://schemas.openxmlformats.org/drawingml/2006/main">
                <a:ext uri="{FF2B5EF4-FFF2-40B4-BE49-F238E27FC236}">
                  <a16:creationId xmlns:a16="http://schemas.microsoft.com/office/drawing/2014/main" id="{661284CB-C6EF-4958-BBCD-038541D62B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661284CB-C6EF-4958-BBCD-038541D62BC6}"/>
                        </a:ext>
                      </a:extLst>
                    </pic:cNvPr>
                    <pic:cNvPicPr>
                      <a:picLocks noChangeAspect="1"/>
                    </pic:cNvPicPr>
                  </pic:nvPicPr>
                  <pic:blipFill>
                    <a:blip r:embed="rId8" cstate="email">
                      <a:extLst>
                        <a:ext uri="{28A0092B-C50C-407E-A947-70E740481C1C}">
                          <a14:useLocalDpi xmlns:a14="http://schemas.microsoft.com/office/drawing/2010/main" val="0"/>
                        </a:ext>
                      </a:extLst>
                    </a:blip>
                    <a:stretch>
                      <a:fillRect/>
                    </a:stretch>
                  </pic:blipFill>
                  <pic:spPr>
                    <a:xfrm>
                      <a:off x="0" y="0"/>
                      <a:ext cx="2517866" cy="1877731"/>
                    </a:xfrm>
                    <a:prstGeom prst="rect">
                      <a:avLst/>
                    </a:prstGeom>
                  </pic:spPr>
                </pic:pic>
              </a:graphicData>
            </a:graphic>
          </wp:inline>
        </w:drawing>
      </w:r>
    </w:p>
    <w:p w14:paraId="426C9126" w14:textId="0E3D0110" w:rsidR="004932B7" w:rsidRDefault="004932B7" w:rsidP="004932B7">
      <w:pPr>
        <w:jc w:val="center"/>
      </w:pPr>
      <w:r w:rsidRPr="004932B7">
        <w:rPr>
          <w:noProof/>
        </w:rPr>
        <w:drawing>
          <wp:inline distT="0" distB="0" distL="0" distR="0" wp14:anchorId="01A782D9" wp14:editId="1253778E">
            <wp:extent cx="2517866" cy="1877731"/>
            <wp:effectExtent l="0" t="0" r="0" b="8255"/>
            <wp:docPr id="20" name="Picture 19">
              <a:extLst xmlns:a="http://schemas.openxmlformats.org/drawingml/2006/main">
                <a:ext uri="{FF2B5EF4-FFF2-40B4-BE49-F238E27FC236}">
                  <a16:creationId xmlns:a16="http://schemas.microsoft.com/office/drawing/2014/main" id="{28B3085B-DCF9-4F5B-B638-097B5586C6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28B3085B-DCF9-4F5B-B638-097B5586C681}"/>
                        </a:ext>
                      </a:extLst>
                    </pic:cNvPr>
                    <pic:cNvPicPr>
                      <a:picLocks noChangeAspect="1"/>
                    </pic:cNvPicPr>
                  </pic:nvPicPr>
                  <pic:blipFill>
                    <a:blip r:embed="rId9" cstate="email">
                      <a:extLst>
                        <a:ext uri="{28A0092B-C50C-407E-A947-70E740481C1C}">
                          <a14:useLocalDpi xmlns:a14="http://schemas.microsoft.com/office/drawing/2010/main" val="0"/>
                        </a:ext>
                      </a:extLst>
                    </a:blip>
                    <a:stretch>
                      <a:fillRect/>
                    </a:stretch>
                  </pic:blipFill>
                  <pic:spPr>
                    <a:xfrm>
                      <a:off x="0" y="0"/>
                      <a:ext cx="2517866" cy="1877731"/>
                    </a:xfrm>
                    <a:prstGeom prst="rect">
                      <a:avLst/>
                    </a:prstGeom>
                  </pic:spPr>
                </pic:pic>
              </a:graphicData>
            </a:graphic>
          </wp:inline>
        </w:drawing>
      </w:r>
      <w:r w:rsidRPr="004932B7">
        <w:rPr>
          <w:noProof/>
        </w:rPr>
        <w:drawing>
          <wp:inline distT="0" distB="0" distL="0" distR="0" wp14:anchorId="7390BC2A" wp14:editId="128F7E10">
            <wp:extent cx="2523963" cy="1877731"/>
            <wp:effectExtent l="0" t="0" r="0" b="8255"/>
            <wp:docPr id="22" name="Picture 21">
              <a:extLst xmlns:a="http://schemas.openxmlformats.org/drawingml/2006/main">
                <a:ext uri="{FF2B5EF4-FFF2-40B4-BE49-F238E27FC236}">
                  <a16:creationId xmlns:a16="http://schemas.microsoft.com/office/drawing/2014/main" id="{94FD8CF5-B71F-4AA6-8F36-1D8BD1FAFE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4FD8CF5-B71F-4AA6-8F36-1D8BD1FAFEBA}"/>
                        </a:ext>
                      </a:extLst>
                    </pic:cNvPr>
                    <pic:cNvPicPr>
                      <a:picLocks noChangeAspect="1"/>
                    </pic:cNvPicPr>
                  </pic:nvPicPr>
                  <pic:blipFill>
                    <a:blip r:embed="rId10" cstate="email">
                      <a:extLst>
                        <a:ext uri="{28A0092B-C50C-407E-A947-70E740481C1C}">
                          <a14:useLocalDpi xmlns:a14="http://schemas.microsoft.com/office/drawing/2010/main" val="0"/>
                        </a:ext>
                      </a:extLst>
                    </a:blip>
                    <a:stretch>
                      <a:fillRect/>
                    </a:stretch>
                  </pic:blipFill>
                  <pic:spPr>
                    <a:xfrm>
                      <a:off x="0" y="0"/>
                      <a:ext cx="2523963" cy="1877731"/>
                    </a:xfrm>
                    <a:prstGeom prst="rect">
                      <a:avLst/>
                    </a:prstGeom>
                  </pic:spPr>
                </pic:pic>
              </a:graphicData>
            </a:graphic>
          </wp:inline>
        </w:drawing>
      </w:r>
    </w:p>
    <w:p w14:paraId="555E72FE" w14:textId="75FBE271" w:rsidR="00E05D69" w:rsidRDefault="00E05D69" w:rsidP="004932B7">
      <w:pPr>
        <w:jc w:val="center"/>
      </w:pPr>
      <w:r>
        <w:t>Figure 1. Simulated back</w:t>
      </w:r>
      <w:r w:rsidR="00675C7C">
        <w:t>´-</w:t>
      </w:r>
      <w:r>
        <w:t xml:space="preserve">off for 20+20 MHz CA with 20 MHz gap as a function of the allocation bandwidth without LO (the black dots) as reference scenario and with varied LO suppression (the blue dots) </w:t>
      </w:r>
      <w:r w:rsidR="00675C7C">
        <w:t>as noted in the plot titles.</w:t>
      </w:r>
    </w:p>
    <w:p w14:paraId="5B2B0EA6" w14:textId="1DDDCB0D" w:rsidR="00675C7C" w:rsidRDefault="00675C7C" w:rsidP="004932B7">
      <w:pPr>
        <w:jc w:val="center"/>
      </w:pPr>
    </w:p>
    <w:p w14:paraId="60C375E8" w14:textId="4D9D2D29" w:rsidR="00675C7C" w:rsidRDefault="00675C7C" w:rsidP="00675C7C">
      <w:pPr>
        <w:rPr>
          <w:b/>
          <w:bCs/>
        </w:rPr>
      </w:pPr>
      <w:r w:rsidRPr="00675C7C">
        <w:rPr>
          <w:b/>
          <w:bCs/>
        </w:rPr>
        <w:t xml:space="preserve">Observation 1: </w:t>
      </w:r>
      <w:r>
        <w:rPr>
          <w:b/>
          <w:bCs/>
        </w:rPr>
        <w:t>With 35 dB LO suppression the back-off envelope approaches the envelope of the reference scenario where LO is excluded.</w:t>
      </w:r>
    </w:p>
    <w:p w14:paraId="21DA6ED0" w14:textId="33F14A31" w:rsidR="00675C7C" w:rsidRPr="00675C7C" w:rsidRDefault="00675C7C" w:rsidP="00675C7C">
      <w:pPr>
        <w:rPr>
          <w:b/>
          <w:bCs/>
        </w:rPr>
      </w:pPr>
      <w:r>
        <w:rPr>
          <w:b/>
          <w:bCs/>
        </w:rPr>
        <w:t>Observation 2: With 37 dB LO suppression the back-off, considering all simulated allocations, approaches the envelope of the reference scenario where LO is excluded.</w:t>
      </w:r>
    </w:p>
    <w:p w14:paraId="18DEE870" w14:textId="77777777" w:rsidR="004932B7" w:rsidRDefault="004932B7" w:rsidP="002C5FC3"/>
    <w:p w14:paraId="33DD874E" w14:textId="5E28F8CF" w:rsidR="00A76B87" w:rsidRDefault="00A76B87" w:rsidP="00A76B87">
      <w:pPr>
        <w:pStyle w:val="Heading2"/>
      </w:pPr>
      <w:r>
        <w:t>3.2</w:t>
      </w:r>
      <w:r>
        <w:tab/>
        <w:t xml:space="preserve">Asymmetric 20+40 MHz CA with </w:t>
      </w:r>
      <w:r w:rsidR="00EB4DB2">
        <w:t>4</w:t>
      </w:r>
      <w:r>
        <w:t>0 MHz gap</w:t>
      </w:r>
    </w:p>
    <w:p w14:paraId="4D8462A6" w14:textId="77777777" w:rsidR="00116D10" w:rsidRDefault="00116D10" w:rsidP="002C5FC3">
      <w:r>
        <w:t>In this section LO is excluded in the simulated signal in order to highlight additional IQ effects. Above reported LO effects are expected to apply also in asymmetric CA.</w:t>
      </w:r>
    </w:p>
    <w:p w14:paraId="4B9D5944" w14:textId="6203F96B" w:rsidR="002B25C2" w:rsidRDefault="002B25C2" w:rsidP="002C5FC3">
      <w:r>
        <w:t>In asymmetric CA scenarios, an additional problem of finite IQ suppression becomes relevant. For example, as shown in Figure 2, the IQ image of one allocation can fall on the ACLR band in between the CCs.</w:t>
      </w:r>
    </w:p>
    <w:p w14:paraId="145EEC55" w14:textId="445185F9" w:rsidR="00EB4DB2" w:rsidRDefault="00EB4DB2" w:rsidP="004932B7">
      <w:pPr>
        <w:jc w:val="center"/>
        <w:rPr>
          <w:lang w:val="fi-FI"/>
        </w:rPr>
      </w:pPr>
      <w:r w:rsidRPr="00EB4DB2">
        <w:rPr>
          <w:lang w:val="fi-FI"/>
        </w:rPr>
        <w:lastRenderedPageBreak/>
        <w:drawing>
          <wp:inline distT="0" distB="0" distL="0" distR="0" wp14:anchorId="068D7994" wp14:editId="3349B069">
            <wp:extent cx="5334000" cy="30194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5334000" cy="3019425"/>
                    </a:xfrm>
                    <a:prstGeom prst="rect">
                      <a:avLst/>
                    </a:prstGeom>
                    <a:ln>
                      <a:noFill/>
                    </a:ln>
                    <a:extLst>
                      <a:ext uri="{53640926-AAD7-44D8-BBD7-CCE9431645EC}">
                        <a14:shadowObscured xmlns:a14="http://schemas.microsoft.com/office/drawing/2010/main"/>
                      </a:ext>
                    </a:extLst>
                  </pic:spPr>
                </pic:pic>
              </a:graphicData>
            </a:graphic>
          </wp:inline>
        </w:drawing>
      </w:r>
    </w:p>
    <w:p w14:paraId="65FD5FE5" w14:textId="2115F2C2" w:rsidR="00E05D69" w:rsidRPr="00E05D69" w:rsidRDefault="00E05D69" w:rsidP="004932B7">
      <w:pPr>
        <w:jc w:val="center"/>
      </w:pPr>
      <w:r w:rsidRPr="00E05D69">
        <w:t>Figure 2. A s</w:t>
      </w:r>
      <w:r>
        <w:t>pectrum example of example of IQ image falling on the ACLR band when the TX power is symmetrically divided along the CCs.</w:t>
      </w:r>
    </w:p>
    <w:p w14:paraId="1D5C2235" w14:textId="77777777" w:rsidR="00E05D69" w:rsidRDefault="00E05D69" w:rsidP="00E05D69">
      <w:r>
        <w:t>When the necessary PA back-off is simulated in such a scenario, the result exceeds 20 dB. This happens because the IQ image power falling on the ACLR band forbids achieving the threshold of 31 dB. However, when IQ suppression is increased to 29 dB, the ACLR problem is alleviated and in this example scenario back-off of 13.5 dB is sufficient.</w:t>
      </w:r>
    </w:p>
    <w:p w14:paraId="06A2CD5A" w14:textId="55A89C7E" w:rsidR="001D1626" w:rsidRDefault="001D1626" w:rsidP="001D1626">
      <w:pPr>
        <w:rPr>
          <w:noProof/>
        </w:rPr>
      </w:pPr>
      <w:r>
        <w:rPr>
          <w:noProof/>
        </w:rPr>
        <w:t>When considering the general case, i.e. taking into account also other possible CC allocations, it can be concluded that for worst case allocations IQ suppression larger than the ACLR threshold is needed. An example of such difficult scenario could be asymmetric allocations in the CCs, where most of the transmitted power is located in one of the CCs and the IQ image of this allocation falls on the ACLR band. In such a case, achiev</w:t>
      </w:r>
      <w:r w:rsidR="00334608">
        <w:rPr>
          <w:noProof/>
        </w:rPr>
        <w:t>able</w:t>
      </w:r>
      <w:r>
        <w:rPr>
          <w:noProof/>
        </w:rPr>
        <w:t xml:space="preserve"> ACLR would be </w:t>
      </w:r>
      <w:r w:rsidR="00334608">
        <w:rPr>
          <w:noProof/>
        </w:rPr>
        <w:t xml:space="preserve">limited by </w:t>
      </w:r>
      <w:r>
        <w:rPr>
          <w:noProof/>
        </w:rPr>
        <w:t>the applied IQ suppresion.</w:t>
      </w:r>
      <w:r w:rsidR="00334608">
        <w:rPr>
          <w:noProof/>
        </w:rPr>
        <w:t xml:space="preserve"> An example of such a scenario is illustrated in Figure 3, where ACLR remains at approximately 28 dB even with 20 dB PA </w:t>
      </w:r>
      <w:r w:rsidR="00D0209F">
        <w:rPr>
          <w:noProof/>
        </w:rPr>
        <w:t>back-off</w:t>
      </w:r>
      <w:r w:rsidR="00334608">
        <w:rPr>
          <w:noProof/>
        </w:rPr>
        <w:t>, when the default IQ suppresion of 28 dB is applied.</w:t>
      </w:r>
    </w:p>
    <w:p w14:paraId="491B34CF" w14:textId="703361A9" w:rsidR="00EB4DB2" w:rsidRDefault="00EB4DB2" w:rsidP="00334608">
      <w:pPr>
        <w:jc w:val="center"/>
        <w:rPr>
          <w:noProof/>
        </w:rPr>
      </w:pPr>
      <w:r w:rsidRPr="00EB4DB2">
        <w:rPr>
          <w:noProof/>
        </w:rPr>
        <w:drawing>
          <wp:inline distT="0" distB="0" distL="0" distR="0" wp14:anchorId="7E368A26" wp14:editId="2602D54F">
            <wp:extent cx="5334000" cy="3019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5334000" cy="3019425"/>
                    </a:xfrm>
                    <a:prstGeom prst="rect">
                      <a:avLst/>
                    </a:prstGeom>
                    <a:ln>
                      <a:noFill/>
                    </a:ln>
                    <a:extLst>
                      <a:ext uri="{53640926-AAD7-44D8-BBD7-CCE9431645EC}">
                        <a14:shadowObscured xmlns:a14="http://schemas.microsoft.com/office/drawing/2010/main"/>
                      </a:ext>
                    </a:extLst>
                  </pic:spPr>
                </pic:pic>
              </a:graphicData>
            </a:graphic>
          </wp:inline>
        </w:drawing>
      </w:r>
    </w:p>
    <w:p w14:paraId="415E1235" w14:textId="0AB5B01D" w:rsidR="00E05D69" w:rsidRDefault="00E05D69" w:rsidP="00E05D69">
      <w:pPr>
        <w:jc w:val="center"/>
      </w:pPr>
      <w:r w:rsidRPr="00E05D69">
        <w:t xml:space="preserve">Figure </w:t>
      </w:r>
      <w:r>
        <w:t>3</w:t>
      </w:r>
      <w:r w:rsidRPr="00E05D69">
        <w:t>. A s</w:t>
      </w:r>
      <w:r>
        <w:t>pectrum example of example of IQ image falling on the ACLR band when the TX power is asymmetrically divided along the CCs.</w:t>
      </w:r>
    </w:p>
    <w:p w14:paraId="77320C44" w14:textId="560D94B2" w:rsidR="00675C7C" w:rsidRDefault="00675C7C" w:rsidP="00E05D69">
      <w:pPr>
        <w:jc w:val="center"/>
      </w:pPr>
    </w:p>
    <w:p w14:paraId="620E6494" w14:textId="764BE9A6" w:rsidR="00675C7C" w:rsidRPr="00675C7C" w:rsidRDefault="00675C7C" w:rsidP="00675C7C">
      <w:pPr>
        <w:rPr>
          <w:b/>
          <w:bCs/>
        </w:rPr>
      </w:pPr>
      <w:r w:rsidRPr="00675C7C">
        <w:rPr>
          <w:b/>
          <w:bCs/>
        </w:rPr>
        <w:t>Observation 3:</w:t>
      </w:r>
      <w:r>
        <w:rPr>
          <w:b/>
          <w:bCs/>
        </w:rPr>
        <w:t xml:space="preserve"> The ACLR effect of IQ image in asymmetric NC CA combinations depends on the CC allocations.</w:t>
      </w:r>
    </w:p>
    <w:p w14:paraId="560DAC8B" w14:textId="033DCA21" w:rsidR="00A47EDC" w:rsidRDefault="00EB4DB2" w:rsidP="00E05D69">
      <w:pPr>
        <w:jc w:val="center"/>
      </w:pPr>
      <w:r w:rsidRPr="00EB4DB2">
        <w:rPr>
          <w:noProof/>
        </w:rPr>
        <w:lastRenderedPageBreak/>
        <w:drawing>
          <wp:inline distT="0" distB="0" distL="0" distR="0" wp14:anchorId="747FFE2C" wp14:editId="363B75A5">
            <wp:extent cx="2880000"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EB4DB2">
        <w:rPr>
          <w:noProof/>
        </w:rPr>
        <w:t xml:space="preserve"> </w:t>
      </w:r>
      <w:r w:rsidRPr="00EB4DB2">
        <w:drawing>
          <wp:inline distT="0" distB="0" distL="0" distR="0" wp14:anchorId="6D9E3511" wp14:editId="0B76E822">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720780BD" w14:textId="10EE0E68" w:rsidR="00A47EDC" w:rsidRDefault="00A47EDC" w:rsidP="00E05D69">
      <w:pPr>
        <w:jc w:val="center"/>
      </w:pPr>
      <w:r>
        <w:t>Figure 4. Simulated ACLR of 1+1 RB allocations (on the left) and 1+</w:t>
      </w:r>
      <w:r w:rsidR="00EB4DB2">
        <w:t>100</w:t>
      </w:r>
      <w:r>
        <w:t xml:space="preserve"> RB allocations (on the right) as a function of set output back-off. ACLR threshold of 31 dB presented as a black dashed line.</w:t>
      </w:r>
    </w:p>
    <w:p w14:paraId="6D644130" w14:textId="77777777" w:rsidR="00675C7C" w:rsidRDefault="00675C7C" w:rsidP="00675C7C"/>
    <w:p w14:paraId="14876FAF" w14:textId="03EF45D6" w:rsidR="00116D10" w:rsidRPr="00EB4DB2" w:rsidRDefault="00EB4DB2" w:rsidP="00675C7C">
      <w:r>
        <w:t xml:space="preserve">Further, in Figure 4, ACLRs for 1+1 RB and 1+100 RB allocations are presented as a function of output back-off. In there, it can be seen that for achieving the threshold ACLR of 31 dB, IQ suppressions of 29 dB and 31 dB are needed. With </w:t>
      </w:r>
      <w:r w:rsidR="00116D10">
        <w:t>1+1 RB allocation, the small back-offs are not practical because of spurious emission limits. In the latter case, if output back-offs less than 18 dB are desired, IQ suppression of 32 dB would be necessary.</w:t>
      </w:r>
    </w:p>
    <w:p w14:paraId="60028B50" w14:textId="24C78DB4" w:rsidR="00675C7C" w:rsidRDefault="00675C7C" w:rsidP="00675C7C">
      <w:pPr>
        <w:rPr>
          <w:b/>
          <w:bCs/>
        </w:rPr>
      </w:pPr>
      <w:r w:rsidRPr="00675C7C">
        <w:rPr>
          <w:b/>
          <w:bCs/>
        </w:rPr>
        <w:t xml:space="preserve">Observation </w:t>
      </w:r>
      <w:r w:rsidR="00116D10">
        <w:rPr>
          <w:b/>
          <w:bCs/>
        </w:rPr>
        <w:t>4</w:t>
      </w:r>
      <w:r w:rsidRPr="00675C7C">
        <w:rPr>
          <w:b/>
          <w:bCs/>
        </w:rPr>
        <w:t xml:space="preserve">: </w:t>
      </w:r>
      <w:r>
        <w:rPr>
          <w:b/>
          <w:bCs/>
        </w:rPr>
        <w:t>With unfavourable allocations, such as 1+</w:t>
      </w:r>
      <w:r w:rsidR="00EB4DB2">
        <w:rPr>
          <w:b/>
          <w:bCs/>
        </w:rPr>
        <w:t>100</w:t>
      </w:r>
      <w:r>
        <w:rPr>
          <w:b/>
          <w:bCs/>
        </w:rPr>
        <w:t xml:space="preserve"> RB in case of 20+40 MHz NC CA, IQ suppression of up to 32 dB can be necessary in order to achieve moderate </w:t>
      </w:r>
      <w:r w:rsidR="00D0209F">
        <w:rPr>
          <w:b/>
          <w:bCs/>
        </w:rPr>
        <w:t>MPR</w:t>
      </w:r>
      <w:r>
        <w:rPr>
          <w:b/>
          <w:bCs/>
        </w:rPr>
        <w:t>.</w:t>
      </w:r>
    </w:p>
    <w:p w14:paraId="38E57974" w14:textId="57A80221" w:rsidR="00116D10" w:rsidRDefault="00116D10" w:rsidP="00675C7C">
      <w:r>
        <w:t>At the same time, relaxing the ACLR requirement could have a detrimental effect on the system performance as a whole, as ALRC limits are derived from coexistence studies.</w:t>
      </w:r>
    </w:p>
    <w:p w14:paraId="42738BD2" w14:textId="26576712" w:rsidR="00116D10" w:rsidRDefault="00116D10" w:rsidP="00116D10">
      <w:pPr>
        <w:rPr>
          <w:b/>
          <w:bCs/>
        </w:rPr>
      </w:pPr>
      <w:r w:rsidRPr="00675C7C">
        <w:rPr>
          <w:b/>
          <w:bCs/>
        </w:rPr>
        <w:t xml:space="preserve">Observation </w:t>
      </w:r>
      <w:r>
        <w:rPr>
          <w:b/>
          <w:bCs/>
        </w:rPr>
        <w:t>5</w:t>
      </w:r>
      <w:r w:rsidRPr="00675C7C">
        <w:rPr>
          <w:b/>
          <w:bCs/>
        </w:rPr>
        <w:t xml:space="preserve">: </w:t>
      </w:r>
      <w:r>
        <w:rPr>
          <w:b/>
          <w:bCs/>
        </w:rPr>
        <w:t xml:space="preserve">Relaxing the ACLR </w:t>
      </w:r>
      <w:r w:rsidRPr="00116D10">
        <w:rPr>
          <w:b/>
          <w:bCs/>
        </w:rPr>
        <w:t>requirement could have a detrimental effect on the system performance as a whole</w:t>
      </w:r>
      <w:r>
        <w:t>.</w:t>
      </w:r>
    </w:p>
    <w:p w14:paraId="7B845ED2" w14:textId="7A704E25" w:rsidR="008D3AD6" w:rsidRDefault="00435A51" w:rsidP="00BF40C1">
      <w:pPr>
        <w:pStyle w:val="Heading1"/>
      </w:pPr>
      <w:r>
        <w:t>4</w:t>
      </w:r>
      <w:r w:rsidR="008D3AD6">
        <w:tab/>
      </w:r>
      <w:r w:rsidR="008D3AD6" w:rsidRPr="00BF40C1">
        <w:t>Conclusion</w:t>
      </w:r>
    </w:p>
    <w:p w14:paraId="179B88A4" w14:textId="4DACF345" w:rsidR="00947B31" w:rsidRDefault="00675C7C" w:rsidP="00947B31">
      <w:r>
        <w:t xml:space="preserve">In this contribution we have presented further simulation results considering </w:t>
      </w:r>
      <w:r w:rsidR="00D0209F">
        <w:t>PC2</w:t>
      </w:r>
      <w:r>
        <w:t xml:space="preserve"> UL NC CA. Regarding symmetric CA combinations it was observed that</w:t>
      </w:r>
    </w:p>
    <w:p w14:paraId="30C95E90" w14:textId="77777777" w:rsidR="00675C7C" w:rsidRDefault="00675C7C" w:rsidP="00675C7C">
      <w:pPr>
        <w:rPr>
          <w:b/>
          <w:bCs/>
        </w:rPr>
      </w:pPr>
      <w:r w:rsidRPr="00675C7C">
        <w:rPr>
          <w:b/>
          <w:bCs/>
        </w:rPr>
        <w:t xml:space="preserve">Observation 1: </w:t>
      </w:r>
      <w:r>
        <w:rPr>
          <w:b/>
          <w:bCs/>
        </w:rPr>
        <w:t>With 35 dB LO suppression the back-off envelope approaches the envelope of the reference scenario where LO is excluded.</w:t>
      </w:r>
    </w:p>
    <w:p w14:paraId="383D7E46" w14:textId="77777777" w:rsidR="00675C7C" w:rsidRPr="00675C7C" w:rsidRDefault="00675C7C" w:rsidP="00675C7C">
      <w:pPr>
        <w:rPr>
          <w:b/>
          <w:bCs/>
        </w:rPr>
      </w:pPr>
      <w:r>
        <w:rPr>
          <w:b/>
          <w:bCs/>
        </w:rPr>
        <w:t>Observation 2: With 37 dB LO suppression the back-off, considering all simulated allocations, approaches the envelope of the reference scenario where LO is excluded.</w:t>
      </w:r>
    </w:p>
    <w:p w14:paraId="634DC4D5" w14:textId="6A5997EE" w:rsidR="00675C7C" w:rsidRDefault="00116D10" w:rsidP="00947B31">
      <w:r>
        <w:t>We expect this LO effect to be similar also in asymmetric combinations.</w:t>
      </w:r>
    </w:p>
    <w:p w14:paraId="0A26739C" w14:textId="4634DC48" w:rsidR="00116D10" w:rsidRDefault="00116D10" w:rsidP="00947B31">
      <w:r>
        <w:t>In addition, regarding asymmetric CA combinations, it was observed that</w:t>
      </w:r>
    </w:p>
    <w:p w14:paraId="400D2E1E" w14:textId="77777777" w:rsidR="00116D10" w:rsidRPr="00675C7C" w:rsidRDefault="00116D10" w:rsidP="00116D10">
      <w:pPr>
        <w:rPr>
          <w:b/>
          <w:bCs/>
        </w:rPr>
      </w:pPr>
      <w:r w:rsidRPr="00675C7C">
        <w:rPr>
          <w:b/>
          <w:bCs/>
        </w:rPr>
        <w:t>Observation 3:</w:t>
      </w:r>
      <w:r>
        <w:rPr>
          <w:b/>
          <w:bCs/>
        </w:rPr>
        <w:t xml:space="preserve"> The ACLR effect of IQ image in asymmetric NC CA combinations depends on the CC allocations.</w:t>
      </w:r>
    </w:p>
    <w:p w14:paraId="74F397A3" w14:textId="76E4AA5B" w:rsidR="00116D10" w:rsidRDefault="00116D10" w:rsidP="00947B31">
      <w:pPr>
        <w:rPr>
          <w:b/>
          <w:bCs/>
        </w:rPr>
      </w:pPr>
      <w:r w:rsidRPr="00675C7C">
        <w:rPr>
          <w:b/>
          <w:bCs/>
        </w:rPr>
        <w:t xml:space="preserve">Observation </w:t>
      </w:r>
      <w:r>
        <w:rPr>
          <w:b/>
          <w:bCs/>
        </w:rPr>
        <w:t>4</w:t>
      </w:r>
      <w:r w:rsidRPr="00675C7C">
        <w:rPr>
          <w:b/>
          <w:bCs/>
        </w:rPr>
        <w:t xml:space="preserve">: </w:t>
      </w:r>
      <w:r>
        <w:rPr>
          <w:b/>
          <w:bCs/>
        </w:rPr>
        <w:t>With unfavourable allocations, such as 1+</w:t>
      </w:r>
      <w:r w:rsidR="00EB4DB2">
        <w:rPr>
          <w:b/>
          <w:bCs/>
        </w:rPr>
        <w:t>100</w:t>
      </w:r>
      <w:r>
        <w:rPr>
          <w:b/>
          <w:bCs/>
        </w:rPr>
        <w:t xml:space="preserve"> RB in case of 20+40 MHz NC CA, IQ suppression of up to 32 dB can be necessary in order to achieve moderate </w:t>
      </w:r>
      <w:r w:rsidR="00D0209F">
        <w:rPr>
          <w:b/>
          <w:bCs/>
        </w:rPr>
        <w:t>MPR</w:t>
      </w:r>
      <w:r>
        <w:rPr>
          <w:b/>
          <w:bCs/>
        </w:rPr>
        <w:t>.</w:t>
      </w:r>
    </w:p>
    <w:p w14:paraId="1499EE93" w14:textId="66406A4A" w:rsidR="00116D10" w:rsidRDefault="00116D10" w:rsidP="00947B31">
      <w:r>
        <w:t>Furthermore, it was observed that</w:t>
      </w:r>
    </w:p>
    <w:p w14:paraId="2E763A8C" w14:textId="0142443C" w:rsidR="00116D10" w:rsidRPr="00116D10" w:rsidRDefault="00116D10" w:rsidP="00947B31">
      <w:pPr>
        <w:rPr>
          <w:b/>
          <w:bCs/>
        </w:rPr>
      </w:pPr>
      <w:r w:rsidRPr="00675C7C">
        <w:rPr>
          <w:b/>
          <w:bCs/>
        </w:rPr>
        <w:t xml:space="preserve">Observation </w:t>
      </w:r>
      <w:r>
        <w:rPr>
          <w:b/>
          <w:bCs/>
        </w:rPr>
        <w:t>5</w:t>
      </w:r>
      <w:r w:rsidRPr="00675C7C">
        <w:rPr>
          <w:b/>
          <w:bCs/>
        </w:rPr>
        <w:t xml:space="preserve">: </w:t>
      </w:r>
      <w:r>
        <w:rPr>
          <w:b/>
          <w:bCs/>
        </w:rPr>
        <w:t xml:space="preserve">Relaxing the ACLR </w:t>
      </w:r>
      <w:r w:rsidRPr="00116D10">
        <w:rPr>
          <w:b/>
          <w:bCs/>
        </w:rPr>
        <w:t>requirement could have a detrimental effect on the system performance as a whole</w:t>
      </w:r>
      <w:r>
        <w:t>.</w:t>
      </w:r>
    </w:p>
    <w:p w14:paraId="561E3900" w14:textId="4EFD09F9" w:rsidR="00165DA2" w:rsidRDefault="00435A51" w:rsidP="00BF40C1">
      <w:pPr>
        <w:pStyle w:val="Heading1"/>
      </w:pPr>
      <w:r>
        <w:lastRenderedPageBreak/>
        <w:t>5</w:t>
      </w:r>
      <w:r w:rsidR="00165DA2">
        <w:tab/>
      </w:r>
      <w:r w:rsidR="00165DA2" w:rsidRPr="00BF40C1">
        <w:t>Reference</w:t>
      </w:r>
      <w:r w:rsidRPr="00BF40C1">
        <w:t>s</w:t>
      </w:r>
    </w:p>
    <w:p w14:paraId="52507BB6" w14:textId="6843E129" w:rsidR="00D8365E" w:rsidRDefault="00E10098" w:rsidP="00BF40C1">
      <w:pPr>
        <w:rPr>
          <w:lang w:val="en-US"/>
        </w:rPr>
      </w:pPr>
      <w:r w:rsidRPr="00A412D5">
        <w:t xml:space="preserve">[1] </w:t>
      </w:r>
      <w:r w:rsidR="00C92CEA">
        <w:t>R4-210</w:t>
      </w:r>
      <w:r w:rsidR="00EB4DB2">
        <w:t>100</w:t>
      </w:r>
      <w:r w:rsidR="00F7348E">
        <w:t>89</w:t>
      </w:r>
      <w:r w:rsidR="00C92CEA">
        <w:t xml:space="preserve">, </w:t>
      </w:r>
      <w:r w:rsidR="00C92CEA" w:rsidRPr="00C92CEA">
        <w:rPr>
          <w:lang w:val="en-US"/>
        </w:rPr>
        <w:t>WF on RF architecture options handling for PC2 intra-band UL NC CA</w:t>
      </w:r>
      <w:r w:rsidR="00C92CEA">
        <w:rPr>
          <w:lang w:val="en-US"/>
        </w:rPr>
        <w:t>, Huawei, HiSilicon, Skyworks</w:t>
      </w:r>
    </w:p>
    <w:p w14:paraId="1E2FBF80" w14:textId="06460F5F" w:rsidR="00116D10" w:rsidRDefault="00116D10" w:rsidP="00BF40C1">
      <w:r>
        <w:t xml:space="preserve">[2] </w:t>
      </w:r>
      <w:r w:rsidRPr="00116D10">
        <w:t>R4-2109260</w:t>
      </w:r>
      <w:r>
        <w:t xml:space="preserve">, PC2 1PA Intra-band UL NC CA MPR Simulations, </w:t>
      </w:r>
      <w:r w:rsidRPr="008849F2">
        <w:rPr>
          <w:sz w:val="22"/>
        </w:rPr>
        <w:t>Nok</w:t>
      </w:r>
      <w:r>
        <w:rPr>
          <w:sz w:val="22"/>
        </w:rPr>
        <w:t>ia, Nokia Shanghai Bell</w:t>
      </w:r>
    </w:p>
    <w:sectPr w:rsidR="00116D10" w:rsidSect="0053247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42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92AE" w14:textId="77777777" w:rsidR="006D5D9A" w:rsidRDefault="006D5D9A" w:rsidP="002B3503">
      <w:pPr>
        <w:spacing w:after="0"/>
      </w:pPr>
      <w:r>
        <w:separator/>
      </w:r>
    </w:p>
  </w:endnote>
  <w:endnote w:type="continuationSeparator" w:id="0">
    <w:p w14:paraId="4289EA64" w14:textId="77777777" w:rsidR="006D5D9A" w:rsidRDefault="006D5D9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C13B" w14:textId="77777777" w:rsidR="00CB50D4" w:rsidRDefault="00CB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E37D6" w14:textId="77777777" w:rsidR="00CB50D4" w:rsidRDefault="00CB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3CD24" w14:textId="77777777" w:rsidR="00CB50D4" w:rsidRDefault="00CB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14A8E" w14:textId="77777777" w:rsidR="006D5D9A" w:rsidRDefault="006D5D9A" w:rsidP="002B3503">
      <w:pPr>
        <w:spacing w:after="0"/>
      </w:pPr>
      <w:r>
        <w:separator/>
      </w:r>
    </w:p>
  </w:footnote>
  <w:footnote w:type="continuationSeparator" w:id="0">
    <w:p w14:paraId="1B4E69C8" w14:textId="77777777" w:rsidR="006D5D9A" w:rsidRDefault="006D5D9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50D4" w:rsidRDefault="00CB50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B140" w14:textId="77777777" w:rsidR="00CB50D4" w:rsidRDefault="00CB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999EF" w14:textId="77777777" w:rsidR="00CB50D4" w:rsidRDefault="00CB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0F3D"/>
    <w:multiLevelType w:val="hybridMultilevel"/>
    <w:tmpl w:val="73F26B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82405BA"/>
    <w:multiLevelType w:val="hybridMultilevel"/>
    <w:tmpl w:val="A39AE4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DD53528"/>
    <w:multiLevelType w:val="hybridMultilevel"/>
    <w:tmpl w:val="FDFE99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696FF1"/>
    <w:multiLevelType w:val="hybridMultilevel"/>
    <w:tmpl w:val="78B2D2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6"/>
  </w:num>
  <w:num w:numId="5">
    <w:abstractNumId w:val="4"/>
  </w:num>
  <w:num w:numId="6">
    <w:abstractNumId w:val="7"/>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953"/>
    <w:rsid w:val="00001871"/>
    <w:rsid w:val="00056531"/>
    <w:rsid w:val="00056BDC"/>
    <w:rsid w:val="00071E0D"/>
    <w:rsid w:val="00091F0B"/>
    <w:rsid w:val="000A42E4"/>
    <w:rsid w:val="000A621D"/>
    <w:rsid w:val="000A6473"/>
    <w:rsid w:val="000B4E56"/>
    <w:rsid w:val="000B5E8E"/>
    <w:rsid w:val="000B7337"/>
    <w:rsid w:val="000B7507"/>
    <w:rsid w:val="000D0229"/>
    <w:rsid w:val="000F2546"/>
    <w:rsid w:val="000F50EC"/>
    <w:rsid w:val="00101626"/>
    <w:rsid w:val="001049CA"/>
    <w:rsid w:val="00111B4F"/>
    <w:rsid w:val="00116D10"/>
    <w:rsid w:val="00131B06"/>
    <w:rsid w:val="001354E3"/>
    <w:rsid w:val="001364A1"/>
    <w:rsid w:val="0015000E"/>
    <w:rsid w:val="00150207"/>
    <w:rsid w:val="00152947"/>
    <w:rsid w:val="00160C85"/>
    <w:rsid w:val="0016131F"/>
    <w:rsid w:val="00161A3D"/>
    <w:rsid w:val="00165DA2"/>
    <w:rsid w:val="001953B8"/>
    <w:rsid w:val="001A1356"/>
    <w:rsid w:val="001A37B5"/>
    <w:rsid w:val="001B77A6"/>
    <w:rsid w:val="001C2855"/>
    <w:rsid w:val="001D1626"/>
    <w:rsid w:val="001F083D"/>
    <w:rsid w:val="00207C42"/>
    <w:rsid w:val="002127E2"/>
    <w:rsid w:val="00214C87"/>
    <w:rsid w:val="00215035"/>
    <w:rsid w:val="00270309"/>
    <w:rsid w:val="00291DDD"/>
    <w:rsid w:val="002A54C5"/>
    <w:rsid w:val="002A7181"/>
    <w:rsid w:val="002B25C2"/>
    <w:rsid w:val="002B3503"/>
    <w:rsid w:val="002B7A24"/>
    <w:rsid w:val="002C5FC3"/>
    <w:rsid w:val="002F6A38"/>
    <w:rsid w:val="00312FD1"/>
    <w:rsid w:val="00331118"/>
    <w:rsid w:val="00334608"/>
    <w:rsid w:val="0034274F"/>
    <w:rsid w:val="00347DEA"/>
    <w:rsid w:val="00353ADB"/>
    <w:rsid w:val="003777FE"/>
    <w:rsid w:val="003F1967"/>
    <w:rsid w:val="00403EF4"/>
    <w:rsid w:val="00415412"/>
    <w:rsid w:val="00416EE9"/>
    <w:rsid w:val="0042109F"/>
    <w:rsid w:val="00426A90"/>
    <w:rsid w:val="0043450E"/>
    <w:rsid w:val="004353CD"/>
    <w:rsid w:val="00435A51"/>
    <w:rsid w:val="00453BA5"/>
    <w:rsid w:val="00454E53"/>
    <w:rsid w:val="00464BAD"/>
    <w:rsid w:val="00470375"/>
    <w:rsid w:val="0047269F"/>
    <w:rsid w:val="00474912"/>
    <w:rsid w:val="00482477"/>
    <w:rsid w:val="00491386"/>
    <w:rsid w:val="004932B7"/>
    <w:rsid w:val="00493B83"/>
    <w:rsid w:val="00494F18"/>
    <w:rsid w:val="004A41DA"/>
    <w:rsid w:val="004C0103"/>
    <w:rsid w:val="004C58F9"/>
    <w:rsid w:val="004C735B"/>
    <w:rsid w:val="004D0C67"/>
    <w:rsid w:val="004D38A8"/>
    <w:rsid w:val="004D3D81"/>
    <w:rsid w:val="004E4BF3"/>
    <w:rsid w:val="00532474"/>
    <w:rsid w:val="00545B26"/>
    <w:rsid w:val="00553FC9"/>
    <w:rsid w:val="00560A63"/>
    <w:rsid w:val="00564B2E"/>
    <w:rsid w:val="0056504C"/>
    <w:rsid w:val="00566E4B"/>
    <w:rsid w:val="00570B14"/>
    <w:rsid w:val="00585E98"/>
    <w:rsid w:val="00593AEE"/>
    <w:rsid w:val="00594743"/>
    <w:rsid w:val="005A4AB9"/>
    <w:rsid w:val="005B2640"/>
    <w:rsid w:val="005C12BE"/>
    <w:rsid w:val="005C48EA"/>
    <w:rsid w:val="005F6CE3"/>
    <w:rsid w:val="00602EB6"/>
    <w:rsid w:val="00606EF4"/>
    <w:rsid w:val="00614533"/>
    <w:rsid w:val="006376BE"/>
    <w:rsid w:val="006379C7"/>
    <w:rsid w:val="00641C2E"/>
    <w:rsid w:val="00641E1F"/>
    <w:rsid w:val="006531E4"/>
    <w:rsid w:val="00664DF6"/>
    <w:rsid w:val="00675C7C"/>
    <w:rsid w:val="00676A68"/>
    <w:rsid w:val="006919C7"/>
    <w:rsid w:val="006A3399"/>
    <w:rsid w:val="006A3650"/>
    <w:rsid w:val="006A6B9C"/>
    <w:rsid w:val="006C198A"/>
    <w:rsid w:val="006C6840"/>
    <w:rsid w:val="006D5D9A"/>
    <w:rsid w:val="006E0AFE"/>
    <w:rsid w:val="006E6862"/>
    <w:rsid w:val="006E7DBE"/>
    <w:rsid w:val="00705A53"/>
    <w:rsid w:val="00715E6E"/>
    <w:rsid w:val="0072141E"/>
    <w:rsid w:val="00726265"/>
    <w:rsid w:val="00730F90"/>
    <w:rsid w:val="00734EBD"/>
    <w:rsid w:val="00763629"/>
    <w:rsid w:val="007A0711"/>
    <w:rsid w:val="007B2B10"/>
    <w:rsid w:val="007B2E62"/>
    <w:rsid w:val="007D20DF"/>
    <w:rsid w:val="007E0B9E"/>
    <w:rsid w:val="007F3181"/>
    <w:rsid w:val="007F4A42"/>
    <w:rsid w:val="00803C45"/>
    <w:rsid w:val="008236E4"/>
    <w:rsid w:val="00850296"/>
    <w:rsid w:val="00860A01"/>
    <w:rsid w:val="00874193"/>
    <w:rsid w:val="00897104"/>
    <w:rsid w:val="008A4493"/>
    <w:rsid w:val="008B10F5"/>
    <w:rsid w:val="008D10E7"/>
    <w:rsid w:val="008D3AD6"/>
    <w:rsid w:val="008E41BB"/>
    <w:rsid w:val="008E57B1"/>
    <w:rsid w:val="0091383D"/>
    <w:rsid w:val="009159AA"/>
    <w:rsid w:val="00940559"/>
    <w:rsid w:val="00947B31"/>
    <w:rsid w:val="00996062"/>
    <w:rsid w:val="009B1E68"/>
    <w:rsid w:val="009E4ECB"/>
    <w:rsid w:val="00A21B5B"/>
    <w:rsid w:val="00A2770A"/>
    <w:rsid w:val="00A41675"/>
    <w:rsid w:val="00A451E8"/>
    <w:rsid w:val="00A47EDC"/>
    <w:rsid w:val="00A51ACB"/>
    <w:rsid w:val="00A6018C"/>
    <w:rsid w:val="00A7317E"/>
    <w:rsid w:val="00A76B87"/>
    <w:rsid w:val="00AB24AA"/>
    <w:rsid w:val="00AB55F9"/>
    <w:rsid w:val="00AE3616"/>
    <w:rsid w:val="00AE6327"/>
    <w:rsid w:val="00AF7CB0"/>
    <w:rsid w:val="00B029EE"/>
    <w:rsid w:val="00B42818"/>
    <w:rsid w:val="00B4385F"/>
    <w:rsid w:val="00B46BB0"/>
    <w:rsid w:val="00B65B59"/>
    <w:rsid w:val="00B7292B"/>
    <w:rsid w:val="00BA2E01"/>
    <w:rsid w:val="00BA4205"/>
    <w:rsid w:val="00BA7DDF"/>
    <w:rsid w:val="00BC764C"/>
    <w:rsid w:val="00BE37F6"/>
    <w:rsid w:val="00BF40C1"/>
    <w:rsid w:val="00BF4B17"/>
    <w:rsid w:val="00C07117"/>
    <w:rsid w:val="00C21554"/>
    <w:rsid w:val="00C22231"/>
    <w:rsid w:val="00C22DCD"/>
    <w:rsid w:val="00C3512C"/>
    <w:rsid w:val="00C613BD"/>
    <w:rsid w:val="00C74380"/>
    <w:rsid w:val="00C8115D"/>
    <w:rsid w:val="00C81190"/>
    <w:rsid w:val="00C92CEA"/>
    <w:rsid w:val="00CA0229"/>
    <w:rsid w:val="00CA324A"/>
    <w:rsid w:val="00CA336E"/>
    <w:rsid w:val="00CB50D4"/>
    <w:rsid w:val="00CD5859"/>
    <w:rsid w:val="00CE413C"/>
    <w:rsid w:val="00CF138C"/>
    <w:rsid w:val="00CF4404"/>
    <w:rsid w:val="00D0209F"/>
    <w:rsid w:val="00D275CC"/>
    <w:rsid w:val="00D31141"/>
    <w:rsid w:val="00D602F1"/>
    <w:rsid w:val="00D767C4"/>
    <w:rsid w:val="00D77CF5"/>
    <w:rsid w:val="00D8365E"/>
    <w:rsid w:val="00DC1586"/>
    <w:rsid w:val="00E05D69"/>
    <w:rsid w:val="00E10098"/>
    <w:rsid w:val="00E32B5A"/>
    <w:rsid w:val="00E33B68"/>
    <w:rsid w:val="00E355CC"/>
    <w:rsid w:val="00E402BB"/>
    <w:rsid w:val="00E86C8F"/>
    <w:rsid w:val="00E962C5"/>
    <w:rsid w:val="00EA0331"/>
    <w:rsid w:val="00EA3488"/>
    <w:rsid w:val="00EA5C2C"/>
    <w:rsid w:val="00EB4DB2"/>
    <w:rsid w:val="00EB5F7D"/>
    <w:rsid w:val="00EC2764"/>
    <w:rsid w:val="00EC52B4"/>
    <w:rsid w:val="00EC589F"/>
    <w:rsid w:val="00EC5E34"/>
    <w:rsid w:val="00EE5A9C"/>
    <w:rsid w:val="00EF1DB5"/>
    <w:rsid w:val="00EF20E6"/>
    <w:rsid w:val="00F07FED"/>
    <w:rsid w:val="00F26BE6"/>
    <w:rsid w:val="00F579B5"/>
    <w:rsid w:val="00F7348E"/>
    <w:rsid w:val="00F7460F"/>
    <w:rsid w:val="00F93A40"/>
    <w:rsid w:val="00F96CA4"/>
    <w:rsid w:val="00F97D64"/>
    <w:rsid w:val="00FA58F7"/>
    <w:rsid w:val="00FD085A"/>
    <w:rsid w:val="00FD3526"/>
    <w:rsid w:val="00FD543C"/>
    <w:rsid w:val="00FE374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553F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53FC9"/>
    <w:pPr>
      <w:pBdr>
        <w:top w:val="none" w:sz="0" w:space="0" w:color="auto"/>
      </w:pBdr>
      <w:spacing w:before="180"/>
      <w:outlineLvl w:val="1"/>
    </w:pPr>
    <w:rPr>
      <w:sz w:val="32"/>
    </w:rPr>
  </w:style>
  <w:style w:type="paragraph" w:styleId="Heading3">
    <w:name w:val="heading 3"/>
    <w:basedOn w:val="Heading2"/>
    <w:next w:val="Normal"/>
    <w:qFormat/>
    <w:rsid w:val="00553FC9"/>
    <w:pPr>
      <w:spacing w:before="120"/>
      <w:outlineLvl w:val="2"/>
    </w:pPr>
    <w:rPr>
      <w:sz w:val="28"/>
    </w:rPr>
  </w:style>
  <w:style w:type="paragraph" w:styleId="Heading4">
    <w:name w:val="heading 4"/>
    <w:basedOn w:val="Heading3"/>
    <w:next w:val="Normal"/>
    <w:qFormat/>
    <w:rsid w:val="00553FC9"/>
    <w:pPr>
      <w:ind w:left="1418" w:hanging="1418"/>
      <w:outlineLvl w:val="3"/>
    </w:pPr>
    <w:rPr>
      <w:sz w:val="24"/>
    </w:rPr>
  </w:style>
  <w:style w:type="paragraph" w:styleId="Heading5">
    <w:name w:val="heading 5"/>
    <w:basedOn w:val="Heading4"/>
    <w:next w:val="Normal"/>
    <w:qFormat/>
    <w:rsid w:val="00553FC9"/>
    <w:pPr>
      <w:ind w:left="1701" w:hanging="1701"/>
      <w:outlineLvl w:val="4"/>
    </w:pPr>
    <w:rPr>
      <w:sz w:val="22"/>
    </w:rPr>
  </w:style>
  <w:style w:type="paragraph" w:styleId="Heading6">
    <w:name w:val="heading 6"/>
    <w:basedOn w:val="H6"/>
    <w:next w:val="Normal"/>
    <w:qFormat/>
    <w:rsid w:val="00553FC9"/>
    <w:pPr>
      <w:outlineLvl w:val="5"/>
    </w:pPr>
  </w:style>
  <w:style w:type="paragraph" w:styleId="Heading7">
    <w:name w:val="heading 7"/>
    <w:basedOn w:val="H6"/>
    <w:next w:val="Normal"/>
    <w:qFormat/>
    <w:rsid w:val="00553FC9"/>
    <w:pPr>
      <w:outlineLvl w:val="6"/>
    </w:pPr>
  </w:style>
  <w:style w:type="paragraph" w:styleId="Heading8">
    <w:name w:val="heading 8"/>
    <w:basedOn w:val="Heading1"/>
    <w:next w:val="Normal"/>
    <w:qFormat/>
    <w:rsid w:val="00553FC9"/>
    <w:pPr>
      <w:ind w:left="0" w:firstLine="0"/>
      <w:outlineLvl w:val="7"/>
    </w:pPr>
  </w:style>
  <w:style w:type="paragraph" w:styleId="Heading9">
    <w:name w:val="heading 9"/>
    <w:basedOn w:val="Heading8"/>
    <w:next w:val="Normal"/>
    <w:qFormat/>
    <w:rsid w:val="00553F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3FC9"/>
    <w:pPr>
      <w:spacing w:before="180"/>
      <w:ind w:left="2693" w:hanging="2693"/>
    </w:pPr>
    <w:rPr>
      <w:b/>
    </w:rPr>
  </w:style>
  <w:style w:type="paragraph" w:styleId="TOC1">
    <w:name w:val="toc 1"/>
    <w:semiHidden/>
    <w:rsid w:val="00553F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3F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3FC9"/>
    <w:pPr>
      <w:ind w:left="1701" w:hanging="1701"/>
    </w:pPr>
  </w:style>
  <w:style w:type="paragraph" w:styleId="TOC4">
    <w:name w:val="toc 4"/>
    <w:basedOn w:val="TOC3"/>
    <w:semiHidden/>
    <w:rsid w:val="00553FC9"/>
    <w:pPr>
      <w:ind w:left="1418" w:hanging="1418"/>
    </w:pPr>
  </w:style>
  <w:style w:type="paragraph" w:styleId="TOC3">
    <w:name w:val="toc 3"/>
    <w:basedOn w:val="TOC2"/>
    <w:semiHidden/>
    <w:rsid w:val="00553FC9"/>
    <w:pPr>
      <w:ind w:left="1134" w:hanging="1134"/>
    </w:pPr>
  </w:style>
  <w:style w:type="paragraph" w:styleId="TOC2">
    <w:name w:val="toc 2"/>
    <w:basedOn w:val="TOC1"/>
    <w:semiHidden/>
    <w:rsid w:val="00553FC9"/>
    <w:pPr>
      <w:keepNext w:val="0"/>
      <w:spacing w:before="0"/>
      <w:ind w:left="851" w:hanging="851"/>
    </w:pPr>
    <w:rPr>
      <w:sz w:val="20"/>
    </w:rPr>
  </w:style>
  <w:style w:type="paragraph" w:styleId="Index2">
    <w:name w:val="index 2"/>
    <w:basedOn w:val="Index1"/>
    <w:semiHidden/>
    <w:rsid w:val="00553FC9"/>
    <w:pPr>
      <w:ind w:left="284"/>
    </w:pPr>
  </w:style>
  <w:style w:type="paragraph" w:styleId="Index1">
    <w:name w:val="index 1"/>
    <w:basedOn w:val="Normal"/>
    <w:semiHidden/>
    <w:rsid w:val="00553FC9"/>
    <w:pPr>
      <w:keepLines/>
      <w:spacing w:after="0"/>
    </w:pPr>
  </w:style>
  <w:style w:type="paragraph" w:customStyle="1" w:styleId="ZH">
    <w:name w:val="ZH"/>
    <w:rsid w:val="00553FC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3FC9"/>
    <w:pPr>
      <w:outlineLvl w:val="9"/>
    </w:pPr>
  </w:style>
  <w:style w:type="paragraph" w:styleId="ListNumber2">
    <w:name w:val="List Number 2"/>
    <w:basedOn w:val="ListNumber"/>
    <w:semiHidden/>
    <w:rsid w:val="00553FC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3FC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53FC9"/>
    <w:rPr>
      <w:b/>
      <w:position w:val="6"/>
      <w:sz w:val="16"/>
    </w:rPr>
  </w:style>
  <w:style w:type="paragraph" w:styleId="FootnoteText">
    <w:name w:val="footnote text"/>
    <w:basedOn w:val="Normal"/>
    <w:semiHidden/>
    <w:rsid w:val="00553FC9"/>
    <w:pPr>
      <w:keepLines/>
      <w:spacing w:after="0"/>
      <w:ind w:left="454" w:hanging="454"/>
    </w:pPr>
    <w:rPr>
      <w:sz w:val="16"/>
    </w:rPr>
  </w:style>
  <w:style w:type="paragraph" w:customStyle="1" w:styleId="TAH">
    <w:name w:val="TAH"/>
    <w:basedOn w:val="TAC"/>
    <w:link w:val="TAHCar"/>
    <w:qFormat/>
    <w:rsid w:val="00553FC9"/>
    <w:rPr>
      <w:b/>
    </w:rPr>
  </w:style>
  <w:style w:type="paragraph" w:customStyle="1" w:styleId="TAC">
    <w:name w:val="TAC"/>
    <w:basedOn w:val="TAL"/>
    <w:link w:val="TACChar"/>
    <w:qFormat/>
    <w:rsid w:val="00553FC9"/>
    <w:pPr>
      <w:jc w:val="center"/>
    </w:pPr>
  </w:style>
  <w:style w:type="paragraph" w:customStyle="1" w:styleId="TF">
    <w:name w:val="TF"/>
    <w:basedOn w:val="TH"/>
    <w:rsid w:val="00553FC9"/>
    <w:pPr>
      <w:keepNext w:val="0"/>
      <w:spacing w:before="0" w:after="240"/>
    </w:pPr>
  </w:style>
  <w:style w:type="paragraph" w:customStyle="1" w:styleId="NO">
    <w:name w:val="NO"/>
    <w:basedOn w:val="Normal"/>
    <w:rsid w:val="00553FC9"/>
    <w:pPr>
      <w:keepLines/>
      <w:ind w:left="1135" w:hanging="851"/>
    </w:pPr>
  </w:style>
  <w:style w:type="paragraph" w:styleId="TOC9">
    <w:name w:val="toc 9"/>
    <w:basedOn w:val="TOC8"/>
    <w:semiHidden/>
    <w:rsid w:val="00553FC9"/>
    <w:pPr>
      <w:ind w:left="1418" w:hanging="1418"/>
    </w:pPr>
  </w:style>
  <w:style w:type="paragraph" w:customStyle="1" w:styleId="EX">
    <w:name w:val="EX"/>
    <w:basedOn w:val="Normal"/>
    <w:rsid w:val="00553FC9"/>
    <w:pPr>
      <w:keepLines/>
      <w:ind w:left="1702" w:hanging="1418"/>
    </w:pPr>
  </w:style>
  <w:style w:type="paragraph" w:customStyle="1" w:styleId="FP">
    <w:name w:val="FP"/>
    <w:basedOn w:val="Normal"/>
    <w:rsid w:val="00553FC9"/>
    <w:pPr>
      <w:spacing w:after="0"/>
    </w:pPr>
  </w:style>
  <w:style w:type="paragraph" w:customStyle="1" w:styleId="LD">
    <w:name w:val="LD"/>
    <w:rsid w:val="00553FC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3FC9"/>
    <w:pPr>
      <w:spacing w:after="0"/>
    </w:pPr>
  </w:style>
  <w:style w:type="paragraph" w:customStyle="1" w:styleId="EW">
    <w:name w:val="EW"/>
    <w:basedOn w:val="EX"/>
    <w:rsid w:val="00553FC9"/>
    <w:pPr>
      <w:spacing w:after="0"/>
    </w:pPr>
  </w:style>
  <w:style w:type="paragraph" w:styleId="TOC6">
    <w:name w:val="toc 6"/>
    <w:basedOn w:val="TOC5"/>
    <w:next w:val="Normal"/>
    <w:semiHidden/>
    <w:rsid w:val="00553FC9"/>
    <w:pPr>
      <w:ind w:left="1985" w:hanging="1985"/>
    </w:pPr>
  </w:style>
  <w:style w:type="paragraph" w:styleId="TOC7">
    <w:name w:val="toc 7"/>
    <w:basedOn w:val="TOC6"/>
    <w:next w:val="Normal"/>
    <w:semiHidden/>
    <w:rsid w:val="00553FC9"/>
    <w:pPr>
      <w:ind w:left="2268" w:hanging="2268"/>
    </w:pPr>
  </w:style>
  <w:style w:type="paragraph" w:styleId="ListBullet2">
    <w:name w:val="List Bullet 2"/>
    <w:basedOn w:val="ListBullet"/>
    <w:semiHidden/>
    <w:rsid w:val="00553FC9"/>
    <w:pPr>
      <w:ind w:left="851"/>
    </w:pPr>
  </w:style>
  <w:style w:type="paragraph" w:styleId="ListBullet3">
    <w:name w:val="List Bullet 3"/>
    <w:basedOn w:val="ListBullet2"/>
    <w:semiHidden/>
    <w:rsid w:val="00553FC9"/>
    <w:pPr>
      <w:ind w:left="1135"/>
    </w:pPr>
  </w:style>
  <w:style w:type="paragraph" w:styleId="ListNumber">
    <w:name w:val="List Number"/>
    <w:basedOn w:val="List"/>
    <w:semiHidden/>
    <w:rsid w:val="00553FC9"/>
  </w:style>
  <w:style w:type="paragraph" w:customStyle="1" w:styleId="EQ">
    <w:name w:val="EQ"/>
    <w:basedOn w:val="Normal"/>
    <w:next w:val="Normal"/>
    <w:link w:val="EQChar"/>
    <w:rsid w:val="00553FC9"/>
    <w:pPr>
      <w:keepLines/>
      <w:tabs>
        <w:tab w:val="center" w:pos="4536"/>
        <w:tab w:val="right" w:pos="9072"/>
      </w:tabs>
    </w:pPr>
    <w:rPr>
      <w:noProof/>
    </w:rPr>
  </w:style>
  <w:style w:type="paragraph" w:customStyle="1" w:styleId="TH">
    <w:name w:val="TH"/>
    <w:basedOn w:val="Normal"/>
    <w:link w:val="THChar"/>
    <w:rsid w:val="00553FC9"/>
    <w:pPr>
      <w:keepNext/>
      <w:keepLines/>
      <w:spacing w:before="60"/>
      <w:jc w:val="center"/>
    </w:pPr>
    <w:rPr>
      <w:rFonts w:ascii="Arial" w:hAnsi="Arial"/>
      <w:b/>
    </w:rPr>
  </w:style>
  <w:style w:type="paragraph" w:customStyle="1" w:styleId="NF">
    <w:name w:val="NF"/>
    <w:basedOn w:val="NO"/>
    <w:rsid w:val="00553FC9"/>
    <w:pPr>
      <w:keepNext/>
      <w:spacing w:after="0"/>
    </w:pPr>
    <w:rPr>
      <w:rFonts w:ascii="Arial" w:hAnsi="Arial"/>
      <w:sz w:val="18"/>
    </w:rPr>
  </w:style>
  <w:style w:type="paragraph" w:customStyle="1" w:styleId="PL">
    <w:name w:val="PL"/>
    <w:rsid w:val="00553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3FC9"/>
    <w:pPr>
      <w:jc w:val="right"/>
    </w:pPr>
  </w:style>
  <w:style w:type="paragraph" w:customStyle="1" w:styleId="H6">
    <w:name w:val="H6"/>
    <w:basedOn w:val="Heading5"/>
    <w:next w:val="Normal"/>
    <w:rsid w:val="00553FC9"/>
    <w:pPr>
      <w:ind w:left="1985" w:hanging="1985"/>
      <w:outlineLvl w:val="9"/>
    </w:pPr>
    <w:rPr>
      <w:sz w:val="20"/>
    </w:rPr>
  </w:style>
  <w:style w:type="paragraph" w:customStyle="1" w:styleId="TAN">
    <w:name w:val="TAN"/>
    <w:basedOn w:val="TAL"/>
    <w:link w:val="TANChar"/>
    <w:rsid w:val="00553FC9"/>
    <w:pPr>
      <w:ind w:left="851" w:hanging="851"/>
    </w:pPr>
  </w:style>
  <w:style w:type="paragraph" w:customStyle="1" w:styleId="TAL">
    <w:name w:val="TAL"/>
    <w:basedOn w:val="Normal"/>
    <w:rsid w:val="00553FC9"/>
    <w:pPr>
      <w:keepNext/>
      <w:keepLines/>
      <w:spacing w:after="0"/>
    </w:pPr>
    <w:rPr>
      <w:rFonts w:ascii="Arial" w:hAnsi="Arial"/>
      <w:sz w:val="18"/>
    </w:rPr>
  </w:style>
  <w:style w:type="paragraph" w:customStyle="1" w:styleId="ZA">
    <w:name w:val="ZA"/>
    <w:rsid w:val="00553F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3F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3FC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3F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3FC9"/>
    <w:pPr>
      <w:framePr w:wrap="notBeside" w:y="16161"/>
    </w:pPr>
  </w:style>
  <w:style w:type="character" w:customStyle="1" w:styleId="ZGSM">
    <w:name w:val="ZGSM"/>
    <w:rsid w:val="00553FC9"/>
  </w:style>
  <w:style w:type="paragraph" w:styleId="List2">
    <w:name w:val="List 2"/>
    <w:basedOn w:val="List"/>
    <w:semiHidden/>
    <w:rsid w:val="00553FC9"/>
    <w:pPr>
      <w:ind w:left="851"/>
    </w:pPr>
  </w:style>
  <w:style w:type="paragraph" w:customStyle="1" w:styleId="ZG">
    <w:name w:val="ZG"/>
    <w:rsid w:val="00553F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553FC9"/>
    <w:pPr>
      <w:ind w:left="1135"/>
    </w:pPr>
  </w:style>
  <w:style w:type="paragraph" w:styleId="List4">
    <w:name w:val="List 4"/>
    <w:basedOn w:val="List3"/>
    <w:semiHidden/>
    <w:rsid w:val="00553FC9"/>
    <w:pPr>
      <w:ind w:left="1418"/>
    </w:pPr>
  </w:style>
  <w:style w:type="paragraph" w:styleId="List5">
    <w:name w:val="List 5"/>
    <w:basedOn w:val="List4"/>
    <w:semiHidden/>
    <w:rsid w:val="00553FC9"/>
    <w:pPr>
      <w:ind w:left="1702"/>
    </w:pPr>
  </w:style>
  <w:style w:type="paragraph" w:customStyle="1" w:styleId="EditorsNote">
    <w:name w:val="Editor's Note"/>
    <w:basedOn w:val="NO"/>
    <w:rsid w:val="00553FC9"/>
    <w:rPr>
      <w:color w:val="FF0000"/>
    </w:rPr>
  </w:style>
  <w:style w:type="paragraph" w:styleId="List">
    <w:name w:val="List"/>
    <w:basedOn w:val="Normal"/>
    <w:semiHidden/>
    <w:rsid w:val="00553FC9"/>
    <w:pPr>
      <w:ind w:left="568" w:hanging="284"/>
    </w:pPr>
  </w:style>
  <w:style w:type="paragraph" w:styleId="ListBullet">
    <w:name w:val="List Bullet"/>
    <w:basedOn w:val="List"/>
    <w:semiHidden/>
    <w:rsid w:val="00553FC9"/>
  </w:style>
  <w:style w:type="paragraph" w:styleId="ListBullet4">
    <w:name w:val="List Bullet 4"/>
    <w:basedOn w:val="ListBullet3"/>
    <w:semiHidden/>
    <w:rsid w:val="00553FC9"/>
    <w:pPr>
      <w:ind w:left="1418"/>
    </w:pPr>
  </w:style>
  <w:style w:type="paragraph" w:styleId="ListBullet5">
    <w:name w:val="List Bullet 5"/>
    <w:basedOn w:val="ListBullet4"/>
    <w:semiHidden/>
    <w:rsid w:val="00553FC9"/>
    <w:pPr>
      <w:ind w:left="1702"/>
    </w:pPr>
  </w:style>
  <w:style w:type="paragraph" w:customStyle="1" w:styleId="B1">
    <w:name w:val="B1"/>
    <w:basedOn w:val="List"/>
    <w:rsid w:val="00553FC9"/>
  </w:style>
  <w:style w:type="paragraph" w:customStyle="1" w:styleId="B2">
    <w:name w:val="B2"/>
    <w:basedOn w:val="List2"/>
    <w:rsid w:val="00553FC9"/>
  </w:style>
  <w:style w:type="paragraph" w:customStyle="1" w:styleId="B3">
    <w:name w:val="B3"/>
    <w:basedOn w:val="List3"/>
    <w:rsid w:val="00553FC9"/>
  </w:style>
  <w:style w:type="paragraph" w:customStyle="1" w:styleId="B4">
    <w:name w:val="B4"/>
    <w:basedOn w:val="List4"/>
    <w:rsid w:val="00553FC9"/>
  </w:style>
  <w:style w:type="paragraph" w:customStyle="1" w:styleId="B5">
    <w:name w:val="B5"/>
    <w:basedOn w:val="List5"/>
    <w:rsid w:val="00553FC9"/>
  </w:style>
  <w:style w:type="paragraph" w:styleId="Footer">
    <w:name w:val="footer"/>
    <w:basedOn w:val="Header"/>
    <w:semiHidden/>
    <w:rsid w:val="00553FC9"/>
    <w:pPr>
      <w:jc w:val="center"/>
    </w:pPr>
    <w:rPr>
      <w:i/>
    </w:rPr>
  </w:style>
  <w:style w:type="paragraph" w:customStyle="1" w:styleId="ZTD">
    <w:name w:val="ZTD"/>
    <w:basedOn w:val="ZB"/>
    <w:rsid w:val="00553FC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C1586"/>
    <w:rPr>
      <w:rFonts w:ascii="Arial" w:hAnsi="Arial"/>
      <w:b/>
      <w:lang w:val="en-GB" w:eastAsia="en-US"/>
    </w:rPr>
  </w:style>
  <w:style w:type="character" w:customStyle="1" w:styleId="TANChar">
    <w:name w:val="TAN Char"/>
    <w:link w:val="TAN"/>
    <w:rsid w:val="00DC1586"/>
    <w:rPr>
      <w:rFonts w:ascii="Arial" w:hAnsi="Arial"/>
      <w:sz w:val="18"/>
      <w:lang w:val="en-GB" w:eastAsia="en-US"/>
    </w:rPr>
  </w:style>
  <w:style w:type="character" w:customStyle="1" w:styleId="EQChar">
    <w:name w:val="EQ Char"/>
    <w:link w:val="EQ"/>
    <w:rsid w:val="00532474"/>
    <w:rPr>
      <w:rFonts w:ascii="Times New Roman" w:hAnsi="Times New Roman"/>
      <w:noProof/>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53ADB"/>
    <w:rPr>
      <w:rFonts w:ascii="Times New Roman" w:hAnsi="Times New Roman"/>
      <w:lang w:val="en-GB" w:eastAsia="en-US"/>
    </w:rPr>
  </w:style>
  <w:style w:type="paragraph" w:customStyle="1" w:styleId="TableText">
    <w:name w:val="TableText"/>
    <w:basedOn w:val="BodyTextIndent"/>
    <w:qFormat/>
    <w:rsid w:val="00403EF4"/>
    <w:pPr>
      <w:spacing w:after="180"/>
      <w:ind w:leftChars="400" w:left="851"/>
    </w:pPr>
    <w:rPr>
      <w:rFonts w:eastAsia="Malgun Gothic"/>
    </w:rPr>
  </w:style>
  <w:style w:type="paragraph" w:styleId="BodyTextIndent">
    <w:name w:val="Body Text Indent"/>
    <w:basedOn w:val="Normal"/>
    <w:link w:val="BodyTextIndentChar"/>
    <w:uiPriority w:val="99"/>
    <w:semiHidden/>
    <w:unhideWhenUsed/>
    <w:rsid w:val="00403EF4"/>
    <w:pPr>
      <w:spacing w:after="120"/>
      <w:ind w:left="283"/>
    </w:pPr>
  </w:style>
  <w:style w:type="character" w:customStyle="1" w:styleId="BodyTextIndentChar">
    <w:name w:val="Body Text Indent Char"/>
    <w:basedOn w:val="DefaultParagraphFont"/>
    <w:link w:val="BodyTextIndent"/>
    <w:uiPriority w:val="99"/>
    <w:semiHidden/>
    <w:rsid w:val="00403EF4"/>
    <w:rPr>
      <w:rFonts w:ascii="Times New Roman" w:hAnsi="Times New Roman"/>
      <w:lang w:val="en-GB" w:eastAsia="en-US"/>
    </w:rPr>
  </w:style>
  <w:style w:type="character" w:customStyle="1" w:styleId="Heading2Char">
    <w:name w:val="Heading 2 Char"/>
    <w:basedOn w:val="DefaultParagraphFont"/>
    <w:link w:val="Heading2"/>
    <w:rsid w:val="00A76B8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28879526">
      <w:bodyDiv w:val="1"/>
      <w:marLeft w:val="0"/>
      <w:marRight w:val="0"/>
      <w:marTop w:val="0"/>
      <w:marBottom w:val="0"/>
      <w:divBdr>
        <w:top w:val="none" w:sz="0" w:space="0" w:color="auto"/>
        <w:left w:val="none" w:sz="0" w:space="0" w:color="auto"/>
        <w:bottom w:val="none" w:sz="0" w:space="0" w:color="auto"/>
        <w:right w:val="none" w:sz="0" w:space="0" w:color="auto"/>
      </w:divBdr>
    </w:div>
    <w:div w:id="541331405">
      <w:bodyDiv w:val="1"/>
      <w:marLeft w:val="0"/>
      <w:marRight w:val="0"/>
      <w:marTop w:val="0"/>
      <w:marBottom w:val="0"/>
      <w:divBdr>
        <w:top w:val="none" w:sz="0" w:space="0" w:color="auto"/>
        <w:left w:val="none" w:sz="0" w:space="0" w:color="auto"/>
        <w:bottom w:val="none" w:sz="0" w:space="0" w:color="auto"/>
        <w:right w:val="none" w:sz="0" w:space="0" w:color="auto"/>
      </w:divBdr>
    </w:div>
    <w:div w:id="612857317">
      <w:bodyDiv w:val="1"/>
      <w:marLeft w:val="0"/>
      <w:marRight w:val="0"/>
      <w:marTop w:val="0"/>
      <w:marBottom w:val="0"/>
      <w:divBdr>
        <w:top w:val="none" w:sz="0" w:space="0" w:color="auto"/>
        <w:left w:val="none" w:sz="0" w:space="0" w:color="auto"/>
        <w:bottom w:val="none" w:sz="0" w:space="0" w:color="auto"/>
        <w:right w:val="none" w:sz="0" w:space="0" w:color="auto"/>
      </w:divBdr>
    </w:div>
    <w:div w:id="815102240">
      <w:bodyDiv w:val="1"/>
      <w:marLeft w:val="0"/>
      <w:marRight w:val="0"/>
      <w:marTop w:val="0"/>
      <w:marBottom w:val="0"/>
      <w:divBdr>
        <w:top w:val="none" w:sz="0" w:space="0" w:color="auto"/>
        <w:left w:val="none" w:sz="0" w:space="0" w:color="auto"/>
        <w:bottom w:val="none" w:sz="0" w:space="0" w:color="auto"/>
        <w:right w:val="none" w:sz="0" w:space="0" w:color="auto"/>
      </w:divBdr>
    </w:div>
    <w:div w:id="822627964">
      <w:bodyDiv w:val="1"/>
      <w:marLeft w:val="0"/>
      <w:marRight w:val="0"/>
      <w:marTop w:val="0"/>
      <w:marBottom w:val="0"/>
      <w:divBdr>
        <w:top w:val="none" w:sz="0" w:space="0" w:color="auto"/>
        <w:left w:val="none" w:sz="0" w:space="0" w:color="auto"/>
        <w:bottom w:val="none" w:sz="0" w:space="0" w:color="auto"/>
        <w:right w:val="none" w:sz="0" w:space="0" w:color="auto"/>
      </w:divBdr>
    </w:div>
    <w:div w:id="953823760">
      <w:bodyDiv w:val="1"/>
      <w:marLeft w:val="0"/>
      <w:marRight w:val="0"/>
      <w:marTop w:val="0"/>
      <w:marBottom w:val="0"/>
      <w:divBdr>
        <w:top w:val="none" w:sz="0" w:space="0" w:color="auto"/>
        <w:left w:val="none" w:sz="0" w:space="0" w:color="auto"/>
        <w:bottom w:val="none" w:sz="0" w:space="0" w:color="auto"/>
        <w:right w:val="none" w:sz="0" w:space="0" w:color="auto"/>
      </w:divBdr>
    </w:div>
    <w:div w:id="98909268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83110786">
      <w:bodyDiv w:val="1"/>
      <w:marLeft w:val="0"/>
      <w:marRight w:val="0"/>
      <w:marTop w:val="0"/>
      <w:marBottom w:val="0"/>
      <w:divBdr>
        <w:top w:val="none" w:sz="0" w:space="0" w:color="auto"/>
        <w:left w:val="none" w:sz="0" w:space="0" w:color="auto"/>
        <w:bottom w:val="none" w:sz="0" w:space="0" w:color="auto"/>
        <w:right w:val="none" w:sz="0" w:space="0" w:color="auto"/>
      </w:divBdr>
    </w:div>
    <w:div w:id="1860701434">
      <w:bodyDiv w:val="1"/>
      <w:marLeft w:val="0"/>
      <w:marRight w:val="0"/>
      <w:marTop w:val="0"/>
      <w:marBottom w:val="0"/>
      <w:divBdr>
        <w:top w:val="none" w:sz="0" w:space="0" w:color="auto"/>
        <w:left w:val="none" w:sz="0" w:space="0" w:color="auto"/>
        <w:bottom w:val="none" w:sz="0" w:space="0" w:color="auto"/>
        <w:right w:val="none" w:sz="0" w:space="0" w:color="auto"/>
      </w:divBdr>
    </w:div>
    <w:div w:id="18640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5041</TotalTime>
  <Pages>5</Pages>
  <Words>774</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Marttila, Jaakko (Nokia - FI/Tampere)</cp:lastModifiedBy>
  <cp:revision>48</cp:revision>
  <cp:lastPrinted>1899-12-31T22:00:00Z</cp:lastPrinted>
  <dcterms:created xsi:type="dcterms:W3CDTF">2020-05-15T10:02:00Z</dcterms:created>
  <dcterms:modified xsi:type="dcterms:W3CDTF">2021-08-05T11:05:00Z</dcterms:modified>
</cp:coreProperties>
</file>