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5232" w14:textId="7CB82150" w:rsidR="00842448" w:rsidRDefault="00842448" w:rsidP="00842448">
      <w:pPr>
        <w:pStyle w:val="CRCoverPage"/>
        <w:tabs>
          <w:tab w:val="right" w:pos="9639"/>
        </w:tabs>
        <w:spacing w:after="0"/>
        <w:rPr>
          <w:b/>
          <w:i/>
          <w:noProof/>
          <w:sz w:val="28"/>
        </w:rPr>
      </w:pPr>
      <w:bookmarkStart w:id="0" w:name="_Hlk196669448"/>
      <w:r>
        <w:rPr>
          <w:b/>
          <w:noProof/>
          <w:sz w:val="24"/>
        </w:rPr>
        <w:t>3GPP TSG-RAN WG3 Meeting #131</w:t>
      </w:r>
      <w:r>
        <w:rPr>
          <w:b/>
          <w:i/>
          <w:noProof/>
          <w:sz w:val="28"/>
        </w:rPr>
        <w:tab/>
      </w:r>
      <w:r w:rsidRPr="00A348D4">
        <w:rPr>
          <w:b/>
          <w:iCs/>
          <w:noProof/>
          <w:sz w:val="28"/>
        </w:rPr>
        <w:t>R3-2</w:t>
      </w:r>
      <w:r>
        <w:rPr>
          <w:b/>
          <w:iCs/>
          <w:noProof/>
          <w:sz w:val="28"/>
        </w:rPr>
        <w:t>6</w:t>
      </w:r>
      <w:r w:rsidR="005E57BF">
        <w:rPr>
          <w:b/>
          <w:iCs/>
          <w:noProof/>
          <w:sz w:val="28"/>
        </w:rPr>
        <w:t>0469</w:t>
      </w:r>
    </w:p>
    <w:p w14:paraId="335CF98B" w14:textId="77777777" w:rsidR="00842448" w:rsidRDefault="00842448" w:rsidP="00842448">
      <w:pPr>
        <w:pStyle w:val="CRCoverPage"/>
        <w:outlineLvl w:val="0"/>
        <w:rPr>
          <w:b/>
          <w:noProof/>
          <w:sz w:val="24"/>
        </w:rPr>
      </w:pPr>
      <w:bookmarkStart w:id="1" w:name="_Hlk57190503"/>
      <w:r>
        <w:rPr>
          <w:b/>
          <w:noProof/>
          <w:sz w:val="24"/>
        </w:rPr>
        <w:t>Gothenburg, Sweden, 9</w:t>
      </w:r>
      <w:r w:rsidRPr="002C50CC">
        <w:rPr>
          <w:b/>
          <w:noProof/>
          <w:sz w:val="24"/>
          <w:vertAlign w:val="superscript"/>
        </w:rPr>
        <w:t>th</w:t>
      </w:r>
      <w:r>
        <w:rPr>
          <w:b/>
          <w:noProof/>
          <w:sz w:val="24"/>
        </w:rPr>
        <w:t xml:space="preserve"> - 13</w:t>
      </w:r>
      <w:r w:rsidRPr="002C50CC">
        <w:rPr>
          <w:b/>
          <w:noProof/>
          <w:sz w:val="24"/>
          <w:vertAlign w:val="superscript"/>
        </w:rPr>
        <w:t>th</w:t>
      </w:r>
      <w:r>
        <w:rPr>
          <w:b/>
          <w:noProof/>
          <w:sz w:val="24"/>
        </w:rPr>
        <w:t xml:space="preserve"> February 2026</w:t>
      </w:r>
      <w:bookmarkEnd w:id="1"/>
    </w:p>
    <w:bookmarkEnd w:id="0"/>
    <w:p w14:paraId="0C4B67AF" w14:textId="77777777" w:rsidR="00501135" w:rsidRDefault="00501135">
      <w:pPr>
        <w:pStyle w:val="Header"/>
        <w:rPr>
          <w:rFonts w:cs="Arial"/>
          <w:bCs/>
          <w:noProof w:val="0"/>
          <w:sz w:val="24"/>
          <w:lang w:val="en-GB" w:eastAsia="ja-JP"/>
        </w:rPr>
      </w:pPr>
    </w:p>
    <w:p w14:paraId="43D56084" w14:textId="7EC6B9DA"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5733E">
        <w:rPr>
          <w:rFonts w:cs="Arial"/>
          <w:b/>
          <w:bCs/>
          <w:color w:val="000000"/>
          <w:sz w:val="24"/>
          <w:szCs w:val="24"/>
          <w:lang w:val="en-US"/>
        </w:rPr>
        <w:t>14.2</w:t>
      </w:r>
    </w:p>
    <w:p w14:paraId="6BE48DC7" w14:textId="4F3A350E"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E5733E">
        <w:rPr>
          <w:rFonts w:cs="Arial"/>
          <w:b/>
          <w:bCs/>
          <w:sz w:val="24"/>
          <w:lang w:val="en-US"/>
        </w:rPr>
        <w:t>Ericsson</w:t>
      </w:r>
    </w:p>
    <w:p w14:paraId="3A2005BA" w14:textId="0D6592A9"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5733E">
        <w:rPr>
          <w:rFonts w:cs="Arial"/>
          <w:b/>
          <w:bCs/>
          <w:color w:val="000000"/>
          <w:sz w:val="24"/>
          <w:szCs w:val="24"/>
        </w:rPr>
        <w:t>On A-IoT Topology 2</w:t>
      </w:r>
    </w:p>
    <w:p w14:paraId="798882EA" w14:textId="1A115CAD"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E5733E">
        <w:rPr>
          <w:rFonts w:cs="Arial"/>
          <w:b/>
          <w:bCs/>
          <w:sz w:val="24"/>
          <w:szCs w:val="24"/>
        </w:rPr>
        <w:t>Discussion and Decision</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71162115" w14:textId="77777777" w:rsidR="00E5733E" w:rsidRDefault="00E5733E" w:rsidP="00117327">
      <w:r>
        <w:t>This paper deals with the following open items identified in previous meeting(s):</w:t>
      </w:r>
    </w:p>
    <w:p w14:paraId="0ECC2965" w14:textId="77777777" w:rsidR="00E5733E" w:rsidRPr="00316B15" w:rsidRDefault="00E5733E" w:rsidP="00E5733E">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UE Reader Selection.</w:t>
      </w:r>
    </w:p>
    <w:p w14:paraId="495CD16C" w14:textId="77777777" w:rsidR="00E5733E" w:rsidRPr="00316B15" w:rsidRDefault="00E5733E" w:rsidP="00E5733E">
      <w:pPr>
        <w:pStyle w:val="BodyText"/>
        <w:spacing w:after="0" w:line="276" w:lineRule="auto"/>
        <w:rPr>
          <w:rFonts w:eastAsia="SimSun" w:cs="Calibri"/>
          <w:i/>
          <w:color w:val="0000FF"/>
          <w:kern w:val="2"/>
          <w:sz w:val="16"/>
          <w:szCs w:val="16"/>
          <w:lang w:val="en-US" w:eastAsia="en-US"/>
        </w:rPr>
      </w:pPr>
      <w:r w:rsidRPr="00316B15">
        <w:rPr>
          <w:rFonts w:eastAsia="SimSun" w:cs="Calibri"/>
          <w:i/>
          <w:color w:val="0000FF"/>
          <w:kern w:val="2"/>
          <w:sz w:val="16"/>
          <w:szCs w:val="16"/>
          <w:lang w:val="en-US" w:eastAsia="en-US"/>
        </w:rPr>
        <w:t>Reader ID to represent UE Reader.</w:t>
      </w:r>
      <w:r w:rsidRPr="00316B15">
        <w:rPr>
          <w:rFonts w:eastAsia="SimSun" w:cs="Calibri"/>
          <w:i/>
          <w:kern w:val="2"/>
          <w:sz w:val="16"/>
          <w:szCs w:val="16"/>
          <w:lang w:val="en-US" w:eastAsia="en-US"/>
        </w:rPr>
        <w:t xml:space="preserve"> (NOTE: by taking SA2 progress, if any, into account)</w:t>
      </w:r>
    </w:p>
    <w:p w14:paraId="73294460" w14:textId="77777777" w:rsidR="001B6A75" w:rsidRDefault="001B6A75" w:rsidP="00117327"/>
    <w:p w14:paraId="76D6DE9B" w14:textId="5799D69D" w:rsidR="00E5733E" w:rsidRDefault="001B6A75" w:rsidP="00117327">
      <w:r>
        <w:t>Now, t</w:t>
      </w:r>
      <w:r w:rsidR="00E5733E">
        <w:t xml:space="preserve">aking into account </w:t>
      </w:r>
      <w:r>
        <w:t xml:space="preserve">SA2 progress, and there is some, let us take its official record </w:t>
      </w:r>
      <w:r w:rsidR="00E5733E">
        <w:t>as outlined in TR 23.700-30</w:t>
      </w:r>
      <w:r>
        <w:t xml:space="preserve"> and take from there</w:t>
      </w:r>
      <w:r w:rsidR="00E5733E">
        <w:t>:</w:t>
      </w:r>
    </w:p>
    <w:p w14:paraId="2E899594" w14:textId="77777777" w:rsidR="009F1C17" w:rsidRPr="009F1C17" w:rsidRDefault="009F1C17" w:rsidP="009F1C17">
      <w:pPr>
        <w:overflowPunct/>
        <w:autoSpaceDE/>
        <w:autoSpaceDN/>
        <w:adjustRightInd/>
        <w:ind w:left="720"/>
        <w:textAlignment w:val="auto"/>
        <w:rPr>
          <w:rFonts w:ascii="Times New Roman" w:eastAsia="DengXian" w:hAnsi="Times New Roman"/>
          <w:b/>
          <w:bCs/>
          <w:i/>
          <w:iCs/>
        </w:rPr>
      </w:pPr>
      <w:r w:rsidRPr="009F1C17">
        <w:rPr>
          <w:rFonts w:ascii="Times New Roman" w:eastAsia="DengXian" w:hAnsi="Times New Roman"/>
          <w:b/>
          <w:bCs/>
          <w:i/>
          <w:iCs/>
        </w:rPr>
        <w:t>UE reader selection part:</w:t>
      </w:r>
    </w:p>
    <w:p w14:paraId="6F3C0C6E" w14:textId="77777777" w:rsidR="009F1C17" w:rsidRPr="009F1C17" w:rsidRDefault="009F1C17" w:rsidP="009F1C17">
      <w:pPr>
        <w:overflowPunct/>
        <w:autoSpaceDE/>
        <w:autoSpaceDN/>
        <w:adjustRightInd/>
        <w:ind w:left="720"/>
        <w:textAlignment w:val="auto"/>
        <w:rPr>
          <w:rFonts w:ascii="Times New Roman" w:eastAsia="DengXian" w:hAnsi="Times New Roman"/>
          <w:i/>
          <w:iCs/>
        </w:rPr>
      </w:pPr>
      <w:r w:rsidRPr="009F1C17">
        <w:rPr>
          <w:rFonts w:ascii="Times New Roman" w:eastAsia="DengXian" w:hAnsi="Times New Roman"/>
          <w:i/>
          <w:iCs/>
        </w:rPr>
        <w:t>Two scenarios will be supported for UE reader selection, AF providing UE reader ID case and AF providing Area case for all types of UE reader.</w:t>
      </w:r>
    </w:p>
    <w:p w14:paraId="6DB5C49B" w14:textId="77777777" w:rsidR="009F1C17" w:rsidRPr="009F1C17" w:rsidRDefault="009F1C17" w:rsidP="009F1C17">
      <w:pPr>
        <w:pStyle w:val="B1"/>
        <w:ind w:left="1288"/>
        <w:rPr>
          <w:rFonts w:ascii="Times New Roman" w:eastAsia="DengXian" w:hAnsi="Times New Roman"/>
          <w:i/>
          <w:iCs/>
        </w:rPr>
      </w:pPr>
      <w:r w:rsidRPr="009F1C17">
        <w:rPr>
          <w:rFonts w:ascii="Times New Roman" w:eastAsia="DengXian" w:hAnsi="Times New Roman"/>
          <w:i/>
          <w:iCs/>
        </w:rPr>
        <w:t>-</w:t>
      </w:r>
      <w:r w:rsidRPr="009F1C17">
        <w:rPr>
          <w:rFonts w:ascii="Times New Roman" w:eastAsia="DengXian" w:hAnsi="Times New Roman"/>
          <w:i/>
          <w:iCs/>
        </w:rPr>
        <w:tab/>
        <w:t>For AF providing UE reader ID case:</w:t>
      </w:r>
    </w:p>
    <w:p w14:paraId="714456D5" w14:textId="77777777" w:rsidR="009F1C17" w:rsidRPr="009F1C17" w:rsidRDefault="009F1C17" w:rsidP="009F1C17">
      <w:pPr>
        <w:pStyle w:val="B2"/>
        <w:ind w:left="1571"/>
        <w:rPr>
          <w:rFonts w:ascii="Times New Roman" w:eastAsia="DengXian" w:hAnsi="Times New Roman"/>
          <w:i/>
          <w:iCs/>
        </w:rPr>
      </w:pPr>
      <w:r w:rsidRPr="009F1C17">
        <w:rPr>
          <w:rFonts w:ascii="Times New Roman" w:eastAsia="DengXian" w:hAnsi="Times New Roman"/>
          <w:i/>
          <w:iCs/>
        </w:rPr>
        <w:t>-</w:t>
      </w:r>
      <w:r w:rsidRPr="009F1C17">
        <w:rPr>
          <w:rFonts w:ascii="Times New Roman" w:eastAsia="DengXian" w:hAnsi="Times New Roman"/>
          <w:i/>
          <w:iCs/>
        </w:rPr>
        <w:tab/>
        <w:t>If UE Reader ID(s) is provided by the AF via the NEF for the operation, then that is used as the selected Reader(s) if authorized as UE reader. The AIOTF provides the selected UE Reader(s) to the NG-RAN.</w:t>
      </w:r>
    </w:p>
    <w:p w14:paraId="65C41234" w14:textId="77777777" w:rsidR="009F1C17" w:rsidRPr="009F1C17" w:rsidRDefault="009F1C17" w:rsidP="009F1C17">
      <w:pPr>
        <w:pStyle w:val="EditorsNote"/>
        <w:ind w:left="1855"/>
        <w:rPr>
          <w:rFonts w:eastAsia="DengXian"/>
          <w:i/>
          <w:iCs/>
        </w:rPr>
      </w:pPr>
      <w:r w:rsidRPr="009F1C17">
        <w:rPr>
          <w:rFonts w:eastAsia="DengXian"/>
          <w:i/>
          <w:iCs/>
        </w:rPr>
        <w:t>Editor's note:</w:t>
      </w:r>
      <w:r w:rsidRPr="009F1C17">
        <w:rPr>
          <w:rFonts w:eastAsia="DengXian"/>
          <w:i/>
          <w:iCs/>
        </w:rPr>
        <w:tab/>
        <w:t>How to select UE reader(s) based on the AF provided area information is FFS.</w:t>
      </w:r>
    </w:p>
    <w:p w14:paraId="2DFB333A" w14:textId="77777777" w:rsidR="009F1C17" w:rsidRPr="009F1C17" w:rsidRDefault="009F1C17" w:rsidP="009F1C17">
      <w:pPr>
        <w:overflowPunct/>
        <w:autoSpaceDE/>
        <w:autoSpaceDN/>
        <w:adjustRightInd/>
        <w:ind w:left="720"/>
        <w:textAlignment w:val="auto"/>
        <w:rPr>
          <w:rFonts w:ascii="Times New Roman" w:eastAsia="DengXian" w:hAnsi="Times New Roman"/>
          <w:b/>
          <w:bCs/>
          <w:i/>
          <w:iCs/>
        </w:rPr>
      </w:pPr>
      <w:r w:rsidRPr="009F1C17">
        <w:rPr>
          <w:rFonts w:ascii="Times New Roman" w:eastAsia="DengXian" w:hAnsi="Times New Roman"/>
          <w:b/>
          <w:bCs/>
          <w:i/>
          <w:iCs/>
        </w:rPr>
        <w:t>UE reader ID allocation:</w:t>
      </w:r>
    </w:p>
    <w:p w14:paraId="18E905D9" w14:textId="77777777" w:rsidR="009F1C17" w:rsidRPr="009F1C17" w:rsidRDefault="009F1C17" w:rsidP="009F1C17">
      <w:pPr>
        <w:pStyle w:val="EditorsNote"/>
        <w:ind w:left="1855"/>
        <w:rPr>
          <w:rFonts w:eastAsia="DengXian"/>
          <w:i/>
          <w:iCs/>
        </w:rPr>
      </w:pPr>
      <w:r w:rsidRPr="009F1C17">
        <w:rPr>
          <w:rFonts w:eastAsia="DengXian"/>
          <w:i/>
          <w:iCs/>
        </w:rPr>
        <w:t>Editor's note:</w:t>
      </w:r>
      <w:r w:rsidRPr="009F1C17">
        <w:rPr>
          <w:rFonts w:eastAsia="DengXian"/>
          <w:i/>
          <w:iCs/>
        </w:rPr>
        <w:tab/>
        <w:t>Whether and how to allocate the UE reader ID is FFS.</w:t>
      </w:r>
    </w:p>
    <w:p w14:paraId="4E0E6166" w14:textId="07005B6D" w:rsidR="00CD7395" w:rsidRPr="00117327" w:rsidRDefault="00CD7395" w:rsidP="00117327"/>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005A00CD" w14:textId="0D1C3D08" w:rsidR="008D2AEE" w:rsidRPr="008D2AEE" w:rsidRDefault="008D2AEE" w:rsidP="008D2AEE">
      <w:pPr>
        <w:pStyle w:val="Heading2"/>
      </w:pPr>
      <w:r>
        <w:t>2.1</w:t>
      </w:r>
      <w:r>
        <w:tab/>
        <w:t>General</w:t>
      </w:r>
    </w:p>
    <w:p w14:paraId="70A2F3B1" w14:textId="7827C300" w:rsidR="009F1C17" w:rsidRDefault="001B6A75" w:rsidP="00DB5364">
      <w:r>
        <w:t xml:space="preserve">Summarising the TR content quoted above, </w:t>
      </w:r>
      <w:r w:rsidR="009F1C17">
        <w:t xml:space="preserve">there are 2 </w:t>
      </w:r>
      <w:r>
        <w:t xml:space="preserve">"cases" outlined how the AF communicates "where" to apply an A-IoT transaction in case of </w:t>
      </w:r>
      <w:r w:rsidR="009F1C17">
        <w:t>topology 2:</w:t>
      </w:r>
    </w:p>
    <w:p w14:paraId="509763C6" w14:textId="0E2BC523" w:rsidR="009F1C17" w:rsidRDefault="00AE020F" w:rsidP="009F1C17">
      <w:pPr>
        <w:pStyle w:val="B1"/>
      </w:pPr>
      <w:r>
        <w:t>Case 1:</w:t>
      </w:r>
      <w:r w:rsidR="009F1C17">
        <w:tab/>
        <w:t>The AF provides a "UE Reader ID(s)"</w:t>
      </w:r>
    </w:p>
    <w:p w14:paraId="67D6404D" w14:textId="449473D0" w:rsidR="00DB5364" w:rsidRDefault="00AE020F" w:rsidP="009F1C17">
      <w:pPr>
        <w:pStyle w:val="B1"/>
      </w:pPr>
      <w:r>
        <w:t>Case 2:</w:t>
      </w:r>
      <w:r w:rsidR="009F1C17">
        <w:tab/>
        <w:t>The AF provides an "Area"</w:t>
      </w:r>
    </w:p>
    <w:p w14:paraId="7EA0302B" w14:textId="735BA2CC" w:rsidR="009F1C17" w:rsidRDefault="009F1C17" w:rsidP="009F1C17">
      <w:r>
        <w:t xml:space="preserve">To our understanding, these </w:t>
      </w:r>
      <w:r w:rsidR="001B6A75">
        <w:t xml:space="preserve">"cases" </w:t>
      </w:r>
      <w:r>
        <w:t xml:space="preserve">can be deduced from 2 different </w:t>
      </w:r>
      <w:r w:rsidR="001B6A75">
        <w:t>scenarios</w:t>
      </w:r>
      <w:r>
        <w:t>:</w:t>
      </w:r>
    </w:p>
    <w:p w14:paraId="00BE2E35" w14:textId="27A7DE75" w:rsidR="009F1C17" w:rsidRDefault="009F1C17" w:rsidP="009F1C17">
      <w:pPr>
        <w:pStyle w:val="B1"/>
      </w:pPr>
      <w:r>
        <w:t>-</w:t>
      </w:r>
      <w:r>
        <w:tab/>
        <w:t>the trigger for the A-IoT transaction stems from a UE Reader itself</w:t>
      </w:r>
    </w:p>
    <w:p w14:paraId="265B2395" w14:textId="7F01FF9C" w:rsidR="009F1C17" w:rsidRDefault="009F1C17" w:rsidP="009F1C17">
      <w:pPr>
        <w:pStyle w:val="B1"/>
      </w:pPr>
      <w:r>
        <w:t>-</w:t>
      </w:r>
      <w:r>
        <w:tab/>
        <w:t>the trigger for the A-IoT transaction stems from an application "outside" UE Reader(s).</w:t>
      </w:r>
    </w:p>
    <w:p w14:paraId="4E462C44" w14:textId="580EBDE0" w:rsidR="009F1C17" w:rsidRDefault="008D2AEE" w:rsidP="009F1C17">
      <w:r>
        <w:t>So, functionally, providing an "Area" to indicate "where" the transaction shall be executed, can be performed by means of Reader Lists or actual area indications. This is nothing new, with respect to Rel-19 functionality</w:t>
      </w:r>
      <w:r w:rsidR="001B6A75">
        <w:t>:</w:t>
      </w:r>
      <w:r>
        <w:t xml:space="preserve"> NGAP supports this flexibility by means of proper definition of the </w:t>
      </w:r>
      <w:r>
        <w:rPr>
          <w:i/>
          <w:iCs/>
        </w:rPr>
        <w:t xml:space="preserve">Requested Service Area Information </w:t>
      </w:r>
      <w:r>
        <w:t>IE.</w:t>
      </w:r>
    </w:p>
    <w:p w14:paraId="5DEDF347" w14:textId="2B8403CC" w:rsidR="008D2AEE" w:rsidRDefault="008D2AEE" w:rsidP="009F1C17">
      <w:r>
        <w:lastRenderedPageBreak/>
        <w:t xml:space="preserve">Interesting also to read in the SA2 TR that the AF may provide such </w:t>
      </w:r>
      <w:r w:rsidRPr="008D2AEE">
        <w:rPr>
          <w:i/>
          <w:iCs/>
        </w:rPr>
        <w:t>Requested Service Area Information</w:t>
      </w:r>
      <w:r>
        <w:t xml:space="preserve"> for all types of UE readers</w:t>
      </w:r>
      <w:r w:rsidR="001B6A75">
        <w:t xml:space="preserve"> - </w:t>
      </w:r>
      <w:r>
        <w:t xml:space="preserve">along </w:t>
      </w:r>
      <w:r w:rsidR="001B6A75">
        <w:t xml:space="preserve">SA2 </w:t>
      </w:r>
      <w:r>
        <w:t xml:space="preserve">discussions we followed, this reflects also discussions we had in RAN3 regarding </w:t>
      </w:r>
      <w:r w:rsidR="001B6A75">
        <w:t xml:space="preserve">the </w:t>
      </w:r>
      <w:r>
        <w:t xml:space="preserve">deployment of UE readers, i.e. "stationary" or "mobile" UE readers, which nicely maps to the 2 different </w:t>
      </w:r>
      <w:r w:rsidR="001B6A75">
        <w:t>"</w:t>
      </w:r>
      <w:r>
        <w:t>cases</w:t>
      </w:r>
      <w:r w:rsidR="001B6A75">
        <w:t>"</w:t>
      </w:r>
      <w:r>
        <w:t xml:space="preserve"> indicate</w:t>
      </w:r>
      <w:r w:rsidR="001B6A75">
        <w:t>d</w:t>
      </w:r>
      <w:r>
        <w:t xml:space="preserve"> above.</w:t>
      </w:r>
    </w:p>
    <w:p w14:paraId="1313F964" w14:textId="196D7B7A" w:rsidR="008D2AEE" w:rsidRDefault="008D2AEE" w:rsidP="009F1C17">
      <w:r>
        <w:t xml:space="preserve">Let us continue </w:t>
      </w:r>
      <w:r w:rsidR="001B6A75">
        <w:t>by</w:t>
      </w:r>
      <w:r>
        <w:t xml:space="preserve"> looking into </w:t>
      </w:r>
      <w:r w:rsidR="001B6A75">
        <w:t xml:space="preserve">details along </w:t>
      </w:r>
      <w:r>
        <w:t>flow charts that outline those above mentioned possibilities:</w:t>
      </w:r>
    </w:p>
    <w:p w14:paraId="0D128241" w14:textId="361042B5" w:rsidR="008D2AEE" w:rsidRDefault="008D2AEE" w:rsidP="008D2AEE">
      <w:pPr>
        <w:pStyle w:val="Heading2"/>
      </w:pPr>
      <w:r>
        <w:t>2.2</w:t>
      </w:r>
      <w:r>
        <w:tab/>
        <w:t>A mobile UE Reader triggers the A-IoT transaction</w:t>
      </w:r>
    </w:p>
    <w:p w14:paraId="167C3E28" w14:textId="1CB30D66" w:rsidR="008D2AEE" w:rsidRDefault="002E2F7F" w:rsidP="008D2AEE">
      <w:pPr>
        <w:pStyle w:val="TH"/>
      </w:pPr>
      <w:r>
        <w:object w:dxaOrig="13993" w:dyaOrig="6852" w14:anchorId="0848F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4.2pt" o:ole="">
            <v:imagedata r:id="rId11" o:title=""/>
          </v:shape>
          <o:OLEObject Type="Embed" ProgID="Visio.Drawing.15" ShapeID="_x0000_i1025" DrawAspect="Content" ObjectID="_1831225410" r:id="rId12"/>
        </w:object>
      </w:r>
    </w:p>
    <w:p w14:paraId="66FC2D3F" w14:textId="27336421" w:rsidR="008D2AEE" w:rsidRPr="008D2AEE" w:rsidRDefault="008D2AEE" w:rsidP="008D2AEE">
      <w:pPr>
        <w:pStyle w:val="TF"/>
      </w:pPr>
      <w:r>
        <w:t>Figure 2.2-1: A mobile UE Reader triggers an inventory request</w:t>
      </w:r>
    </w:p>
    <w:p w14:paraId="528C7789" w14:textId="77777777" w:rsidR="00AE020F" w:rsidRDefault="008D2AEE" w:rsidP="008D2AEE">
      <w:r>
        <w:t xml:space="preserve">Steps 0a-c outline the assumptions that are made for this scenario. </w:t>
      </w:r>
    </w:p>
    <w:p w14:paraId="322EE6A6" w14:textId="7B2719F8" w:rsidR="008D2AEE" w:rsidRDefault="00AE020F" w:rsidP="008D2AEE">
      <w:r>
        <w:t>Note, that t</w:t>
      </w:r>
      <w:r w:rsidR="008D2AEE">
        <w:t xml:space="preserve">he green coloured steps are directly </w:t>
      </w:r>
      <w:r>
        <w:t>along S</w:t>
      </w:r>
      <w:r w:rsidR="008D2AEE">
        <w:t>A2 TR</w:t>
      </w:r>
      <w:r>
        <w:t>'s content</w:t>
      </w:r>
      <w:r w:rsidR="008D2AEE">
        <w:t xml:space="preserve">, the blue steps are </w:t>
      </w:r>
      <w:r>
        <w:t xml:space="preserve">more-or-less directly </w:t>
      </w:r>
      <w:r w:rsidR="008D2AEE">
        <w:t xml:space="preserve">derived from the SA2 TR, the black steps are RAN </w:t>
      </w:r>
      <w:r>
        <w:t>related</w:t>
      </w:r>
      <w:r w:rsidR="008D2AEE">
        <w:t xml:space="preserve"> consequences.</w:t>
      </w:r>
    </w:p>
    <w:p w14:paraId="51CDE656" w14:textId="74FFEC1C" w:rsidR="002E2F7F" w:rsidRDefault="002E2F7F" w:rsidP="008D2AEE">
      <w:r>
        <w:t>As can be seen, SA2 discussions have been led to assume that the AIOTF and the AF are configured with a permanent identifier of the UE Reader, known to the 5GS (SUPI, GPSI)</w:t>
      </w:r>
      <w:r w:rsidR="00AE020F">
        <w:t xml:space="preserve"> </w:t>
      </w:r>
      <w:r>
        <w:t>(</w:t>
      </w:r>
      <w:r w:rsidR="00AE020F">
        <w:t xml:space="preserve">== </w:t>
      </w:r>
      <w:r>
        <w:t>Subscription Permanent Identifier, Generic Public Subscription Identifier), which the AF may use to trigger the 5GS to perform the respective A-IoT transaction.</w:t>
      </w:r>
    </w:p>
    <w:p w14:paraId="2311C1F9" w14:textId="40D7A26B" w:rsidR="002E2F7F" w:rsidRDefault="002E2F7F" w:rsidP="008D2AEE">
      <w:r>
        <w:t xml:space="preserve">We have been observing SA2 discussions, that will most likely converge into allowing the AIOTF to retrieve a UE context identifier from the </w:t>
      </w:r>
      <w:r w:rsidR="00AE020F">
        <w:t xml:space="preserve">AMF </w:t>
      </w:r>
      <w:r>
        <w:t xml:space="preserve">serving </w:t>
      </w:r>
      <w:r w:rsidR="00AE020F">
        <w:t>the UE Reader in question, which</w:t>
      </w:r>
      <w:r>
        <w:t xml:space="preserve"> allows the AIOTF to issue the Inventory Request (via the AMF) to NG-RAN, most likely by means of the UE Reader's UE NGAP IDs.</w:t>
      </w:r>
    </w:p>
    <w:p w14:paraId="216DB1FA" w14:textId="501FB9A9" w:rsidR="00237F7C" w:rsidRDefault="00237F7C" w:rsidP="00237F7C">
      <w:pPr>
        <w:pStyle w:val="Eyecatcher"/>
      </w:pPr>
      <w:r>
        <w:t>Observation</w:t>
      </w:r>
      <w:r w:rsidR="002E2F7F">
        <w:t xml:space="preserve"> 1</w:t>
      </w:r>
      <w:r>
        <w:t>:</w:t>
      </w:r>
      <w:r>
        <w:tab/>
      </w:r>
      <w:r w:rsidR="002E2F7F">
        <w:tab/>
        <w:t xml:space="preserve">The use case where a single (mobile) UE Reader triggers the A-IoT transaction will most likely result in an extension of the </w:t>
      </w:r>
      <w:r w:rsidR="002E2F7F" w:rsidRPr="002E2F7F">
        <w:rPr>
          <w:i/>
          <w:iCs/>
        </w:rPr>
        <w:t>Requested Service Area Information</w:t>
      </w:r>
      <w:r w:rsidR="002E2F7F">
        <w:t xml:space="preserve"> IE, i.e. including the possibility to include an (CM-CONNECTED) UE Reader's UE NGAP IDs.</w:t>
      </w:r>
    </w:p>
    <w:p w14:paraId="3E23A1B9" w14:textId="60E0C4B6" w:rsidR="002E2F7F" w:rsidRDefault="002E2F7F" w:rsidP="002E2F7F">
      <w:pPr>
        <w:pStyle w:val="Heading2"/>
      </w:pPr>
      <w:r>
        <w:lastRenderedPageBreak/>
        <w:t>2.3</w:t>
      </w:r>
      <w:r>
        <w:tab/>
      </w:r>
      <w:r w:rsidR="008258F7">
        <w:t xml:space="preserve">AF triggers </w:t>
      </w:r>
      <w:r>
        <w:t>A-IoT transaction</w:t>
      </w:r>
      <w:r w:rsidR="008258F7">
        <w:t xml:space="preserve"> </w:t>
      </w:r>
      <w:r w:rsidR="008B4D6D">
        <w:t xml:space="preserve">within an "Area" </w:t>
      </w:r>
      <w:r w:rsidR="008258F7">
        <w:t>- "Area" translated into UE NGAP IDs</w:t>
      </w:r>
    </w:p>
    <w:p w14:paraId="78001CEE" w14:textId="3D58C196" w:rsidR="002E2F7F" w:rsidRDefault="008258F7" w:rsidP="002E2F7F">
      <w:pPr>
        <w:pStyle w:val="TH"/>
      </w:pPr>
      <w:r>
        <w:object w:dxaOrig="13993" w:dyaOrig="6852" w14:anchorId="0E02FB8F">
          <v:shape id="_x0000_i1026" type="#_x0000_t75" style="width:498pt;height:244.2pt" o:ole="">
            <v:imagedata r:id="rId13" o:title=""/>
          </v:shape>
          <o:OLEObject Type="Embed" ProgID="Visio.Drawing.15" ShapeID="_x0000_i1026" DrawAspect="Content" ObjectID="_1831225411" r:id="rId14"/>
        </w:object>
      </w:r>
    </w:p>
    <w:p w14:paraId="3762D7CA" w14:textId="75BF0C2F" w:rsidR="002E2F7F" w:rsidRPr="008D2AEE" w:rsidRDefault="002E2F7F" w:rsidP="002E2F7F">
      <w:pPr>
        <w:pStyle w:val="TF"/>
      </w:pPr>
      <w:r>
        <w:t>Figure 2.</w:t>
      </w:r>
      <w:r w:rsidR="008258F7">
        <w:t>3</w:t>
      </w:r>
      <w:r>
        <w:t xml:space="preserve">-1: </w:t>
      </w:r>
      <w:r w:rsidR="008258F7">
        <w:t>AF triggered A-IoT transa</w:t>
      </w:r>
      <w:r w:rsidR="008B4D6D">
        <w:t>c</w:t>
      </w:r>
      <w:r w:rsidR="008258F7">
        <w:t>tion</w:t>
      </w:r>
      <w:r w:rsidR="008B4D6D">
        <w:t xml:space="preserve"> within an "Area"</w:t>
      </w:r>
      <w:r w:rsidR="008258F7">
        <w:t xml:space="preserve"> - "Area" translated into UE NGAP IDs</w:t>
      </w:r>
    </w:p>
    <w:p w14:paraId="1CAA26C7" w14:textId="7817C627" w:rsidR="008B4D6D" w:rsidRDefault="008B4D6D" w:rsidP="002E2F7F">
      <w:r>
        <w:t xml:space="preserve">The respective deployment scenario for A-IoT transactions concerning "Areas" is a well configured and deployed set of </w:t>
      </w:r>
      <w:r w:rsidR="00C84DFA">
        <w:t xml:space="preserve">stationary </w:t>
      </w:r>
      <w:r>
        <w:t>UE readers that cover such "Area" in its entirety.</w:t>
      </w:r>
    </w:p>
    <w:p w14:paraId="74283E39" w14:textId="2FFE4D5C" w:rsidR="008258F7" w:rsidRDefault="002E2F7F" w:rsidP="002E2F7F">
      <w:r>
        <w:t xml:space="preserve">Steps 0a-c outline </w:t>
      </w:r>
      <w:r w:rsidR="008258F7">
        <w:t xml:space="preserve">basically the very same assumptions </w:t>
      </w:r>
      <w:r w:rsidR="00C84DFA">
        <w:t>as</w:t>
      </w:r>
      <w:r w:rsidR="008258F7">
        <w:t xml:space="preserve"> for the scenario in section 2.2. The first difference is that </w:t>
      </w:r>
      <w:r>
        <w:t xml:space="preserve">the </w:t>
      </w:r>
      <w:r w:rsidR="008258F7">
        <w:t>AF doesn’t need to contain UE Reader information</w:t>
      </w:r>
      <w:r w:rsidR="00AE020F">
        <w:t xml:space="preserve"> ...</w:t>
      </w:r>
    </w:p>
    <w:p w14:paraId="4346013A" w14:textId="074AF55B" w:rsidR="008258F7" w:rsidRDefault="00AE020F" w:rsidP="002E2F7F">
      <w:r>
        <w:t>... as i</w:t>
      </w:r>
      <w:r w:rsidR="008258F7">
        <w:t>n step 1, the AF indicates the "area" for the A-IoT transaction by means of identifiers corresponding to geographical areas</w:t>
      </w:r>
      <w:r>
        <w:t xml:space="preserve"> ("Case 2")</w:t>
      </w:r>
      <w:r w:rsidR="008258F7">
        <w:t>.</w:t>
      </w:r>
    </w:p>
    <w:p w14:paraId="343A7CC0" w14:textId="77777777" w:rsidR="008258F7" w:rsidRDefault="008258F7" w:rsidP="002E2F7F">
      <w:r>
        <w:t>In step 2, the UE Reader selection is performed by mapping the "area" to UE Readers.</w:t>
      </w:r>
    </w:p>
    <w:p w14:paraId="71EFA6AD" w14:textId="2FC64D9F" w:rsidR="008258F7" w:rsidRDefault="008258F7" w:rsidP="002E2F7F">
      <w:r>
        <w:t xml:space="preserve">In step 3, the AIOTF needs to determine the serving AMF(s) from the UE Readers so that </w:t>
      </w:r>
      <w:r w:rsidR="00AE020F">
        <w:t>...</w:t>
      </w:r>
    </w:p>
    <w:p w14:paraId="5DD3F59D" w14:textId="6EDED80D" w:rsidR="008258F7" w:rsidRDefault="00AE020F" w:rsidP="002E2F7F">
      <w:r>
        <w:t>... in s</w:t>
      </w:r>
      <w:r w:rsidR="008258F7">
        <w:t>tep 4, the AIOTF can retrieve the UE Readers' UE NGAP IDs.</w:t>
      </w:r>
    </w:p>
    <w:p w14:paraId="643C4AFB" w14:textId="5CF9E6CC" w:rsidR="008258F7" w:rsidRPr="008258F7" w:rsidRDefault="008258F7" w:rsidP="002E2F7F">
      <w:r>
        <w:t xml:space="preserve">As can be seen in step 5, from NGAP point of view, the difference to the previous scenario is that the </w:t>
      </w:r>
      <w:r>
        <w:rPr>
          <w:i/>
          <w:iCs/>
        </w:rPr>
        <w:t xml:space="preserve">Requested Service Area Information </w:t>
      </w:r>
      <w:r>
        <w:t xml:space="preserve">IE would need to carry a </w:t>
      </w:r>
      <w:r w:rsidRPr="00AE020F">
        <w:rPr>
          <w:i/>
          <w:iCs/>
        </w:rPr>
        <w:t>list</w:t>
      </w:r>
      <w:r>
        <w:t xml:space="preserve"> of UE NGAP IDs, along the selected (CM-CONNECTED) UE Readers.</w:t>
      </w:r>
    </w:p>
    <w:p w14:paraId="34F8E1F5" w14:textId="77777777" w:rsidR="008B4D6D" w:rsidRDefault="008B4D6D" w:rsidP="002E2F7F">
      <w:r>
        <w:t>There is however something missing in this approach, which, to our understanding breaks this approach:</w:t>
      </w:r>
    </w:p>
    <w:p w14:paraId="5B0CB704" w14:textId="45970371" w:rsidR="008B4D6D" w:rsidRDefault="008B4D6D" w:rsidP="002E2F7F">
      <w:r>
        <w:t>The NG-RAN node would not be able to co-ordinate the usage of A-IoT radio resources for T2 UE Readers, as it has no information about the UE Readers' topological relations, i.e. in which way each UE reader's UE NGAP IDs relate to the UE readers</w:t>
      </w:r>
      <w:r w:rsidR="00AE020F">
        <w:t>' (mutual)</w:t>
      </w:r>
      <w:r>
        <w:t xml:space="preserve"> topological role (e.g. overlapping neighbours). Without such knowledge the </w:t>
      </w:r>
      <w:proofErr w:type="spellStart"/>
      <w:r>
        <w:t>gNB</w:t>
      </w:r>
      <w:proofErr w:type="spellEnd"/>
      <w:r>
        <w:t xml:space="preserve"> is not able to co-ordinate the UE readers' activities</w:t>
      </w:r>
      <w:r w:rsidR="00AE020F">
        <w:t>, e.g. "silence" some UE Readers while those with overlapping service areas can perform A-IoT operations and then let the previously "silenced" UE Readers perform their tasks</w:t>
      </w:r>
      <w:r>
        <w:t>.</w:t>
      </w:r>
    </w:p>
    <w:p w14:paraId="747C0C8E" w14:textId="40865D09" w:rsidR="008B4D6D" w:rsidRDefault="002E2F7F" w:rsidP="002E2F7F">
      <w:pPr>
        <w:pStyle w:val="Eyecatcher"/>
      </w:pPr>
      <w:r>
        <w:t xml:space="preserve">Observation </w:t>
      </w:r>
      <w:r w:rsidR="008B4D6D">
        <w:t>2</w:t>
      </w:r>
      <w:r>
        <w:t>:</w:t>
      </w:r>
      <w:r>
        <w:tab/>
      </w:r>
      <w:r>
        <w:tab/>
        <w:t xml:space="preserve">The use case where </w:t>
      </w:r>
      <w:r w:rsidR="008B4D6D">
        <w:t xml:space="preserve">the AF triggers an A-IoT transaction within an "Area" and the "Area" is translated into UE NGAP IDs can be in principle supported by indicating a list of UE NGAP IDs within the </w:t>
      </w:r>
      <w:r w:rsidR="008B4D6D">
        <w:rPr>
          <w:i/>
          <w:iCs/>
        </w:rPr>
        <w:t xml:space="preserve">Requested Service Area Information </w:t>
      </w:r>
      <w:r w:rsidR="008B4D6D">
        <w:t xml:space="preserve">IE, however, NG-RAN would not be able to coordinate the usage of A-IoT radio resources among those readers </w:t>
      </w:r>
      <w:r w:rsidR="00AE020F">
        <w:t xml:space="preserve">in the case where the contiguous A-IoT radio coverage within this "Area" is realised by UE readers </w:t>
      </w:r>
      <w:r w:rsidR="00AE020F">
        <w:lastRenderedPageBreak/>
        <w:t>with overlapping service areas. In such typical case NG-RAN would l</w:t>
      </w:r>
      <w:r w:rsidR="008B4D6D">
        <w:t xml:space="preserve">ack knowledge of the UE Reader's </w:t>
      </w:r>
      <w:r w:rsidR="00AE020F">
        <w:t xml:space="preserve">(mutual) </w:t>
      </w:r>
      <w:r w:rsidR="008B4D6D">
        <w:t>topological relations.</w:t>
      </w:r>
    </w:p>
    <w:p w14:paraId="5BB74104" w14:textId="06F30A95" w:rsidR="008B4D6D" w:rsidRDefault="008B4D6D" w:rsidP="008B4D6D">
      <w:pPr>
        <w:pStyle w:val="Heading2"/>
      </w:pPr>
      <w:r>
        <w:t>2.4</w:t>
      </w:r>
      <w:r>
        <w:tab/>
        <w:t>AF triggers A-IoT transaction within an "Area" - "Area" translated into UE Reader IDs</w:t>
      </w:r>
    </w:p>
    <w:p w14:paraId="204629FF" w14:textId="1AE19238" w:rsidR="008B4D6D" w:rsidRDefault="00C84DFA" w:rsidP="008B4D6D">
      <w:pPr>
        <w:pStyle w:val="TH"/>
      </w:pPr>
      <w:r>
        <w:object w:dxaOrig="14498" w:dyaOrig="6290" w14:anchorId="339B6032">
          <v:shape id="_x0000_i1027" type="#_x0000_t75" style="width:498.6pt;height:3in" o:ole="">
            <v:imagedata r:id="rId15" o:title=""/>
          </v:shape>
          <o:OLEObject Type="Embed" ProgID="Visio.Drawing.15" ShapeID="_x0000_i1027" DrawAspect="Content" ObjectID="_1831225412" r:id="rId16"/>
        </w:object>
      </w:r>
    </w:p>
    <w:p w14:paraId="3EC5D28F" w14:textId="62013183" w:rsidR="008B4D6D" w:rsidRPr="008D2AEE" w:rsidRDefault="008B4D6D" w:rsidP="008B4D6D">
      <w:pPr>
        <w:pStyle w:val="TF"/>
      </w:pPr>
      <w:r>
        <w:t>Figure 2.4-1: AF triggered A-IoT transaction within an "Area" - "Area" translated into UE Reader IDs</w:t>
      </w:r>
    </w:p>
    <w:p w14:paraId="462B9742" w14:textId="4D3C7FA6" w:rsidR="008B4D6D" w:rsidRDefault="00C84DFA" w:rsidP="008B4D6D">
      <w:r>
        <w:t>As in the previous scenario, t</w:t>
      </w:r>
      <w:r w:rsidR="008B4D6D">
        <w:t xml:space="preserve">he respective deployment scenario for A-IoT transactions concerning "Areas" is a well configured and deployed set of </w:t>
      </w:r>
      <w:r>
        <w:t xml:space="preserve">stationary </w:t>
      </w:r>
      <w:r w:rsidR="008B4D6D">
        <w:t>UE readers that cover such "Area" in its entirety.</w:t>
      </w:r>
    </w:p>
    <w:p w14:paraId="11569A9E" w14:textId="36A5CAC9" w:rsidR="008B4D6D" w:rsidRDefault="008B4D6D" w:rsidP="008B4D6D">
      <w:r>
        <w:t>Steps 0</w:t>
      </w:r>
      <w:r w:rsidR="00C84DFA">
        <w:t>c</w:t>
      </w:r>
      <w:r>
        <w:t>-</w:t>
      </w:r>
      <w:r w:rsidR="00C84DFA">
        <w:t>d</w:t>
      </w:r>
      <w:r>
        <w:t xml:space="preserve"> outline basically the very same assumptions </w:t>
      </w:r>
      <w:r w:rsidR="00C84DFA">
        <w:t>as</w:t>
      </w:r>
      <w:r>
        <w:t xml:space="preserve"> for the scenario in section 2.</w:t>
      </w:r>
      <w:r w:rsidR="00C84DFA">
        <w:t>3</w:t>
      </w:r>
      <w:r>
        <w:t xml:space="preserve">. </w:t>
      </w:r>
      <w:r w:rsidR="00C84DFA">
        <w:t>The only difference is that we assume that it is not possible to operate this scenario along SUPI/GPSIs, as the later discussed involvement of NG-RAN would allow that from a security point of view.</w:t>
      </w:r>
    </w:p>
    <w:p w14:paraId="4276587E" w14:textId="0F2DC858" w:rsidR="008B4D6D" w:rsidRDefault="00C84DFA" w:rsidP="008B4D6D">
      <w:r>
        <w:t>Step 1 is the same as in the scenario in section 2.3</w:t>
      </w:r>
    </w:p>
    <w:p w14:paraId="512DC359" w14:textId="6B2D913F" w:rsidR="008B4D6D" w:rsidRDefault="008B4D6D" w:rsidP="008B4D6D">
      <w:r>
        <w:t>In step 2, the UE Reader selection is performed by mapping the "area" to UE Readers</w:t>
      </w:r>
      <w:r w:rsidR="00C84DFA">
        <w:t xml:space="preserve">, in case the "Area" is indicated to the </w:t>
      </w:r>
      <w:proofErr w:type="spellStart"/>
      <w:r w:rsidR="00C84DFA">
        <w:t>gNB</w:t>
      </w:r>
      <w:proofErr w:type="spellEnd"/>
      <w:r w:rsidR="00C84DFA">
        <w:t xml:space="preserve"> by means of a list of UE Readers</w:t>
      </w:r>
      <w:r>
        <w:t>.</w:t>
      </w:r>
    </w:p>
    <w:p w14:paraId="3C581E6C" w14:textId="157B4752" w:rsidR="00C84DFA" w:rsidRDefault="00C84DFA" w:rsidP="008B4D6D">
      <w:r>
        <w:t>No UE NGAP IDs need to be fetched from the UE Reader's serving AMF, which could be quite cumbersome in case of long lists.</w:t>
      </w:r>
    </w:p>
    <w:p w14:paraId="15DF9597" w14:textId="77777777" w:rsidR="00C84DFA" w:rsidRDefault="008B4D6D" w:rsidP="008B4D6D">
      <w:r>
        <w:t xml:space="preserve">As can be seen in step </w:t>
      </w:r>
      <w:r w:rsidR="00C84DFA">
        <w:t>3</w:t>
      </w:r>
      <w:r>
        <w:t xml:space="preserve">, from NGAP point of view, </w:t>
      </w:r>
      <w:r w:rsidR="00C84DFA">
        <w:t xml:space="preserve">assuming that the UE Reader ID has the same format as the Rel-19 Reader ID, there would not be any impact to NGAP, as "Area IDs" and "Reader IDs" can be indicated in the </w:t>
      </w:r>
      <w:r w:rsidR="00C84DFA">
        <w:rPr>
          <w:i/>
          <w:iCs/>
        </w:rPr>
        <w:t xml:space="preserve">Requested Service Area Information </w:t>
      </w:r>
      <w:r w:rsidR="00C84DFA">
        <w:t>IE already since Rel-19.</w:t>
      </w:r>
    </w:p>
    <w:p w14:paraId="2F75E81D" w14:textId="77777777" w:rsidR="00816372" w:rsidRDefault="00C84DFA" w:rsidP="008B4D6D">
      <w:r>
        <w:t xml:space="preserve">In order to allow </w:t>
      </w:r>
      <w:proofErr w:type="spellStart"/>
      <w:r>
        <w:t>gNB</w:t>
      </w:r>
      <w:proofErr w:type="spellEnd"/>
      <w:r>
        <w:t xml:space="preserve"> to utilise topology information of </w:t>
      </w:r>
      <w:r w:rsidR="00976515">
        <w:t xml:space="preserve">those well deployed stationary UE readers, the </w:t>
      </w:r>
      <w:proofErr w:type="spellStart"/>
      <w:r w:rsidR="00976515">
        <w:t>gNB</w:t>
      </w:r>
      <w:proofErr w:type="spellEnd"/>
      <w:r w:rsidR="00976515">
        <w:t xml:space="preserve"> would need to be able to map the UE Context of the RRC_CONNECTED UE to the UE Reader ID indicated by the AIOTF (or mapped from </w:t>
      </w:r>
      <w:r w:rsidR="00816372">
        <w:t>Area IDs).</w:t>
      </w:r>
    </w:p>
    <w:p w14:paraId="33B27174" w14:textId="77777777" w:rsidR="00816372" w:rsidRDefault="00816372" w:rsidP="008B4D6D">
      <w:r>
        <w:t xml:space="preserve">To make this possible, the only way we see is to require from the UE Reader to provide its previously configured UE Reader ID by RRC means to the </w:t>
      </w:r>
      <w:proofErr w:type="spellStart"/>
      <w:r>
        <w:t>gNB</w:t>
      </w:r>
      <w:proofErr w:type="spellEnd"/>
      <w:r>
        <w:t xml:space="preserve"> at transition from RRC_IDLE to RRC_CONNECTED, as illustrated in steps 0a, 0b, 0e and 0f.</w:t>
      </w:r>
    </w:p>
    <w:p w14:paraId="1ECFC304" w14:textId="35DB9D80" w:rsidR="008B4D6D" w:rsidRDefault="008B4D6D" w:rsidP="008B4D6D">
      <w:pPr>
        <w:pStyle w:val="Eyecatcher"/>
      </w:pPr>
      <w:r>
        <w:t xml:space="preserve">Observation </w:t>
      </w:r>
      <w:r w:rsidR="00816372">
        <w:t>3</w:t>
      </w:r>
      <w:r>
        <w:t>:</w:t>
      </w:r>
      <w:r>
        <w:tab/>
      </w:r>
      <w:r>
        <w:tab/>
      </w:r>
      <w:r w:rsidR="00816372">
        <w:t xml:space="preserve">If the mapping of "Areas" to UE Readers is based on equivalent identifiers </w:t>
      </w:r>
      <w:r w:rsidR="00AE020F">
        <w:t>as</w:t>
      </w:r>
      <w:r w:rsidR="00816372">
        <w:t xml:space="preserve"> the Rel-19 Reader ID, </w:t>
      </w:r>
      <w:r w:rsidR="00527409">
        <w:t xml:space="preserve">the </w:t>
      </w:r>
      <w:proofErr w:type="spellStart"/>
      <w:r w:rsidR="00527409">
        <w:t>gNB</w:t>
      </w:r>
      <w:proofErr w:type="spellEnd"/>
      <w:r w:rsidR="00527409">
        <w:t xml:space="preserve"> would be able </w:t>
      </w:r>
      <w:r w:rsidR="00816372">
        <w:t xml:space="preserve">to perform necessary co-ordination of A-IoT radio resources among UE Readers, provided the UE readers signal such "Reader ID" to the </w:t>
      </w:r>
      <w:proofErr w:type="spellStart"/>
      <w:r w:rsidR="00816372">
        <w:t>gNB</w:t>
      </w:r>
      <w:proofErr w:type="spellEnd"/>
      <w:r w:rsidR="00816372">
        <w:t xml:space="preserve"> at RRC Connection establishment.</w:t>
      </w:r>
    </w:p>
    <w:p w14:paraId="3906E886" w14:textId="77777777" w:rsidR="00237F7C" w:rsidRPr="00DB5364" w:rsidRDefault="00237F7C" w:rsidP="00DB5364"/>
    <w:p w14:paraId="591324FC" w14:textId="77777777" w:rsidR="00501135" w:rsidRDefault="00501135">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Pr>
          <w:rFonts w:cs="Arial"/>
        </w:rPr>
        <w:lastRenderedPageBreak/>
        <w:t>3</w:t>
      </w:r>
      <w:r>
        <w:rPr>
          <w:rFonts w:cs="Arial"/>
        </w:rPr>
        <w:tab/>
      </w:r>
      <w:r w:rsidR="0001024C">
        <w:rPr>
          <w:rFonts w:cs="Arial"/>
        </w:rPr>
        <w:t>Conclusion and Proposals</w:t>
      </w:r>
      <w:bookmarkEnd w:id="16"/>
      <w:bookmarkEnd w:id="17"/>
      <w:bookmarkEnd w:id="18"/>
      <w:bookmarkEnd w:id="19"/>
      <w:bookmarkEnd w:id="20"/>
      <w:bookmarkEnd w:id="21"/>
      <w:bookmarkEnd w:id="22"/>
    </w:p>
    <w:p w14:paraId="63DDEF92" w14:textId="77777777" w:rsidR="00816372" w:rsidRDefault="00816372" w:rsidP="00D80F19">
      <w:r>
        <w:t>We have reviewed the current status in RAN3 and SA2 and observed the following:</w:t>
      </w:r>
    </w:p>
    <w:p w14:paraId="093CD800" w14:textId="77777777" w:rsidR="00816372" w:rsidRDefault="00816372" w:rsidP="00816372">
      <w:pPr>
        <w:pStyle w:val="Eyecatcher"/>
      </w:pPr>
      <w:r>
        <w:t>Observation 1:</w:t>
      </w:r>
      <w:r>
        <w:tab/>
      </w:r>
      <w:r>
        <w:tab/>
        <w:t xml:space="preserve">The use case where a single (mobile) UE Reader triggers the A-IoT transaction will most likely result in an extension of the </w:t>
      </w:r>
      <w:r w:rsidRPr="002E2F7F">
        <w:rPr>
          <w:i/>
          <w:iCs/>
        </w:rPr>
        <w:t>Requested Service Area Information</w:t>
      </w:r>
      <w:r>
        <w:t xml:space="preserve"> IE, i.e. including the possibility to include an (CM-CONNECTED) UE Reader's UE NGAP IDs.</w:t>
      </w:r>
    </w:p>
    <w:p w14:paraId="178A9CB9" w14:textId="77777777" w:rsidR="00AE020F" w:rsidRDefault="00AE020F" w:rsidP="00AE020F">
      <w:pPr>
        <w:pStyle w:val="Eyecatcher"/>
      </w:pPr>
      <w:r>
        <w:t>Observation 2:</w:t>
      </w:r>
      <w:r>
        <w:tab/>
      </w:r>
      <w:r>
        <w:tab/>
        <w:t xml:space="preserve">The use case where the AF triggers an A-IoT transaction within an "Area" and the "Area" is translated into UE NGAP IDs can be in principle supported by indicating a list of UE NGAP IDs within the </w:t>
      </w:r>
      <w:r>
        <w:rPr>
          <w:i/>
          <w:iCs/>
        </w:rPr>
        <w:t xml:space="preserve">Requested Service Area Information </w:t>
      </w:r>
      <w:r>
        <w:t>IE, however, NG-RAN would not be able to coordinate the usage of A-IoT radio resources among those readers in the case where the contiguous A-IoT radio coverage within this "Area" is realised by UE readers with overlapping service areas. In such typical case NG-RAN would lack knowledge of the UE Reader's (mutual) topological relations.</w:t>
      </w:r>
    </w:p>
    <w:p w14:paraId="7D3F94EE" w14:textId="77777777" w:rsidR="00527409" w:rsidRDefault="00527409" w:rsidP="00527409">
      <w:pPr>
        <w:pStyle w:val="Eyecatcher"/>
      </w:pPr>
      <w:r>
        <w:t>Observation 3:</w:t>
      </w:r>
      <w:r>
        <w:tab/>
      </w:r>
      <w:r>
        <w:tab/>
        <w:t xml:space="preserve">If the mapping of "Areas" to UE Readers is based on equivalent identifiers as the Rel-19 Reader ID, the </w:t>
      </w:r>
      <w:proofErr w:type="spellStart"/>
      <w:r>
        <w:t>gNB</w:t>
      </w:r>
      <w:proofErr w:type="spellEnd"/>
      <w:r>
        <w:t xml:space="preserve"> would be able to perform necessary co-ordination of A-IoT radio resources among UE Readers, provided the UE readers signal such "Reader ID" to the </w:t>
      </w:r>
      <w:proofErr w:type="spellStart"/>
      <w:r>
        <w:t>gNB</w:t>
      </w:r>
      <w:proofErr w:type="spellEnd"/>
      <w:r>
        <w:t xml:space="preserve"> at RRC Connection establishment.</w:t>
      </w:r>
    </w:p>
    <w:p w14:paraId="6F08C1E2" w14:textId="4D8C8626" w:rsidR="006A461D" w:rsidRDefault="00816372" w:rsidP="00D80F19">
      <w:r>
        <w:t>We propose:</w:t>
      </w:r>
    </w:p>
    <w:p w14:paraId="17FEB2EA" w14:textId="33FA034B" w:rsidR="00816372" w:rsidRDefault="00816372" w:rsidP="00816372">
      <w:pPr>
        <w:pStyle w:val="Eyecatcher"/>
      </w:pPr>
      <w:r>
        <w:t>Proposal:</w:t>
      </w:r>
      <w:r>
        <w:tab/>
        <w:t>Discuss the above observations and</w:t>
      </w:r>
      <w:r w:rsidR="00527409">
        <w:t>,</w:t>
      </w:r>
      <w:r>
        <w:t xml:space="preserve"> if agreeable</w:t>
      </w:r>
      <w:r w:rsidR="00527409">
        <w:t>,</w:t>
      </w:r>
      <w:r>
        <w:t xml:space="preserve"> contact RAN2 and request them to include the possibility for UE Readers to indicate their configure Reader ID to the </w:t>
      </w:r>
      <w:proofErr w:type="spellStart"/>
      <w:r>
        <w:t>gNB</w:t>
      </w:r>
      <w:proofErr w:type="spellEnd"/>
      <w:r>
        <w:t xml:space="preserve">. </w:t>
      </w:r>
      <w:r w:rsidR="00527409">
        <w:t>We suggest to contact SA2 on that approach as well.</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p w14:paraId="1621B1C5" w14:textId="77777777"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3"/>
    </w:p>
    <w:sectPr w:rsidR="00CD7395" w:rsidRPr="006763C7" w:rsidSect="00E71F43">
      <w:footerReference w:type="even" r:id="rId17"/>
      <w:footerReference w:type="default" r:id="rId1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476AC" w14:textId="77777777" w:rsidR="00D90D01" w:rsidRDefault="00D90D01">
      <w:r>
        <w:separator/>
      </w:r>
    </w:p>
  </w:endnote>
  <w:endnote w:type="continuationSeparator" w:id="0">
    <w:p w14:paraId="7DB824E7" w14:textId="77777777" w:rsidR="00D90D01" w:rsidRDefault="00D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B54DA" w14:textId="77777777" w:rsidR="00D90D01" w:rsidRDefault="00D90D01">
      <w:r>
        <w:separator/>
      </w:r>
    </w:p>
  </w:footnote>
  <w:footnote w:type="continuationSeparator" w:id="0">
    <w:p w14:paraId="335B6AB7" w14:textId="77777777" w:rsidR="00D90D01" w:rsidRDefault="00D9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B318F"/>
    <w:rsid w:val="000C2BFF"/>
    <w:rsid w:val="000D77DB"/>
    <w:rsid w:val="000F02C3"/>
    <w:rsid w:val="0010503B"/>
    <w:rsid w:val="00117327"/>
    <w:rsid w:val="00122EA7"/>
    <w:rsid w:val="00126984"/>
    <w:rsid w:val="001601A9"/>
    <w:rsid w:val="00162A98"/>
    <w:rsid w:val="001634D2"/>
    <w:rsid w:val="001B6A75"/>
    <w:rsid w:val="001D1142"/>
    <w:rsid w:val="001D3360"/>
    <w:rsid w:val="00203F86"/>
    <w:rsid w:val="002174CA"/>
    <w:rsid w:val="002177A7"/>
    <w:rsid w:val="002300C6"/>
    <w:rsid w:val="00230764"/>
    <w:rsid w:val="002336F5"/>
    <w:rsid w:val="00237F7C"/>
    <w:rsid w:val="00247F22"/>
    <w:rsid w:val="00257E42"/>
    <w:rsid w:val="00294C24"/>
    <w:rsid w:val="002A739F"/>
    <w:rsid w:val="002B54A1"/>
    <w:rsid w:val="002E2F7F"/>
    <w:rsid w:val="00305FE0"/>
    <w:rsid w:val="00312F43"/>
    <w:rsid w:val="003229C8"/>
    <w:rsid w:val="00335217"/>
    <w:rsid w:val="003514CE"/>
    <w:rsid w:val="00362FD6"/>
    <w:rsid w:val="003658DB"/>
    <w:rsid w:val="00383916"/>
    <w:rsid w:val="00391D10"/>
    <w:rsid w:val="003A0811"/>
    <w:rsid w:val="003A6BAA"/>
    <w:rsid w:val="003A72C5"/>
    <w:rsid w:val="003A7669"/>
    <w:rsid w:val="003B1332"/>
    <w:rsid w:val="003B5037"/>
    <w:rsid w:val="003B602E"/>
    <w:rsid w:val="003D108B"/>
    <w:rsid w:val="003D15C1"/>
    <w:rsid w:val="003F04CA"/>
    <w:rsid w:val="003F438B"/>
    <w:rsid w:val="003F49ED"/>
    <w:rsid w:val="003F6D4D"/>
    <w:rsid w:val="00406142"/>
    <w:rsid w:val="00412C70"/>
    <w:rsid w:val="00431125"/>
    <w:rsid w:val="00436463"/>
    <w:rsid w:val="00440215"/>
    <w:rsid w:val="00440EB3"/>
    <w:rsid w:val="004475D4"/>
    <w:rsid w:val="00456756"/>
    <w:rsid w:val="00456836"/>
    <w:rsid w:val="00464F3D"/>
    <w:rsid w:val="00474F20"/>
    <w:rsid w:val="0048554E"/>
    <w:rsid w:val="00486CAA"/>
    <w:rsid w:val="0049743E"/>
    <w:rsid w:val="004A605A"/>
    <w:rsid w:val="004E3A07"/>
    <w:rsid w:val="004E3AF3"/>
    <w:rsid w:val="004F4425"/>
    <w:rsid w:val="00501135"/>
    <w:rsid w:val="00506D99"/>
    <w:rsid w:val="00507D9D"/>
    <w:rsid w:val="00523AA3"/>
    <w:rsid w:val="00527409"/>
    <w:rsid w:val="00536615"/>
    <w:rsid w:val="00543DB8"/>
    <w:rsid w:val="005475C5"/>
    <w:rsid w:val="005718AB"/>
    <w:rsid w:val="00574BF0"/>
    <w:rsid w:val="00580121"/>
    <w:rsid w:val="005855D2"/>
    <w:rsid w:val="005A1D2C"/>
    <w:rsid w:val="005A70C3"/>
    <w:rsid w:val="005B14C0"/>
    <w:rsid w:val="005C1208"/>
    <w:rsid w:val="005D0EC8"/>
    <w:rsid w:val="005D43DF"/>
    <w:rsid w:val="005E193E"/>
    <w:rsid w:val="005E51D2"/>
    <w:rsid w:val="005E57BF"/>
    <w:rsid w:val="005E5F80"/>
    <w:rsid w:val="005E68AB"/>
    <w:rsid w:val="00604237"/>
    <w:rsid w:val="0060423C"/>
    <w:rsid w:val="006103E2"/>
    <w:rsid w:val="00612679"/>
    <w:rsid w:val="00617344"/>
    <w:rsid w:val="00620E77"/>
    <w:rsid w:val="00621D84"/>
    <w:rsid w:val="00622010"/>
    <w:rsid w:val="006264D8"/>
    <w:rsid w:val="00631729"/>
    <w:rsid w:val="00631954"/>
    <w:rsid w:val="006367F1"/>
    <w:rsid w:val="0064585D"/>
    <w:rsid w:val="00665891"/>
    <w:rsid w:val="00671A7F"/>
    <w:rsid w:val="006A4516"/>
    <w:rsid w:val="006A461D"/>
    <w:rsid w:val="006A4FF6"/>
    <w:rsid w:val="006A693D"/>
    <w:rsid w:val="006C0235"/>
    <w:rsid w:val="006C7ADE"/>
    <w:rsid w:val="00707B18"/>
    <w:rsid w:val="007159BF"/>
    <w:rsid w:val="0073451F"/>
    <w:rsid w:val="007433DE"/>
    <w:rsid w:val="007466BD"/>
    <w:rsid w:val="0079087F"/>
    <w:rsid w:val="00796EFE"/>
    <w:rsid w:val="0079764C"/>
    <w:rsid w:val="007B42A3"/>
    <w:rsid w:val="007D41E9"/>
    <w:rsid w:val="007F669C"/>
    <w:rsid w:val="00805AD4"/>
    <w:rsid w:val="00816372"/>
    <w:rsid w:val="008258F7"/>
    <w:rsid w:val="00842448"/>
    <w:rsid w:val="008514ED"/>
    <w:rsid w:val="00853BBD"/>
    <w:rsid w:val="00873094"/>
    <w:rsid w:val="00874E71"/>
    <w:rsid w:val="008755E4"/>
    <w:rsid w:val="008775B7"/>
    <w:rsid w:val="008925B8"/>
    <w:rsid w:val="008A4843"/>
    <w:rsid w:val="008A4C1D"/>
    <w:rsid w:val="008A511A"/>
    <w:rsid w:val="008A647F"/>
    <w:rsid w:val="008B0AF2"/>
    <w:rsid w:val="008B11E7"/>
    <w:rsid w:val="008B4D6D"/>
    <w:rsid w:val="008B4F57"/>
    <w:rsid w:val="008C7A1B"/>
    <w:rsid w:val="008D2AEE"/>
    <w:rsid w:val="008E19D0"/>
    <w:rsid w:val="008E48CD"/>
    <w:rsid w:val="008F1B11"/>
    <w:rsid w:val="00906401"/>
    <w:rsid w:val="00907CF1"/>
    <w:rsid w:val="00937DD6"/>
    <w:rsid w:val="00954330"/>
    <w:rsid w:val="00954912"/>
    <w:rsid w:val="00964DB6"/>
    <w:rsid w:val="00967136"/>
    <w:rsid w:val="00976515"/>
    <w:rsid w:val="009813D8"/>
    <w:rsid w:val="009872F4"/>
    <w:rsid w:val="009928CD"/>
    <w:rsid w:val="00994162"/>
    <w:rsid w:val="009A6292"/>
    <w:rsid w:val="009B012E"/>
    <w:rsid w:val="009B0B0E"/>
    <w:rsid w:val="009E394B"/>
    <w:rsid w:val="009F1C17"/>
    <w:rsid w:val="009F6EC1"/>
    <w:rsid w:val="00A009DA"/>
    <w:rsid w:val="00A1281F"/>
    <w:rsid w:val="00A129B6"/>
    <w:rsid w:val="00A17E34"/>
    <w:rsid w:val="00A23F45"/>
    <w:rsid w:val="00A4121E"/>
    <w:rsid w:val="00A57FBC"/>
    <w:rsid w:val="00A71A00"/>
    <w:rsid w:val="00A72A5B"/>
    <w:rsid w:val="00A8073C"/>
    <w:rsid w:val="00A81F54"/>
    <w:rsid w:val="00A86D0B"/>
    <w:rsid w:val="00A97481"/>
    <w:rsid w:val="00AA22F9"/>
    <w:rsid w:val="00AA3AC6"/>
    <w:rsid w:val="00AB4E41"/>
    <w:rsid w:val="00AE020F"/>
    <w:rsid w:val="00AE2347"/>
    <w:rsid w:val="00AF1555"/>
    <w:rsid w:val="00AF1A71"/>
    <w:rsid w:val="00AF4A12"/>
    <w:rsid w:val="00AF780A"/>
    <w:rsid w:val="00B06C16"/>
    <w:rsid w:val="00B117E3"/>
    <w:rsid w:val="00B13580"/>
    <w:rsid w:val="00B15DB4"/>
    <w:rsid w:val="00B17533"/>
    <w:rsid w:val="00B231F4"/>
    <w:rsid w:val="00B31D70"/>
    <w:rsid w:val="00B329D3"/>
    <w:rsid w:val="00B532EB"/>
    <w:rsid w:val="00B56F1A"/>
    <w:rsid w:val="00B60F98"/>
    <w:rsid w:val="00B7329F"/>
    <w:rsid w:val="00B75C86"/>
    <w:rsid w:val="00B85C0E"/>
    <w:rsid w:val="00B86868"/>
    <w:rsid w:val="00B868C5"/>
    <w:rsid w:val="00BA0C6E"/>
    <w:rsid w:val="00BB35EA"/>
    <w:rsid w:val="00BB7AD2"/>
    <w:rsid w:val="00BD2D0A"/>
    <w:rsid w:val="00BD509A"/>
    <w:rsid w:val="00BD588D"/>
    <w:rsid w:val="00BE4262"/>
    <w:rsid w:val="00BF2E54"/>
    <w:rsid w:val="00BF626B"/>
    <w:rsid w:val="00C04DB5"/>
    <w:rsid w:val="00C06704"/>
    <w:rsid w:val="00C17C56"/>
    <w:rsid w:val="00C24258"/>
    <w:rsid w:val="00C270D1"/>
    <w:rsid w:val="00C344A0"/>
    <w:rsid w:val="00C45C17"/>
    <w:rsid w:val="00C53883"/>
    <w:rsid w:val="00C61AA7"/>
    <w:rsid w:val="00C70DF4"/>
    <w:rsid w:val="00C778A5"/>
    <w:rsid w:val="00C84DFA"/>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80F19"/>
    <w:rsid w:val="00D8543C"/>
    <w:rsid w:val="00D90D01"/>
    <w:rsid w:val="00D91A1D"/>
    <w:rsid w:val="00D9600A"/>
    <w:rsid w:val="00D971BA"/>
    <w:rsid w:val="00DB5364"/>
    <w:rsid w:val="00DB797B"/>
    <w:rsid w:val="00DC3007"/>
    <w:rsid w:val="00DC3BE7"/>
    <w:rsid w:val="00DC53D2"/>
    <w:rsid w:val="00DD35C8"/>
    <w:rsid w:val="00E048C1"/>
    <w:rsid w:val="00E26242"/>
    <w:rsid w:val="00E27896"/>
    <w:rsid w:val="00E329B4"/>
    <w:rsid w:val="00E37069"/>
    <w:rsid w:val="00E40689"/>
    <w:rsid w:val="00E5733E"/>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812EA"/>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B1Char">
    <w:name w:val="B1 Char"/>
    <w:qFormat/>
    <w:rsid w:val="009F1C17"/>
    <w:rPr>
      <w:rFonts w:eastAsia="Times New Roman"/>
    </w:rPr>
  </w:style>
  <w:style w:type="character" w:customStyle="1" w:styleId="B2Char">
    <w:name w:val="B2 Char"/>
    <w:link w:val="B2"/>
    <w:qFormat/>
    <w:locked/>
    <w:rsid w:val="009F1C17"/>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C43E51-96AC-4BCF-8DE4-33F50711586F}">
  <ds:schemaRefs>
    <ds:schemaRef ds:uri="http://purl.org/dc/elements/1.1/"/>
    <ds:schemaRef ds:uri="d8762117-8292-4133-b1c7-eab5c6487cfd"/>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 ds:uri="http://purl.org/dc/dcmitype/"/>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33615379-2B8B-4C15-A854-B56CC4434445}">
  <ds:schemaRefs>
    <ds:schemaRef ds:uri="http://schemas.microsoft.com/sharepoint/v3/contenttype/forms"/>
  </ds:schemaRefs>
</ds:datastoreItem>
</file>

<file path=customXml/itemProps4.xml><?xml version="1.0" encoding="utf-8"?>
<ds:datastoreItem xmlns:ds="http://schemas.openxmlformats.org/officeDocument/2006/customXml" ds:itemID="{9C761813-6E20-44A8-B334-01E3C8770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5</Pages>
  <Words>1654</Words>
  <Characters>8195</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131</vt:lpstr>
      <vt:lpstr>3GPP TSG-RAN WG3 Meeting #60</vt:lpstr>
    </vt:vector>
  </TitlesOfParts>
  <Company>Siemens AG</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131</dc:title>
  <dc:subject/>
  <dc:creator>Ericsson</dc:creator>
  <cp:keywords/>
  <cp:lastModifiedBy>Ericsson User</cp:lastModifiedBy>
  <cp:revision>5</cp:revision>
  <dcterms:created xsi:type="dcterms:W3CDTF">2026-01-29T18:02:00Z</dcterms:created>
  <dcterms:modified xsi:type="dcterms:W3CDTF">2026-01-29T19:38:00Z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