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3GPP TSG RAN WG</w:t>
      </w:r>
      <w:r>
        <w:rPr>
          <w:rFonts w:hint="eastAsia" w:ascii="Arial" w:hAnsi="Arial" w:eastAsia="宋体" w:cs="Arial"/>
          <w:b/>
          <w:bCs/>
          <w:sz w:val="22"/>
          <w:szCs w:val="22"/>
          <w:lang w:val="en-US" w:eastAsia="zh-CN"/>
        </w:rPr>
        <w:t>3</w:t>
      </w:r>
      <w:r>
        <w:rPr>
          <w:rFonts w:ascii="Arial" w:hAnsi="Arial" w:cs="Arial"/>
          <w:b/>
          <w:bCs/>
          <w:sz w:val="22"/>
          <w:szCs w:val="22"/>
          <w:lang w:eastAsia="ja-JP"/>
        </w:rPr>
        <w:t xml:space="preserve"> Meeting #</w:t>
      </w:r>
      <w:r>
        <w:rPr>
          <w:rFonts w:hint="eastAsia" w:ascii="Arial" w:hAnsi="Arial" w:cs="Arial"/>
          <w:b/>
          <w:bCs/>
          <w:sz w:val="22"/>
          <w:szCs w:val="22"/>
        </w:rPr>
        <w:t>1</w:t>
      </w:r>
      <w:r>
        <w:rPr>
          <w:rFonts w:hint="eastAsia" w:ascii="Arial" w:hAnsi="Arial" w:eastAsia="宋体" w:cs="Arial"/>
          <w:b/>
          <w:bCs/>
          <w:sz w:val="22"/>
          <w:szCs w:val="22"/>
          <w:lang w:val="en-US" w:eastAsia="zh-CN"/>
        </w:rPr>
        <w:t>31</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R</w:t>
      </w:r>
      <w:r>
        <w:rPr>
          <w:rFonts w:hint="eastAsia" w:ascii="Arial" w:hAnsi="Arial" w:eastAsia="宋体" w:cs="Arial"/>
          <w:b/>
          <w:bCs/>
          <w:sz w:val="22"/>
          <w:szCs w:val="22"/>
          <w:lang w:val="en-US" w:eastAsia="zh-CN"/>
        </w:rPr>
        <w:t>3</w:t>
      </w:r>
      <w:r>
        <w:rPr>
          <w:rFonts w:hint="eastAsia" w:ascii="Arial" w:hAnsi="Arial" w:cs="Arial"/>
          <w:b/>
          <w:bCs/>
          <w:sz w:val="22"/>
          <w:szCs w:val="22"/>
          <w:lang w:eastAsia="ja-JP"/>
        </w:rPr>
        <w:t>-2</w:t>
      </w:r>
      <w:r>
        <w:rPr>
          <w:rFonts w:hint="eastAsia" w:ascii="Arial" w:hAnsi="Arial" w:eastAsia="宋体" w:cs="Arial"/>
          <w:b/>
          <w:bCs/>
          <w:sz w:val="22"/>
          <w:szCs w:val="22"/>
          <w:lang w:val="en-US" w:eastAsia="zh-CN"/>
        </w:rPr>
        <w:t>60056</w:t>
      </w:r>
      <w:r>
        <w:rPr>
          <w:rFonts w:ascii="Arial" w:hAnsi="Arial" w:cs="Arial"/>
          <w:b/>
          <w:bCs/>
          <w:sz w:val="22"/>
          <w:szCs w:val="22"/>
          <w:lang w:eastAsia="ja-JP"/>
        </w:rPr>
        <w:tab/>
      </w:r>
    </w:p>
    <w:p>
      <w:pPr>
        <w:tabs>
          <w:tab w:val="center" w:pos="4536"/>
          <w:tab w:val="right" w:pos="9639"/>
        </w:tabs>
        <w:spacing w:before="120" w:after="120"/>
        <w:ind w:right="2"/>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Gothenburg</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Sweden</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Feb</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9</w:t>
      </w:r>
      <w:r>
        <w:rPr>
          <w:rFonts w:ascii="Arial" w:hAnsi="Arial" w:cs="Arial"/>
          <w:b/>
          <w:bCs/>
          <w:sz w:val="22"/>
          <w:szCs w:val="22"/>
          <w:lang w:eastAsia="ja-JP"/>
        </w:rPr>
        <w:t>-</w:t>
      </w:r>
      <w:r>
        <w:rPr>
          <w:rFonts w:hint="eastAsia" w:ascii="Arial" w:hAnsi="Arial" w:eastAsia="宋体" w:cs="Arial"/>
          <w:b/>
          <w:bCs/>
          <w:sz w:val="22"/>
          <w:szCs w:val="22"/>
          <w:lang w:val="en-US" w:eastAsia="zh-CN"/>
        </w:rPr>
        <w:t>13</w:t>
      </w:r>
      <w:r>
        <w:rPr>
          <w:rFonts w:ascii="Arial" w:hAnsi="Arial" w:cs="Arial"/>
          <w:b/>
          <w:bCs/>
          <w:sz w:val="22"/>
          <w:szCs w:val="22"/>
          <w:lang w:eastAsia="ja-JP"/>
        </w:rPr>
        <w:t>, 202</w:t>
      </w:r>
      <w:r>
        <w:rPr>
          <w:rFonts w:hint="eastAsia" w:ascii="Arial" w:hAnsi="Arial" w:eastAsia="宋体" w:cs="Arial"/>
          <w:b/>
          <w:bCs/>
          <w:sz w:val="22"/>
          <w:szCs w:val="22"/>
          <w:lang w:val="en-US" w:eastAsia="zh-CN"/>
        </w:rPr>
        <w:t>6</w:t>
      </w:r>
    </w:p>
    <w:p>
      <w:pPr>
        <w:pStyle w:val="91"/>
        <w:tabs>
          <w:tab w:val="right" w:pos="9639"/>
        </w:tabs>
        <w:spacing w:after="0"/>
        <w:rPr>
          <w:b/>
          <w:sz w:val="24"/>
          <w:lang w:val="en-US" w:eastAsia="zh-CN"/>
        </w:rPr>
      </w:pPr>
    </w:p>
    <w:p>
      <w:pPr>
        <w:tabs>
          <w:tab w:val="left" w:pos="1979"/>
        </w:tabs>
        <w:spacing w:after="120"/>
        <w:ind w:left="1979" w:hanging="1979"/>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w:t>
      </w:r>
    </w:p>
    <w:p>
      <w:pPr>
        <w:tabs>
          <w:tab w:val="left" w:pos="1985"/>
        </w:tabs>
        <w:spacing w:after="120"/>
        <w:ind w:left="1979" w:hanging="1979"/>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on t</w:t>
      </w:r>
      <w:r>
        <w:rPr>
          <w:rFonts w:ascii="Arial" w:hAnsi="Arial" w:cs="Arial"/>
          <w:b/>
          <w:lang w:val="en-US"/>
        </w:rPr>
        <w:t>emporary suspension of trace production</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p>
    <w:p>
      <w:pPr>
        <w:pStyle w:val="2"/>
        <w:rPr>
          <w:rFonts w:eastAsia="宋体"/>
          <w:lang w:eastAsia="zh-CN"/>
        </w:rPr>
      </w:pPr>
      <w:r>
        <w:rPr>
          <w:rFonts w:eastAsia="宋体"/>
          <w:lang w:eastAsia="zh-CN"/>
        </w:rPr>
        <w:t>1. Introduction</w:t>
      </w:r>
    </w:p>
    <w:p>
      <w:pPr>
        <w:rPr>
          <w:rFonts w:hint="eastAsia" w:eastAsia="宋体"/>
          <w:lang w:val="en-US" w:eastAsia="zh-CN"/>
        </w:rPr>
      </w:pPr>
      <w:bookmarkStart w:id="1" w:name="OLE_LINK2"/>
      <w:bookmarkStart w:id="2" w:name="OLE_LINK1"/>
      <w:r>
        <w:rPr>
          <w:rFonts w:hint="eastAsia" w:eastAsia="宋体"/>
          <w:lang w:val="en-US" w:eastAsia="zh-CN"/>
        </w:rPr>
        <w:t>According to the previous RAN3 discussion and the newly incoming LS from SA5 in R3-260019 [1]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r>
              <w:rPr>
                <w:lang w:eastAsia="zh-CN"/>
              </w:rPr>
              <w:t xml:space="preserve">SA5 thanks RAN2 and RAN3 for the reply LS on temporary suspension of trace production (R2-2507745 and R3-257327). </w:t>
            </w:r>
          </w:p>
          <w:p>
            <w:pPr>
              <w:rPr>
                <w:lang w:eastAsia="zh-CN"/>
              </w:rPr>
            </w:pPr>
            <w:r>
              <w:rPr>
                <w:lang w:eastAsia="zh-CN"/>
              </w:rPr>
              <w:t>RAN2 consents to adding these attributes.</w:t>
            </w:r>
            <w:r>
              <w:rPr>
                <w:rFonts w:ascii="Arial" w:hAnsi="Arial" w:cs="Arial"/>
              </w:rPr>
              <w:t xml:space="preserve"> </w:t>
            </w:r>
            <w:r>
              <w:rPr>
                <w:lang w:eastAsia="zh-CN"/>
              </w:rPr>
              <w:t>However, RAN2 would also like to inform SA5 that the suspension of a logged MDT session based on signalling from the network is not feasible.</w:t>
            </w:r>
          </w:p>
          <w:p>
            <w:pPr>
              <w:rPr>
                <w:lang w:val="en-US" w:eastAsia="zh-CN"/>
              </w:rPr>
            </w:pPr>
            <w:r>
              <w:rPr>
                <w:lang w:val="en-US" w:eastAsia="zh-CN"/>
              </w:rPr>
              <w:t>RAN3 has concluded that supporting the addition of the attributes described in the SA5 LS to the TraceJobIOC is technically feasible. RAN3 would also like to point out that Rel19 is functionally frozen.</w:t>
            </w:r>
          </w:p>
          <w:p>
            <w:pPr>
              <w:rPr>
                <w:lang w:val="en-US" w:eastAsia="zh-CN"/>
              </w:rPr>
            </w:pPr>
            <w:r>
              <w:rPr>
                <w:color w:val="FF0000"/>
                <w:lang w:val="en-US" w:eastAsia="zh-CN"/>
              </w:rPr>
              <w:t xml:space="preserve">Based on the response from RAN2 and RAN3, SA5 has discussed and agreed on a solution for </w:t>
            </w:r>
            <w:r>
              <w:rPr>
                <w:color w:val="FF0000"/>
                <w:lang w:eastAsia="zh-CN"/>
              </w:rPr>
              <w:t xml:space="preserve">temporary suspension of trace production in Release 20. </w:t>
            </w:r>
          </w:p>
        </w:tc>
      </w:tr>
    </w:tbl>
    <w:p>
      <w:pPr>
        <w:rPr>
          <w:rFonts w:hint="default" w:eastAsia="宋体"/>
          <w:lang w:val="en-US" w:eastAsia="zh-CN"/>
        </w:rPr>
      </w:pPr>
    </w:p>
    <w:p>
      <w:pPr>
        <w:pStyle w:val="2"/>
        <w:numPr>
          <w:ilvl w:val="0"/>
          <w:numId w:val="9"/>
        </w:numPr>
        <w:rPr>
          <w:rFonts w:eastAsia="宋体"/>
          <w:lang w:eastAsia="zh-CN"/>
        </w:rPr>
      </w:pPr>
      <w:r>
        <w:rPr>
          <w:rFonts w:eastAsia="宋体"/>
          <w:lang w:eastAsia="zh-CN"/>
        </w:rPr>
        <w:t>Discussion</w:t>
      </w:r>
    </w:p>
    <w:p>
      <w:pPr>
        <w:rPr>
          <w:rFonts w:hint="default"/>
          <w:lang w:val="en-US" w:eastAsia="zh-CN"/>
        </w:rPr>
      </w:pPr>
      <w:r>
        <w:rPr>
          <w:rFonts w:hint="eastAsia"/>
          <w:lang w:val="en-US" w:eastAsia="zh-CN"/>
        </w:rPr>
        <w:t>According to the CRs attached, there is no stage3 impact on management based Trace/MDT, while it seems the suspend-resume mechanism is applied to both signalling based Trace and MDT as captured below:</w:t>
      </w:r>
    </w:p>
    <w:p>
      <w:pPr>
        <w:rPr>
          <w:i/>
          <w:iCs/>
        </w:rPr>
      </w:pPr>
      <w:r>
        <w:rPr>
          <w:i/>
          <w:iCs/>
        </w:rPr>
        <w:t xml:space="preserve">In signalling-based trace suspension, the trace session shall be deactivated in the UDM, as specified in subclause 4.1.4.11, </w:t>
      </w:r>
      <w:r>
        <w:rPr>
          <w:i/>
          <w:iCs/>
          <w:color w:val="FF0000"/>
        </w:rPr>
        <w:t xml:space="preserve">without </w:t>
      </w:r>
      <w:r>
        <w:rPr>
          <w:i/>
          <w:iCs/>
          <w:color w:val="FF0000"/>
          <w:lang w:val="en-US"/>
        </w:rPr>
        <w:t xml:space="preserve">terminating </w:t>
      </w:r>
      <w:r>
        <w:rPr>
          <w:i/>
          <w:iCs/>
          <w:color w:val="FF0000"/>
        </w:rPr>
        <w:t>the trace session from the UDM.</w:t>
      </w:r>
      <w:r>
        <w:rPr>
          <w:i/>
          <w:iCs/>
        </w:rPr>
        <w:t xml:space="preserve"> When the trace session is resumed, the trace session shall be reactivated as specified in subclause 4.1.2.15.</w:t>
      </w:r>
    </w:p>
    <w:p>
      <w:pPr>
        <w:rPr>
          <w:i/>
          <w:iCs/>
        </w:rPr>
      </w:pPr>
      <w:r>
        <w:rPr>
          <w:i/>
          <w:iCs/>
        </w:rPr>
        <w:t xml:space="preserve">In signalling-based MDT suspension, the MDT session shall be deactivated, as specified in subclause 4.1.4.13, </w:t>
      </w:r>
      <w:r>
        <w:rPr>
          <w:i/>
          <w:iCs/>
          <w:color w:val="FF0000"/>
        </w:rPr>
        <w:t xml:space="preserve">without </w:t>
      </w:r>
      <w:r>
        <w:rPr>
          <w:i/>
          <w:iCs/>
          <w:color w:val="FF0000"/>
          <w:lang w:val="en-US"/>
        </w:rPr>
        <w:t xml:space="preserve">terminating </w:t>
      </w:r>
      <w:r>
        <w:rPr>
          <w:i/>
          <w:iCs/>
          <w:color w:val="FF0000"/>
        </w:rPr>
        <w:t>the trace session from the UDM.</w:t>
      </w:r>
      <w:r>
        <w:rPr>
          <w:i/>
          <w:iCs/>
        </w:rPr>
        <w:t xml:space="preserve"> When the trace session is resumed, the trace session shall be reactivated as specified in subclause 4.1.2.17. Besides, for logged MDT trace sessions, this Trace Session </w:t>
      </w:r>
      <w:r>
        <w:rPr>
          <w:bCs/>
          <w:i/>
          <w:iCs/>
          <w:lang w:val="en-US"/>
        </w:rPr>
        <w:t>suspension</w:t>
      </w:r>
      <w:r>
        <w:rPr>
          <w:b/>
          <w:i/>
          <w:iCs/>
          <w:lang w:val="en-US"/>
        </w:rPr>
        <w:t xml:space="preserve"> </w:t>
      </w:r>
      <w:r>
        <w:rPr>
          <w:bCs/>
          <w:i/>
          <w:iCs/>
          <w:lang w:val="en-US"/>
        </w:rPr>
        <w:t>does</w:t>
      </w:r>
      <w:r>
        <w:rPr>
          <w:i/>
          <w:iCs/>
        </w:rPr>
        <w:t xml:space="preserve"> not apply to the UE. The logged MDT trace session in the UE is terminated when logging duration expires, or the UE state transforms to RRC-CONNECTED. Any available logged MDT report shall be forwarded to TCE.</w:t>
      </w:r>
    </w:p>
    <w:p>
      <w:pPr>
        <w:rPr>
          <w:rFonts w:hint="default"/>
          <w:b/>
          <w:bCs/>
          <w:lang w:val="en-US" w:eastAsia="zh-CN"/>
        </w:rPr>
      </w:pPr>
      <w:r>
        <w:rPr>
          <w:rFonts w:hint="eastAsia"/>
          <w:b/>
          <w:bCs/>
          <w:lang w:val="en-US" w:eastAsia="zh-CN"/>
        </w:rPr>
        <w:t>There may have different understanding on the highlight text above towards the detail impact on RAN side, either new control mechanism needs to be introduced over NG, Xn, F1, E1 interface, or reusing the existing start and stop Trace/MDT mechanism in RAN side (the Trace/MDT session suspend-resume is only performed in UDM).</w:t>
      </w:r>
    </w:p>
    <w:p>
      <w:pPr>
        <w:rPr>
          <w:rFonts w:hint="eastAsia"/>
          <w:lang w:val="en-US" w:eastAsia="zh-CN"/>
        </w:rPr>
      </w:pPr>
      <w:r>
        <w:rPr>
          <w:rFonts w:hint="eastAsia"/>
          <w:lang w:val="en-US" w:eastAsia="zh-CN"/>
        </w:rPr>
        <w:t>Anyway, considering it has cross-WGs impact on RAN side, there are two possible ways to move forward for further detail technical discussion in RAN2 and RAN3:</w:t>
      </w:r>
    </w:p>
    <w:p>
      <w:pPr>
        <w:rPr>
          <w:rFonts w:hint="eastAsia"/>
          <w:b/>
          <w:bCs/>
          <w:u w:val="single"/>
          <w:lang w:val="en-US" w:eastAsia="zh-CN"/>
        </w:rPr>
      </w:pPr>
      <w:r>
        <w:rPr>
          <w:rFonts w:hint="eastAsia"/>
          <w:b/>
          <w:bCs/>
          <w:u w:val="single"/>
          <w:lang w:val="en-US" w:eastAsia="zh-CN"/>
        </w:rPr>
        <w:t>WF1): Treat it as a TEI20 issue</w:t>
      </w:r>
    </w:p>
    <w:p>
      <w:r>
        <w:rPr>
          <w:rFonts w:hint="eastAsia" w:ascii="Times New Roman" w:hAnsi="Times New Roman" w:cs="Times New Roman" w:eastAsiaTheme="minorEastAsia"/>
          <w:lang w:val="en-US" w:eastAsia="zh-CN"/>
        </w:rPr>
        <w:t xml:space="preserve">It has impact on at least </w:t>
      </w:r>
      <w:r>
        <w:rPr>
          <w:rFonts w:hint="eastAsia" w:cs="Times New Roman" w:eastAsiaTheme="minorEastAsia"/>
          <w:lang w:val="en-US" w:eastAsia="zh-CN"/>
        </w:rPr>
        <w:t>stage2, whether it has stage3 impact depends on further discussion</w:t>
      </w:r>
      <w:r>
        <w:rPr>
          <w:rFonts w:hint="eastAsia" w:ascii="Times New Roman" w:hAnsi="Times New Roman" w:cs="Times New Roman" w:eastAsiaTheme="minorEastAsia"/>
          <w:lang w:val="en-US" w:eastAsia="zh-CN"/>
        </w:rPr>
        <w:t xml:space="preserve">, the </w:t>
      </w:r>
      <w:r>
        <w:rPr>
          <w:rFonts w:hint="default" w:ascii="Times New Roman" w:hAnsi="Times New Roman" w:cs="Times New Roman" w:eastAsiaTheme="minorEastAsia"/>
          <w:lang w:val="en-US" w:eastAsia="zh-CN"/>
        </w:rPr>
        <w:t xml:space="preserve">complete CR sets (e.g., WGx CR submitted </w:t>
      </w:r>
      <w:r>
        <w:rPr>
          <w:rFonts w:hint="eastAsia" w:ascii="Times New Roman" w:hAnsi="Times New Roman" w:cs="Times New Roman" w:eastAsiaTheme="minorEastAsia"/>
          <w:lang w:val="en-US" w:eastAsia="zh-CN"/>
        </w:rPr>
        <w:t>and the</w:t>
      </w:r>
      <w:r>
        <w:rPr>
          <w:rFonts w:hint="default" w:ascii="Times New Roman" w:hAnsi="Times New Roman" w:cs="Times New Roman" w:eastAsiaTheme="minorEastAsia"/>
          <w:lang w:val="en-US" w:eastAsia="zh-CN"/>
        </w:rPr>
        <w:t xml:space="preserve"> linked WGy CRs</w:t>
      </w:r>
      <w:r>
        <w:rPr>
          <w:rFonts w:hint="eastAsia" w:ascii="Times New Roman" w:hAnsi="Times New Roman" w:cs="Times New Roman" w:eastAsiaTheme="minorEastAsia"/>
          <w:lang w:val="en-US" w:eastAsia="zh-CN"/>
        </w:rPr>
        <w:t xml:space="preserve"> are also needed</w:t>
      </w:r>
      <w:r>
        <w:rPr>
          <w:rFonts w:hint="default" w:ascii="Times New Roman" w:hAnsi="Times New Roman" w:cs="Times New Roman" w:eastAsiaTheme="minorEastAsia"/>
          <w:lang w:val="en-US" w:eastAsia="zh-CN"/>
        </w:rPr>
        <w:t>) </w:t>
      </w:r>
      <w:r>
        <w:rPr>
          <w:rFonts w:hint="eastAsia" w:ascii="Times New Roman" w:hAnsi="Times New Roman" w:cs="Times New Roman" w:eastAsiaTheme="minorEastAsia"/>
          <w:lang w:val="en-US" w:eastAsia="zh-CN"/>
        </w:rPr>
        <w:t>should be submitted and</w:t>
      </w:r>
      <w:r>
        <w:rPr>
          <w:rFonts w:hint="default" w:ascii="Times New Roman" w:hAnsi="Times New Roman" w:cs="Times New Roman" w:eastAsiaTheme="minorEastAsia"/>
          <w:lang w:val="en-US" w:eastAsia="zh-CN"/>
        </w:rPr>
        <w:t xml:space="preserve"> approved at </w:t>
      </w:r>
      <w:r>
        <w:rPr>
          <w:rFonts w:hint="eastAsia" w:ascii="Times New Roman" w:hAnsi="Times New Roman" w:cs="Times New Roman" w:eastAsiaTheme="minorEastAsia"/>
          <w:lang w:val="en-US" w:eastAsia="zh-CN"/>
        </w:rPr>
        <w:t xml:space="preserve">the same </w:t>
      </w:r>
      <w:r>
        <w:rPr>
          <w:rFonts w:hint="default" w:ascii="Times New Roman" w:hAnsi="Times New Roman" w:cs="Times New Roman" w:eastAsiaTheme="minorEastAsia"/>
          <w:lang w:val="en-US" w:eastAsia="zh-CN"/>
        </w:rPr>
        <w:t xml:space="preserve">TSG </w:t>
      </w:r>
      <w:r>
        <w:rPr>
          <w:rFonts w:hint="eastAsia" w:ascii="Times New Roman" w:hAnsi="Times New Roman" w:cs="Times New Roman" w:eastAsiaTheme="minorEastAsia"/>
          <w:lang w:val="en-US" w:eastAsia="zh-CN"/>
        </w:rPr>
        <w:t>meeting</w:t>
      </w:r>
      <w:r>
        <w:rPr>
          <w:rFonts w:hint="default" w:ascii="Times New Roman" w:hAnsi="Times New Roman" w:cs="Times New Roman" w:eastAsiaTheme="minorEastAsia"/>
          <w:lang w:val="en-US" w:eastAsia="zh-CN"/>
        </w:rPr>
        <w:t xml:space="preserve">. All related CRs </w:t>
      </w:r>
      <w:r>
        <w:rPr>
          <w:rFonts w:hint="eastAsia" w:ascii="Times New Roman" w:hAnsi="Times New Roman" w:cs="Times New Roman" w:eastAsiaTheme="minorEastAsia"/>
          <w:lang w:val="en-US" w:eastAsia="zh-CN"/>
        </w:rPr>
        <w:t>are supposed to be</w:t>
      </w:r>
      <w:r>
        <w:rPr>
          <w:rFonts w:hint="default" w:ascii="Times New Roman" w:hAnsi="Times New Roman" w:cs="Times New Roman" w:eastAsiaTheme="minorEastAsia"/>
          <w:lang w:val="en-US" w:eastAsia="zh-CN"/>
        </w:rPr>
        <w:t xml:space="preserve"> finalized within one</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en-US" w:eastAsia="zh-CN"/>
        </w:rPr>
        <w:t>quarter.</w:t>
      </w:r>
    </w:p>
    <w:p>
      <w:pPr>
        <w:rPr>
          <w:rFonts w:hint="eastAsia"/>
          <w:b/>
          <w:bCs/>
          <w:u w:val="single"/>
          <w:lang w:val="en-US" w:eastAsia="zh-CN"/>
        </w:rPr>
      </w:pPr>
      <w:r>
        <w:rPr>
          <w:rFonts w:hint="eastAsia"/>
          <w:b/>
          <w:bCs/>
          <w:u w:val="single"/>
          <w:lang w:val="en-US" w:eastAsia="zh-CN"/>
        </w:rPr>
        <w:t xml:space="preserve">WF2): Add this new feature as an objective to R20 SON/MDT WI </w:t>
      </w:r>
    </w:p>
    <w:p>
      <w:pPr>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R20 SON/MDT WI is led by RAN3, and the corresponding discussion is still under the discussion in RAN2 and RAN3, there still has the possibility to extend the WI scope in RAN plenary meeting.</w:t>
      </w:r>
    </w:p>
    <w:p>
      <w:pPr>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From our point of view, </w:t>
      </w:r>
      <w:r>
        <w:rPr>
          <w:rFonts w:hint="eastAsia" w:cs="Times New Roman" w:eastAsiaTheme="minorEastAsia"/>
          <w:lang w:val="en-US" w:eastAsia="zh-CN"/>
        </w:rPr>
        <w:t>WF</w:t>
      </w:r>
      <w:r>
        <w:rPr>
          <w:rFonts w:hint="eastAsia" w:ascii="Times New Roman" w:hAnsi="Times New Roman" w:cs="Times New Roman" w:eastAsiaTheme="minorEastAsia"/>
          <w:lang w:val="en-US" w:eastAsia="zh-CN"/>
        </w:rPr>
        <w:t>2 is more organized and allows more time on technical discussion in R20.</w:t>
      </w:r>
    </w:p>
    <w:p>
      <w:pPr>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It is proposed to discuss the above two WF options and make the final decision in RAN3.</w:t>
      </w:r>
    </w:p>
    <w:p>
      <w:pPr>
        <w:rPr>
          <w:rFonts w:hint="eastAsia" w:cs="Times New Roman" w:eastAsiaTheme="minorEastAsia"/>
          <w:lang w:val="en-US" w:eastAsia="zh-CN"/>
        </w:rPr>
      </w:pPr>
      <w:r>
        <w:rPr>
          <w:rFonts w:hint="eastAsia" w:cs="Times New Roman" w:eastAsiaTheme="minorEastAsia"/>
          <w:lang w:val="en-US" w:eastAsia="zh-CN"/>
        </w:rPr>
        <w:t>Regarding the detail impact of RAN3 specifications in R20, in general there are two candidate Options.</w:t>
      </w:r>
    </w:p>
    <w:p>
      <w:pPr>
        <w:rPr>
          <w:rFonts w:hint="eastAsia" w:cs="Times New Roman" w:eastAsiaTheme="minorEastAsia"/>
          <w:lang w:val="en-US" w:eastAsia="zh-CN"/>
        </w:rPr>
      </w:pPr>
      <w:r>
        <w:rPr>
          <w:rFonts w:hint="eastAsia" w:cs="Times New Roman" w:eastAsiaTheme="minorEastAsia"/>
          <w:lang w:val="en-US" w:eastAsia="zh-CN"/>
        </w:rPr>
        <w:t>Option1: T</w:t>
      </w:r>
      <w:r>
        <w:rPr>
          <w:rFonts w:hint="eastAsia"/>
          <w:lang w:val="en-US" w:eastAsia="zh-CN"/>
        </w:rPr>
        <w:t>he Trace/MDT session suspend-resume is only performed in UDM</w:t>
      </w:r>
      <w:r>
        <w:rPr>
          <w:rFonts w:hint="eastAsia" w:cs="Times New Roman" w:eastAsiaTheme="minorEastAsia"/>
          <w:lang w:val="en-US" w:eastAsia="zh-CN"/>
        </w:rPr>
        <w:t xml:space="preserve"> (Only stage2 impact) </w:t>
      </w:r>
    </w:p>
    <w:p>
      <w:pPr>
        <w:rPr>
          <w:rFonts w:hint="eastAsia" w:cs="Times New Roman" w:eastAsiaTheme="minorEastAsia"/>
          <w:lang w:val="en-US" w:eastAsia="zh-CN"/>
        </w:rPr>
      </w:pPr>
      <w:r>
        <w:rPr>
          <w:rFonts w:hint="eastAsia" w:cs="Times New Roman" w:eastAsiaTheme="minorEastAsia"/>
          <w:lang w:val="en-US" w:eastAsia="zh-CN"/>
        </w:rPr>
        <w:t>This approach aligns with the initial SA5 decision (refer to LS R3-260019) to reuse existing procedures without modifying RAN3 protocols.The Suspension of a trace is realized by the OAM system triggering the existing Deactivate Trace procedure towards the RAN. Resumption is realized by triggering the Trace Start  (Activation) procedure.The main change will be  TS 37.320 Only:  A CR is provided to update Clause 4.1 (General principles). It describes the system-level suspension capability.</w:t>
      </w:r>
      <w:bookmarkStart w:id="3" w:name="_GoBack"/>
      <w:bookmarkEnd w:id="3"/>
    </w:p>
    <w:p>
      <w:pPr>
        <w:rPr>
          <w:rFonts w:hint="default" w:cs="Times New Roman" w:eastAsiaTheme="minorEastAsia"/>
          <w:lang w:val="en-US" w:eastAsia="zh-CN"/>
        </w:rPr>
      </w:pPr>
      <w:r>
        <w:rPr>
          <w:rFonts w:hint="eastAsia" w:cs="Times New Roman" w:eastAsiaTheme="minorEastAsia"/>
          <w:lang w:val="en-US" w:eastAsia="zh-CN"/>
        </w:rPr>
        <w:t>The corresponding CR can be found in [2].</w:t>
      </w:r>
    </w:p>
    <w:p>
      <w:pPr>
        <w:rPr>
          <w:rFonts w:hint="default" w:cs="Times New Roman" w:eastAsiaTheme="minorEastAsia"/>
          <w:lang w:val="en-US" w:eastAsia="zh-CN"/>
        </w:rPr>
      </w:pPr>
      <w:r>
        <w:rPr>
          <w:rFonts w:hint="eastAsia" w:cs="Times New Roman" w:eastAsiaTheme="minorEastAsia"/>
          <w:lang w:val="en-US" w:eastAsia="zh-CN"/>
        </w:rPr>
        <w:t xml:space="preserve">Option2: Introducing explicit Trace State Control procedure (Both stage2 and stage3 impact) </w:t>
      </w:r>
    </w:p>
    <w:p>
      <w:pPr>
        <w:rPr>
          <w:rFonts w:hint="eastAsia" w:cs="Times New Roman" w:eastAsiaTheme="minorEastAsia"/>
          <w:lang w:val="en-US" w:eastAsia="zh-CN"/>
        </w:rPr>
      </w:pPr>
      <w:r>
        <w:rPr>
          <w:rFonts w:hint="eastAsia" w:cs="Times New Roman" w:eastAsiaTheme="minorEastAsia"/>
          <w:lang w:val="en-US" w:eastAsia="zh-CN"/>
        </w:rPr>
        <w:t>This approach introduces specific signaling to support efficient suspension and resumption, addressing the overhead issues of Option1. A new class2 procedure,  Trace State Control, is introduced. It carries a specific indication (Trace Control Indication) to either Suspend or Resume the ongoing trace/MDT session.</w:t>
      </w:r>
    </w:p>
    <w:p>
      <w:pPr>
        <w:rPr>
          <w:rFonts w:hint="eastAsia" w:cs="Times New Roman" w:eastAsiaTheme="minorEastAsia"/>
          <w:lang w:val="en-US" w:eastAsia="zh-CN"/>
        </w:rPr>
      </w:pPr>
      <w:r>
        <w:rPr>
          <w:rFonts w:hint="eastAsia" w:cs="Times New Roman" w:eastAsiaTheme="minorEastAsia"/>
          <w:lang w:val="en-US" w:eastAsia="zh-CN"/>
        </w:rPr>
        <w:t>Suspend:  The RAN node stops data collection but  maintains the Trace/MDT Session Context locally.</w:t>
      </w:r>
    </w:p>
    <w:p>
      <w:pPr>
        <w:rPr>
          <w:rFonts w:hint="eastAsia" w:cs="Times New Roman" w:eastAsiaTheme="minorEastAsia"/>
          <w:lang w:val="en-US" w:eastAsia="zh-CN"/>
        </w:rPr>
      </w:pPr>
      <w:r>
        <w:rPr>
          <w:rFonts w:hint="eastAsia" w:cs="Times New Roman" w:eastAsiaTheme="minorEastAsia"/>
          <w:lang w:val="en-US" w:eastAsia="zh-CN"/>
        </w:rPr>
        <w:t>Resume:  The RAN node resumes collection using the stored context, without requiring the Core Network to re-transmit the full trace/MDT configuration.</w:t>
      </w:r>
    </w:p>
    <w:p>
      <w:pPr>
        <w:rPr>
          <w:rFonts w:hint="eastAsia" w:cs="Times New Roman" w:eastAsiaTheme="minorEastAsia"/>
          <w:b/>
          <w:bCs/>
          <w:lang w:val="en-US" w:eastAsia="zh-CN"/>
        </w:rPr>
      </w:pPr>
      <w:r>
        <w:rPr>
          <w:rFonts w:hint="eastAsia" w:cs="Times New Roman" w:eastAsiaTheme="minorEastAsia"/>
          <w:lang w:val="en-US" w:eastAsia="zh-CN"/>
        </w:rPr>
        <w:t xml:space="preserve">In the second approach TS 38.413, 38.423, 38.473, 37.483 will introduction of the Trace State Control procedure, the corresponding CR set can be found in [3][4][5][6].  </w:t>
      </w:r>
    </w:p>
    <w:p>
      <w:pPr>
        <w:rPr>
          <w:rFonts w:hint="eastAsia" w:ascii="Times New Roman" w:hAnsi="Times New Roman" w:cs="Times New Roman" w:eastAsiaTheme="minorEastAsia"/>
          <w:b w:val="0"/>
          <w:bCs w:val="0"/>
          <w:lang w:val="en-US" w:eastAsia="zh-CN"/>
        </w:rPr>
      </w:pPr>
      <w:r>
        <w:rPr>
          <w:rFonts w:hint="eastAsia" w:cs="Times New Roman" w:eastAsiaTheme="minorEastAsia"/>
          <w:b/>
          <w:bCs/>
          <w:lang w:val="en-US" w:eastAsia="zh-CN"/>
        </w:rPr>
        <w:t xml:space="preserve">Proposal: </w:t>
      </w:r>
      <w:r>
        <w:rPr>
          <w:rFonts w:hint="eastAsia" w:ascii="Times New Roman" w:hAnsi="Times New Roman" w:cs="Times New Roman" w:eastAsiaTheme="minorEastAsia"/>
          <w:b/>
          <w:bCs/>
          <w:lang w:val="en-US" w:eastAsia="zh-CN"/>
        </w:rPr>
        <w:t>RAN3</w:t>
      </w:r>
      <w:r>
        <w:rPr>
          <w:rFonts w:hint="eastAsia" w:cs="Times New Roman" w:eastAsiaTheme="minorEastAsia"/>
          <w:b/>
          <w:bCs/>
          <w:lang w:val="en-US" w:eastAsia="zh-CN"/>
        </w:rPr>
        <w:t xml:space="preserve"> to discuss the above different approaches for Rel-20.</w:t>
      </w:r>
    </w:p>
    <w:bookmarkEnd w:id="1"/>
    <w:bookmarkEnd w:id="2"/>
    <w:p>
      <w:pPr>
        <w:pStyle w:val="2"/>
        <w:numPr>
          <w:ilvl w:val="0"/>
          <w:numId w:val="9"/>
        </w:numPr>
        <w:ind w:left="1134" w:leftChars="0" w:hanging="1134" w:firstLineChars="0"/>
        <w:rPr>
          <w:rFonts w:eastAsia="宋体"/>
          <w:lang w:eastAsia="zh-CN"/>
        </w:rPr>
      </w:pPr>
      <w:r>
        <w:rPr>
          <w:rFonts w:eastAsia="宋体"/>
          <w:lang w:eastAsia="zh-CN"/>
        </w:rPr>
        <w:t>Conclusion</w:t>
      </w:r>
    </w:p>
    <w:p>
      <w:pPr>
        <w:rPr>
          <w:rFonts w:hint="eastAsia"/>
          <w:lang w:val="en-US" w:eastAsia="zh-CN"/>
        </w:rPr>
      </w:pPr>
      <w:r>
        <w:rPr>
          <w:rFonts w:hint="eastAsia"/>
          <w:lang w:val="en-US" w:eastAsia="zh-CN"/>
        </w:rPr>
        <w:t>Considering it has cross-WGs impact on RAN side to introduce this new feature, there are two possible options to be discussed:</w:t>
      </w:r>
    </w:p>
    <w:p>
      <w:pPr>
        <w:rPr>
          <w:rFonts w:hint="eastAsia"/>
          <w:b/>
          <w:bCs/>
          <w:u w:val="single"/>
          <w:lang w:val="en-US" w:eastAsia="zh-CN"/>
        </w:rPr>
      </w:pPr>
      <w:r>
        <w:rPr>
          <w:rFonts w:hint="eastAsia"/>
          <w:b/>
          <w:bCs/>
          <w:u w:val="single"/>
          <w:lang w:val="en-US" w:eastAsia="zh-CN"/>
        </w:rPr>
        <w:t>WF1): Treat it as a TEI20 issue</w:t>
      </w:r>
    </w:p>
    <w:p>
      <w:pPr>
        <w:rPr>
          <w:rFonts w:hint="eastAsia"/>
          <w:b/>
          <w:bCs/>
          <w:u w:val="single"/>
          <w:lang w:val="en-US" w:eastAsia="zh-CN"/>
        </w:rPr>
      </w:pPr>
      <w:r>
        <w:rPr>
          <w:rFonts w:hint="eastAsia"/>
          <w:b/>
          <w:bCs/>
          <w:u w:val="single"/>
          <w:lang w:val="en-US" w:eastAsia="zh-CN"/>
        </w:rPr>
        <w:t xml:space="preserve">WF2): Add this new feature as an objective to R20 SON/MDT WI </w:t>
      </w:r>
    </w:p>
    <w:p>
      <w:pPr>
        <w:rPr>
          <w:rFonts w:hint="eastAsia" w:cs="Times New Roman" w:eastAsiaTheme="minorEastAsia"/>
          <w:b/>
          <w:bCs/>
          <w:lang w:val="en-US" w:eastAsia="zh-CN"/>
        </w:rPr>
      </w:pPr>
      <w:r>
        <w:rPr>
          <w:rFonts w:hint="eastAsia" w:cs="Times New Roman" w:eastAsiaTheme="minorEastAsia"/>
          <w:b/>
          <w:bCs/>
          <w:lang w:val="en-US" w:eastAsia="zh-CN"/>
        </w:rPr>
        <w:t xml:space="preserve">Proposal1: </w:t>
      </w:r>
      <w:r>
        <w:rPr>
          <w:rFonts w:hint="eastAsia" w:ascii="Times New Roman" w:hAnsi="Times New Roman" w:cs="Times New Roman" w:eastAsiaTheme="minorEastAsia"/>
          <w:b/>
          <w:bCs/>
          <w:lang w:val="en-US" w:eastAsia="zh-CN"/>
        </w:rPr>
        <w:t>RAN3</w:t>
      </w:r>
      <w:r>
        <w:rPr>
          <w:rFonts w:hint="eastAsia" w:cs="Times New Roman" w:eastAsiaTheme="minorEastAsia"/>
          <w:b/>
          <w:bCs/>
          <w:lang w:val="en-US" w:eastAsia="zh-CN"/>
        </w:rPr>
        <w:t xml:space="preserve"> to discuss the above different approaches for Rel-20 on how to introduce this new feature.</w:t>
      </w:r>
    </w:p>
    <w:p>
      <w:pPr>
        <w:rPr>
          <w:rFonts w:hint="eastAsia" w:cs="Times New Roman" w:eastAsiaTheme="minorEastAsia"/>
          <w:b/>
          <w:bCs/>
          <w:u w:val="single"/>
          <w:lang w:val="en-US" w:eastAsia="zh-CN"/>
        </w:rPr>
      </w:pPr>
      <w:r>
        <w:rPr>
          <w:rFonts w:hint="eastAsia" w:cs="Times New Roman" w:eastAsiaTheme="minorEastAsia"/>
          <w:b/>
          <w:bCs/>
          <w:u w:val="single"/>
          <w:lang w:val="en-US" w:eastAsia="zh-CN"/>
        </w:rPr>
        <w:t>Option1: T</w:t>
      </w:r>
      <w:r>
        <w:rPr>
          <w:rFonts w:hint="eastAsia"/>
          <w:b/>
          <w:bCs/>
          <w:u w:val="single"/>
          <w:lang w:val="en-US" w:eastAsia="zh-CN"/>
        </w:rPr>
        <w:t>he Trace/MDT session suspend-resume is only performed in UDM</w:t>
      </w:r>
      <w:r>
        <w:rPr>
          <w:rFonts w:hint="eastAsia" w:cs="Times New Roman" w:eastAsiaTheme="minorEastAsia"/>
          <w:b/>
          <w:bCs/>
          <w:u w:val="single"/>
          <w:lang w:val="en-US" w:eastAsia="zh-CN"/>
        </w:rPr>
        <w:t xml:space="preserve"> (Only stage2 impact) </w:t>
      </w:r>
    </w:p>
    <w:p>
      <w:pPr>
        <w:rPr>
          <w:rFonts w:hint="default" w:cs="Times New Roman" w:eastAsiaTheme="minorEastAsia"/>
          <w:b/>
          <w:bCs/>
          <w:u w:val="single"/>
          <w:lang w:val="en-US" w:eastAsia="zh-CN"/>
        </w:rPr>
      </w:pPr>
      <w:r>
        <w:rPr>
          <w:rFonts w:hint="eastAsia" w:cs="Times New Roman" w:eastAsiaTheme="minorEastAsia"/>
          <w:b/>
          <w:bCs/>
          <w:u w:val="single"/>
          <w:lang w:val="en-US" w:eastAsia="zh-CN"/>
        </w:rPr>
        <w:t xml:space="preserve">Option2: Introducing explicit Trace State Control procedure (Both stage2 and stage3 impact) </w:t>
      </w:r>
    </w:p>
    <w:p>
      <w:pPr>
        <w:rPr>
          <w:rFonts w:hint="eastAsia" w:cs="Times New Roman" w:eastAsiaTheme="minorEastAsia"/>
          <w:b/>
          <w:bCs/>
          <w:lang w:val="en-US" w:eastAsia="zh-CN"/>
        </w:rPr>
      </w:pPr>
      <w:r>
        <w:rPr>
          <w:rFonts w:hint="eastAsia" w:cs="Times New Roman" w:eastAsiaTheme="minorEastAsia"/>
          <w:b/>
          <w:bCs/>
          <w:lang w:val="en-US" w:eastAsia="zh-CN"/>
        </w:rPr>
        <w:t xml:space="preserve">Proposal: </w:t>
      </w:r>
      <w:r>
        <w:rPr>
          <w:rFonts w:hint="eastAsia" w:ascii="Times New Roman" w:hAnsi="Times New Roman" w:cs="Times New Roman" w:eastAsiaTheme="minorEastAsia"/>
          <w:b/>
          <w:bCs/>
          <w:lang w:val="en-US" w:eastAsia="zh-CN"/>
        </w:rPr>
        <w:t>RAN3</w:t>
      </w:r>
      <w:r>
        <w:rPr>
          <w:rFonts w:hint="eastAsia" w:cs="Times New Roman" w:eastAsiaTheme="minorEastAsia"/>
          <w:b/>
          <w:bCs/>
          <w:lang w:val="en-US" w:eastAsia="zh-CN"/>
        </w:rPr>
        <w:t xml:space="preserve"> to discuss the above different approaches for Rel-20.</w:t>
      </w:r>
    </w:p>
    <w:p>
      <w:pPr>
        <w:pStyle w:val="2"/>
      </w:pPr>
      <w:r>
        <w:t>4. Reference</w:t>
      </w:r>
      <w:bookmarkEnd w:id="0"/>
    </w:p>
    <w:p>
      <w:pPr>
        <w:rPr>
          <w:rFonts w:hint="eastAsia" w:ascii="Arial" w:hAnsi="Arial" w:eastAsia="宋体" w:cs="Times New Roman"/>
          <w:lang w:val="en-US" w:eastAsia="zh-CN"/>
        </w:rPr>
      </w:pPr>
      <w:r>
        <w:rPr>
          <w:rFonts w:hint="eastAsia" w:ascii="Arial" w:hAnsi="Arial" w:eastAsia="宋体"/>
          <w:lang w:val="en-US" w:eastAsia="zh-CN"/>
        </w:rPr>
        <w:t>[1]</w:t>
      </w:r>
      <w:r>
        <w:rPr>
          <w:rFonts w:hint="eastAsia" w:ascii="Arial" w:hAnsi="Arial" w:eastAsia="宋体"/>
          <w:lang w:val="en-US"/>
        </w:rPr>
        <w:t xml:space="preserve"> </w:t>
      </w:r>
      <w:r>
        <w:rPr>
          <w:rFonts w:hint="eastAsia" w:ascii="Arial" w:hAnsi="Arial" w:eastAsia="宋体" w:cs="Times New Roman"/>
          <w:lang w:val="en-US" w:eastAsia="zh-CN"/>
        </w:rPr>
        <w:t>R3-260019, Reply LS on temporary suspension of trace production, SA5</w:t>
      </w:r>
    </w:p>
    <w:p>
      <w:pPr>
        <w:rPr>
          <w:rFonts w:hint="eastAsia" w:ascii="Arial" w:hAnsi="Arial" w:eastAsia="宋体" w:cs="Times New Roman"/>
          <w:lang w:val="en-US" w:eastAsia="zh-CN"/>
        </w:rPr>
      </w:pPr>
      <w:r>
        <w:rPr>
          <w:rFonts w:hint="eastAsia" w:ascii="Arial" w:hAnsi="Arial" w:eastAsia="宋体" w:cs="Times New Roman"/>
          <w:lang w:val="en-US" w:eastAsia="zh-CN"/>
        </w:rPr>
        <w:t>[2] R3-260286,Temporary Suspension Trace-Opt1_--R20CR-37320, ZTE</w:t>
      </w:r>
    </w:p>
    <w:p>
      <w:pPr>
        <w:rPr>
          <w:rFonts w:hint="eastAsia" w:ascii="Arial" w:hAnsi="Arial" w:eastAsia="宋体" w:cs="Times New Roman"/>
          <w:lang w:val="en-US" w:eastAsia="zh-CN"/>
        </w:rPr>
      </w:pPr>
      <w:r>
        <w:rPr>
          <w:rFonts w:hint="eastAsia" w:ascii="Arial" w:hAnsi="Arial" w:eastAsia="宋体" w:cs="Times New Roman"/>
          <w:lang w:val="en-US" w:eastAsia="zh-CN"/>
        </w:rPr>
        <w:t>[3] R3-260287,Temporary suspend Trace-Opt2_--R20CR-38413, ZTE</w:t>
      </w:r>
    </w:p>
    <w:p>
      <w:pPr>
        <w:rPr>
          <w:rFonts w:hint="eastAsia" w:ascii="Arial" w:hAnsi="Arial" w:eastAsia="宋体" w:cs="Times New Roman"/>
          <w:lang w:val="en-US" w:eastAsia="zh-CN"/>
        </w:rPr>
      </w:pPr>
      <w:r>
        <w:rPr>
          <w:rFonts w:hint="eastAsia" w:ascii="Arial" w:hAnsi="Arial" w:eastAsia="宋体" w:cs="Times New Roman"/>
          <w:lang w:val="en-US" w:eastAsia="zh-CN"/>
        </w:rPr>
        <w:t>[4] R3-260288,Temporary suspend Trace-Opt2_--R20CR-38423, ZTE</w:t>
      </w:r>
    </w:p>
    <w:p>
      <w:pPr>
        <w:rPr>
          <w:rFonts w:hint="eastAsia" w:ascii="Arial" w:hAnsi="Arial" w:eastAsia="宋体" w:cs="Times New Roman"/>
          <w:lang w:val="en-US" w:eastAsia="zh-CN"/>
        </w:rPr>
      </w:pPr>
      <w:r>
        <w:rPr>
          <w:rFonts w:hint="eastAsia" w:ascii="Arial" w:hAnsi="Arial" w:eastAsia="宋体" w:cs="Times New Roman"/>
          <w:lang w:val="en-US" w:eastAsia="zh-CN"/>
        </w:rPr>
        <w:t>[5] R3-260289,Temporary suspend Trace-Opt2_--R20CR-38473, ZTE</w:t>
      </w:r>
    </w:p>
    <w:p>
      <w:pPr>
        <w:rPr>
          <w:rFonts w:hint="eastAsia" w:ascii="Arial" w:hAnsi="Arial" w:eastAsia="宋体" w:cs="Times New Roman"/>
          <w:lang w:val="en-US" w:eastAsia="zh-CN"/>
        </w:rPr>
      </w:pPr>
      <w:r>
        <w:rPr>
          <w:rFonts w:hint="eastAsia" w:ascii="Arial" w:hAnsi="Arial" w:eastAsia="宋体" w:cs="Times New Roman"/>
          <w:lang w:val="en-US" w:eastAsia="zh-CN"/>
        </w:rPr>
        <w:t>[6] R3-260290,Temporary suspend Trace-Opt2_--R20CR-37483, ZTE</w:t>
      </w:r>
    </w:p>
    <w:p>
      <w:pPr>
        <w:rPr>
          <w:rFonts w:hint="eastAsia" w:ascii="Arial" w:hAnsi="Arial" w:eastAsia="宋体" w:cs="Times New Roman"/>
          <w:lang w:val="en-US" w:eastAsia="zh-CN"/>
        </w:rPr>
      </w:pPr>
    </w:p>
    <w:p>
      <w:pPr>
        <w:rPr>
          <w:rFonts w:hint="eastAsia" w:ascii="Arial" w:hAnsi="Arial" w:eastAsia="宋体" w:cs="Times New Roman"/>
          <w:lang w:val="en-US" w:eastAsia="zh-CN"/>
        </w:rPr>
      </w:pPr>
    </w:p>
    <w:p>
      <w:pPr>
        <w:rPr>
          <w:rFonts w:hint="eastAsia" w:ascii="Arial" w:hAnsi="Arial" w:eastAsia="宋体" w:cs="Times New Roman"/>
          <w:lang w:val="en-US" w:eastAsia="zh-CN"/>
        </w:rPr>
      </w:pPr>
    </w:p>
    <w:p>
      <w:pPr>
        <w:rPr>
          <w:rFonts w:hint="default" w:ascii="Arial" w:hAnsi="Arial" w:eastAsia="宋体" w:cs="Times New Roman"/>
          <w:lang w:val="en-US" w:eastAsia="zh-CN"/>
        </w:rPr>
      </w:pPr>
    </w:p>
    <w:p>
      <w:pPr>
        <w:rPr>
          <w:rFonts w:ascii="Arial" w:hAnsi="Arial" w:eastAsia="宋体"/>
          <w:lang w:val="en-US" w:eastAsia="zh-CN"/>
        </w:rPr>
      </w:pPr>
    </w:p>
    <w:p>
      <w:pPr>
        <w:rPr>
          <w:rFonts w:ascii="Arial" w:hAnsi="Arial" w:eastAsia="宋体"/>
          <w:lang w:val="en-US" w:eastAsia="zh-CN"/>
        </w:rPr>
      </w:pPr>
    </w:p>
    <w:p>
      <w:pPr>
        <w:rPr>
          <w:rFonts w:eastAsia="宋体"/>
          <w:lang w:val="en-US" w:eastAsia="zh-CN"/>
        </w:rPr>
      </w:pPr>
    </w:p>
    <w:p>
      <w:pPr>
        <w:rPr>
          <w:rFonts w:eastAsia="宋体"/>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9"/>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10"/>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6A34518"/>
    <w:multiLevelType w:val="multilevel"/>
    <w:tmpl w:val="36A34518"/>
    <w:lvl w:ilvl="0" w:tentative="0">
      <w:start w:val="1"/>
      <w:numFmt w:val="decimal"/>
      <w:pStyle w:val="119"/>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6"/>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CB2"/>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3F75"/>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08A"/>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A9C"/>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E7F07"/>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492"/>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762"/>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572"/>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19B4930"/>
    <w:rsid w:val="036165C0"/>
    <w:rsid w:val="04D95FAF"/>
    <w:rsid w:val="051762D7"/>
    <w:rsid w:val="058433E3"/>
    <w:rsid w:val="079E63F0"/>
    <w:rsid w:val="087A19F6"/>
    <w:rsid w:val="09AA565D"/>
    <w:rsid w:val="0A6344AD"/>
    <w:rsid w:val="0AAA2953"/>
    <w:rsid w:val="0B077F87"/>
    <w:rsid w:val="0B0C162F"/>
    <w:rsid w:val="0BAB55D4"/>
    <w:rsid w:val="0DE0789E"/>
    <w:rsid w:val="0DE77EDE"/>
    <w:rsid w:val="0DF632F9"/>
    <w:rsid w:val="0F3466CB"/>
    <w:rsid w:val="0F8F1193"/>
    <w:rsid w:val="0FBA55CD"/>
    <w:rsid w:val="0FF82776"/>
    <w:rsid w:val="100D3E70"/>
    <w:rsid w:val="100D586B"/>
    <w:rsid w:val="10BA0D00"/>
    <w:rsid w:val="110000F0"/>
    <w:rsid w:val="117C54BB"/>
    <w:rsid w:val="11933657"/>
    <w:rsid w:val="126942D0"/>
    <w:rsid w:val="131A0784"/>
    <w:rsid w:val="14E10EF0"/>
    <w:rsid w:val="15842DD8"/>
    <w:rsid w:val="161D116C"/>
    <w:rsid w:val="164756E1"/>
    <w:rsid w:val="16C40EC8"/>
    <w:rsid w:val="17BB41A9"/>
    <w:rsid w:val="180B5B2D"/>
    <w:rsid w:val="198253AE"/>
    <w:rsid w:val="19AB6A2A"/>
    <w:rsid w:val="1A1A0363"/>
    <w:rsid w:val="1A1B5896"/>
    <w:rsid w:val="1B7A59A1"/>
    <w:rsid w:val="1BD07C9C"/>
    <w:rsid w:val="1C4A06DC"/>
    <w:rsid w:val="1C6F344F"/>
    <w:rsid w:val="1CA628A7"/>
    <w:rsid w:val="1CC025D8"/>
    <w:rsid w:val="1DA578BD"/>
    <w:rsid w:val="1E5D099B"/>
    <w:rsid w:val="1EDE3E34"/>
    <w:rsid w:val="200359E1"/>
    <w:rsid w:val="212E4BDC"/>
    <w:rsid w:val="21A27E43"/>
    <w:rsid w:val="21E12E8E"/>
    <w:rsid w:val="21FF7641"/>
    <w:rsid w:val="22107EA4"/>
    <w:rsid w:val="22BE69F3"/>
    <w:rsid w:val="231C0BBE"/>
    <w:rsid w:val="2361109A"/>
    <w:rsid w:val="2393036B"/>
    <w:rsid w:val="24B11017"/>
    <w:rsid w:val="25432C48"/>
    <w:rsid w:val="257C40D5"/>
    <w:rsid w:val="25CB1D82"/>
    <w:rsid w:val="261A678F"/>
    <w:rsid w:val="275261DA"/>
    <w:rsid w:val="276E78BE"/>
    <w:rsid w:val="27E35027"/>
    <w:rsid w:val="284D24AC"/>
    <w:rsid w:val="29857451"/>
    <w:rsid w:val="29A617E4"/>
    <w:rsid w:val="2B8555C1"/>
    <w:rsid w:val="2B876156"/>
    <w:rsid w:val="2BF95FE4"/>
    <w:rsid w:val="2C4677AE"/>
    <w:rsid w:val="2CB5147A"/>
    <w:rsid w:val="2D0D30EB"/>
    <w:rsid w:val="2D307187"/>
    <w:rsid w:val="2D753E59"/>
    <w:rsid w:val="2D840278"/>
    <w:rsid w:val="2DCD622D"/>
    <w:rsid w:val="2EE3409B"/>
    <w:rsid w:val="2FB461D1"/>
    <w:rsid w:val="30C2731F"/>
    <w:rsid w:val="31262BAF"/>
    <w:rsid w:val="318F47DD"/>
    <w:rsid w:val="33833DA5"/>
    <w:rsid w:val="338A1C15"/>
    <w:rsid w:val="33A82C3E"/>
    <w:rsid w:val="34352B7A"/>
    <w:rsid w:val="345F0CBF"/>
    <w:rsid w:val="357D4786"/>
    <w:rsid w:val="360D06EF"/>
    <w:rsid w:val="36F558B9"/>
    <w:rsid w:val="377E283A"/>
    <w:rsid w:val="37BE5A07"/>
    <w:rsid w:val="37D22D11"/>
    <w:rsid w:val="38265CD8"/>
    <w:rsid w:val="3A0F2F4D"/>
    <w:rsid w:val="3A322559"/>
    <w:rsid w:val="3A606BAC"/>
    <w:rsid w:val="3AA4046C"/>
    <w:rsid w:val="3B180660"/>
    <w:rsid w:val="3BEC6FE0"/>
    <w:rsid w:val="3CB33901"/>
    <w:rsid w:val="3CE82A06"/>
    <w:rsid w:val="3D007DAE"/>
    <w:rsid w:val="3D5B6538"/>
    <w:rsid w:val="3DC90D6A"/>
    <w:rsid w:val="3E012549"/>
    <w:rsid w:val="3ED92788"/>
    <w:rsid w:val="408851A8"/>
    <w:rsid w:val="42720375"/>
    <w:rsid w:val="43AE2EFD"/>
    <w:rsid w:val="44DF442A"/>
    <w:rsid w:val="450A18A7"/>
    <w:rsid w:val="457D5D6D"/>
    <w:rsid w:val="45DC189C"/>
    <w:rsid w:val="463B04C5"/>
    <w:rsid w:val="469E69FD"/>
    <w:rsid w:val="46BF51B8"/>
    <w:rsid w:val="48316D00"/>
    <w:rsid w:val="4ABB637B"/>
    <w:rsid w:val="4AC10AA4"/>
    <w:rsid w:val="4C1F27FF"/>
    <w:rsid w:val="4C3C0C61"/>
    <w:rsid w:val="4C501A44"/>
    <w:rsid w:val="4C89761F"/>
    <w:rsid w:val="4CE01269"/>
    <w:rsid w:val="4CF10337"/>
    <w:rsid w:val="4D020391"/>
    <w:rsid w:val="4D0B2AB9"/>
    <w:rsid w:val="4D1205DD"/>
    <w:rsid w:val="4D6E69AD"/>
    <w:rsid w:val="4D9379BD"/>
    <w:rsid w:val="4DB56507"/>
    <w:rsid w:val="4E1C574A"/>
    <w:rsid w:val="504B5ACC"/>
    <w:rsid w:val="50792340"/>
    <w:rsid w:val="50A544E8"/>
    <w:rsid w:val="50B77D72"/>
    <w:rsid w:val="51100C34"/>
    <w:rsid w:val="52302CE8"/>
    <w:rsid w:val="53223484"/>
    <w:rsid w:val="535B2E7A"/>
    <w:rsid w:val="54DA2BA4"/>
    <w:rsid w:val="55A61710"/>
    <w:rsid w:val="56226972"/>
    <w:rsid w:val="577E0194"/>
    <w:rsid w:val="57C22D03"/>
    <w:rsid w:val="5801558D"/>
    <w:rsid w:val="587850CC"/>
    <w:rsid w:val="590B09E2"/>
    <w:rsid w:val="5A431787"/>
    <w:rsid w:val="5A7A7D09"/>
    <w:rsid w:val="5B3710B2"/>
    <w:rsid w:val="5B3B74E6"/>
    <w:rsid w:val="5BAC183B"/>
    <w:rsid w:val="5D1D063B"/>
    <w:rsid w:val="5E764F3B"/>
    <w:rsid w:val="5F967CB4"/>
    <w:rsid w:val="5F991453"/>
    <w:rsid w:val="606670A2"/>
    <w:rsid w:val="606706D7"/>
    <w:rsid w:val="606937E5"/>
    <w:rsid w:val="611C2857"/>
    <w:rsid w:val="62361E5F"/>
    <w:rsid w:val="63313083"/>
    <w:rsid w:val="65654998"/>
    <w:rsid w:val="6623585C"/>
    <w:rsid w:val="66C237A0"/>
    <w:rsid w:val="67565952"/>
    <w:rsid w:val="676A1A71"/>
    <w:rsid w:val="67903975"/>
    <w:rsid w:val="67BE5A83"/>
    <w:rsid w:val="69CA3513"/>
    <w:rsid w:val="6B750245"/>
    <w:rsid w:val="6C56510D"/>
    <w:rsid w:val="6C610DEC"/>
    <w:rsid w:val="6CB46566"/>
    <w:rsid w:val="6D293FA7"/>
    <w:rsid w:val="6D8879A9"/>
    <w:rsid w:val="71DD153E"/>
    <w:rsid w:val="71E11004"/>
    <w:rsid w:val="720B1F2E"/>
    <w:rsid w:val="72811DE4"/>
    <w:rsid w:val="72E90827"/>
    <w:rsid w:val="73297B4B"/>
    <w:rsid w:val="73597D94"/>
    <w:rsid w:val="73C2417B"/>
    <w:rsid w:val="744F41FD"/>
    <w:rsid w:val="750C3DE8"/>
    <w:rsid w:val="752A6E75"/>
    <w:rsid w:val="75D160D9"/>
    <w:rsid w:val="765C05BD"/>
    <w:rsid w:val="7A92021F"/>
    <w:rsid w:val="7AF10BC1"/>
    <w:rsid w:val="7BE2184C"/>
    <w:rsid w:val="7C5E4A19"/>
    <w:rsid w:val="7C8F58D1"/>
    <w:rsid w:val="7CE1176F"/>
    <w:rsid w:val="7D38437C"/>
    <w:rsid w:val="7DE40569"/>
    <w:rsid w:val="7E1513C5"/>
    <w:rsid w:val="7EAF2E22"/>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5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5"/>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4"/>
    <w:semiHidden/>
    <w:qFormat/>
    <w:uiPriority w:val="0"/>
  </w:style>
  <w:style w:type="paragraph" w:styleId="28">
    <w:name w:val="Body Text"/>
    <w:basedOn w:val="1"/>
    <w:qFormat/>
    <w:uiPriority w:val="99"/>
    <w:pPr>
      <w:overflowPunct w:val="0"/>
      <w:autoSpaceDE w:val="0"/>
      <w:spacing w:after="120"/>
      <w:textAlignment w:val="baseline"/>
    </w:pPr>
  </w:style>
  <w:style w:type="paragraph" w:styleId="29">
    <w:name w:val="toc 8"/>
    <w:basedOn w:val="21"/>
    <w:next w:val="1"/>
    <w:qFormat/>
    <w:uiPriority w:val="39"/>
    <w:pPr>
      <w:spacing w:before="180"/>
      <w:ind w:left="2693" w:hanging="2693"/>
    </w:pPr>
    <w:rPr>
      <w:b/>
    </w:rPr>
  </w:style>
  <w:style w:type="paragraph" w:styleId="30">
    <w:name w:val="Balloon Text"/>
    <w:basedOn w:val="1"/>
    <w:link w:val="51"/>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Emphasis"/>
    <w:basedOn w:val="43"/>
    <w:qFormat/>
    <w:uiPriority w:val="0"/>
    <w:rPr>
      <w:i/>
    </w:rPr>
  </w:style>
  <w:style w:type="character" w:styleId="47">
    <w:name w:val="Hyperlink"/>
    <w:qFormat/>
    <w:uiPriority w:val="0"/>
    <w:rPr>
      <w:color w:val="0563C1"/>
      <w:u w:val="single"/>
    </w:rPr>
  </w:style>
  <w:style w:type="character" w:styleId="48">
    <w:name w:val="HTML Code"/>
    <w:basedOn w:val="43"/>
    <w:qFormat/>
    <w:uiPriority w:val="0"/>
    <w:rPr>
      <w:rFonts w:ascii="Courier New" w:hAnsi="Courier New"/>
      <w:sz w:val="20"/>
    </w:rPr>
  </w:style>
  <w:style w:type="character" w:styleId="49">
    <w:name w:val="annotation reference"/>
    <w:semiHidden/>
    <w:qFormat/>
    <w:uiPriority w:val="0"/>
    <w:rPr>
      <w:rFonts w:eastAsia="宋体"/>
      <w:sz w:val="16"/>
      <w:lang w:val="en-US" w:eastAsia="zh-CN" w:bidi="ar-SA"/>
    </w:rPr>
  </w:style>
  <w:style w:type="character" w:styleId="50">
    <w:name w:val="footnote reference"/>
    <w:semiHidden/>
    <w:qFormat/>
    <w:uiPriority w:val="0"/>
    <w:rPr>
      <w:rFonts w:eastAsia="宋体"/>
      <w:b/>
      <w:position w:val="6"/>
      <w:sz w:val="16"/>
      <w:lang w:val="en-US" w:eastAsia="zh-CN" w:bidi="ar-SA"/>
    </w:rPr>
  </w:style>
  <w:style w:type="character" w:customStyle="1" w:styleId="51">
    <w:name w:val="批注框文本 Char"/>
    <w:link w:val="30"/>
    <w:qFormat/>
    <w:uiPriority w:val="0"/>
    <w:rPr>
      <w:rFonts w:ascii="Segoe UI" w:hAnsi="Segoe UI" w:eastAsia="Times New Roman" w:cs="Segoe UI"/>
      <w:sz w:val="18"/>
      <w:szCs w:val="18"/>
      <w:lang w:eastAsia="en-US"/>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4">
    <w:name w:val="标题 1 Char"/>
    <w:link w:val="2"/>
    <w:qFormat/>
    <w:uiPriority w:val="0"/>
    <w:rPr>
      <w:rFonts w:ascii="Arial" w:hAnsi="Arial" w:eastAsia="Times New Roman"/>
      <w:sz w:val="36"/>
      <w:lang w:eastAsia="en-US"/>
    </w:rPr>
  </w:style>
  <w:style w:type="paragraph" w:customStyle="1" w:styleId="55">
    <w:name w:val="TAH"/>
    <w:basedOn w:val="56"/>
    <w:link w:val="129"/>
    <w:qFormat/>
    <w:uiPriority w:val="0"/>
    <w:rPr>
      <w:b/>
    </w:rPr>
  </w:style>
  <w:style w:type="paragraph" w:customStyle="1" w:styleId="56">
    <w:name w:val="TAC"/>
    <w:basedOn w:val="57"/>
    <w:qFormat/>
    <w:uiPriority w:val="0"/>
    <w:pPr>
      <w:jc w:val="center"/>
    </w:pPr>
  </w:style>
  <w:style w:type="paragraph" w:customStyle="1" w:styleId="57">
    <w:name w:val="TAL"/>
    <w:basedOn w:val="1"/>
    <w:link w:val="96"/>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111"/>
    <w:qFormat/>
    <w:uiPriority w:val="0"/>
    <w:pPr>
      <w:keepNext/>
      <w:keepLines/>
      <w:spacing w:before="60"/>
      <w:jc w:val="center"/>
    </w:pPr>
    <w:rPr>
      <w:rFonts w:ascii="Arial" w:hAnsi="Arial"/>
      <w:b/>
    </w:rPr>
  </w:style>
  <w:style w:type="paragraph" w:customStyle="1" w:styleId="60">
    <w:name w:val="NO"/>
    <w:basedOn w:val="1"/>
    <w:link w:val="61"/>
    <w:qFormat/>
    <w:uiPriority w:val="0"/>
    <w:pPr>
      <w:keepLines/>
      <w:ind w:left="1135" w:hanging="851"/>
    </w:pPr>
  </w:style>
  <w:style w:type="character" w:customStyle="1" w:styleId="61">
    <w:name w:val="NO Char"/>
    <w:link w:val="60"/>
    <w:qFormat/>
    <w:uiPriority w:val="0"/>
    <w:rPr>
      <w:rFonts w:eastAsia="Times New Roman"/>
      <w:lang w:eastAsia="en-US"/>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5">
    <w:name w:val="NW"/>
    <w:basedOn w:val="60"/>
    <w:qFormat/>
    <w:uiPriority w:val="0"/>
    <w:pPr>
      <w:spacing w:after="0"/>
    </w:pPr>
  </w:style>
  <w:style w:type="paragraph" w:customStyle="1" w:styleId="66">
    <w:name w:val="EW"/>
    <w:basedOn w:val="62"/>
    <w:qFormat/>
    <w:uiPriority w:val="0"/>
    <w:pPr>
      <w:spacing w:after="0"/>
    </w:pPr>
  </w:style>
  <w:style w:type="paragraph" w:customStyle="1" w:styleId="67">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8">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0"/>
    <w:qFormat/>
    <w:uiPriority w:val="0"/>
    <w:pPr>
      <w:keepNext/>
      <w:spacing w:after="0"/>
    </w:pPr>
    <w:rPr>
      <w:rFonts w:ascii="Arial" w:hAnsi="Arial"/>
      <w:sz w:val="18"/>
    </w:rPr>
  </w:style>
  <w:style w:type="paragraph" w:customStyle="1" w:styleId="71">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57"/>
    <w:qFormat/>
    <w:uiPriority w:val="0"/>
    <w:pPr>
      <w:jc w:val="right"/>
    </w:pPr>
  </w:style>
  <w:style w:type="paragraph" w:customStyle="1" w:styleId="73">
    <w:name w:val="TAN"/>
    <w:basedOn w:val="57"/>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0"/>
    <w:link w:val="82"/>
    <w:qFormat/>
    <w:uiPriority w:val="0"/>
    <w:rPr>
      <w:color w:val="FF0000"/>
    </w:rPr>
  </w:style>
  <w:style w:type="character" w:customStyle="1" w:styleId="82">
    <w:name w:val="Editor's Note Char"/>
    <w:link w:val="81"/>
    <w:qFormat/>
    <w:uiPriority w:val="0"/>
    <w:rPr>
      <w:rFonts w:eastAsia="Times New Roman"/>
      <w:color w:val="FF0000"/>
      <w:lang w:eastAsia="en-US"/>
    </w:rPr>
  </w:style>
  <w:style w:type="character" w:customStyle="1" w:styleId="83">
    <w:name w:val="样式 宋体 蓝色"/>
    <w:qFormat/>
    <w:uiPriority w:val="0"/>
    <w:rPr>
      <w:rFonts w:ascii="Times New Roman" w:hAnsi="Times New Roman" w:eastAsia="宋体"/>
      <w:color w:val="0000FF"/>
      <w:lang w:val="en-US" w:eastAsia="zh-CN" w:bidi="ar-SA"/>
    </w:rPr>
  </w:style>
  <w:style w:type="paragraph" w:customStyle="1" w:styleId="84">
    <w:name w:val="样式 列表 + (西文) MS Mincho"/>
    <w:basedOn w:val="14"/>
    <w:link w:val="86"/>
    <w:qFormat/>
    <w:uiPriority w:val="0"/>
  </w:style>
  <w:style w:type="character" w:customStyle="1" w:styleId="85">
    <w:name w:val="列表 Char"/>
    <w:link w:val="14"/>
    <w:qFormat/>
    <w:uiPriority w:val="0"/>
    <w:rPr>
      <w:rFonts w:eastAsia="宋体"/>
      <w:lang w:val="en-GB" w:eastAsia="en-US" w:bidi="ar-SA"/>
    </w:rPr>
  </w:style>
  <w:style w:type="character" w:customStyle="1" w:styleId="86">
    <w:name w:val="样式 列表 + (西文) MS Mincho Char"/>
    <w:basedOn w:val="85"/>
    <w:link w:val="84"/>
    <w:qFormat/>
    <w:uiPriority w:val="0"/>
    <w:rPr>
      <w:rFonts w:eastAsia="宋体"/>
      <w:lang w:val="en-GB" w:eastAsia="en-US" w:bidi="ar-SA"/>
    </w:rPr>
  </w:style>
  <w:style w:type="paragraph" w:customStyle="1" w:styleId="87">
    <w:name w:val="B4"/>
    <w:basedOn w:val="1"/>
    <w:link w:val="88"/>
    <w:qFormat/>
    <w:uiPriority w:val="0"/>
    <w:pPr>
      <w:ind w:left="1418" w:hanging="284"/>
    </w:pPr>
  </w:style>
  <w:style w:type="character" w:customStyle="1" w:styleId="88">
    <w:name w:val="B4 Char"/>
    <w:link w:val="87"/>
    <w:qFormat/>
    <w:uiPriority w:val="0"/>
    <w:rPr>
      <w:rFonts w:eastAsia="Times New Roman"/>
      <w:lang w:eastAsia="en-US"/>
    </w:rPr>
  </w:style>
  <w:style w:type="paragraph" w:customStyle="1" w:styleId="89">
    <w:name w:val="B5"/>
    <w:basedOn w:val="1"/>
    <w:qFormat/>
    <w:uiPriority w:val="0"/>
    <w:pPr>
      <w:ind w:left="1702" w:hanging="284"/>
    </w:pPr>
  </w:style>
  <w:style w:type="paragraph" w:customStyle="1" w:styleId="90">
    <w:name w:val="ZTD"/>
    <w:basedOn w:val="75"/>
    <w:qFormat/>
    <w:uiPriority w:val="0"/>
    <w:pPr>
      <w:framePr w:hRule="auto" w:y="852"/>
    </w:pPr>
    <w:rPr>
      <w:i w:val="0"/>
      <w:sz w:val="40"/>
    </w:rPr>
  </w:style>
  <w:style w:type="paragraph" w:customStyle="1" w:styleId="91">
    <w:name w:val="CR Cover Page"/>
    <w:link w:val="131"/>
    <w:qFormat/>
    <w:uiPriority w:val="0"/>
    <w:pPr>
      <w:spacing w:after="120"/>
    </w:pPr>
    <w:rPr>
      <w:rFonts w:ascii="Arial" w:hAnsi="Arial" w:eastAsia="MS Mincho" w:cs="Times New Roman"/>
      <w:lang w:val="en-GB" w:eastAsia="en-US" w:bidi="ar-SA"/>
    </w:rPr>
  </w:style>
  <w:style w:type="paragraph" w:customStyle="1" w:styleId="92">
    <w:name w:val="tdoc-header"/>
    <w:qFormat/>
    <w:uiPriority w:val="0"/>
    <w:rPr>
      <w:rFonts w:ascii="Arial" w:hAnsi="Arial" w:eastAsia="MS Mincho" w:cs="Times New Roman"/>
      <w:sz w:val="24"/>
      <w:lang w:val="en-GB" w:eastAsia="en-US" w:bidi="ar-SA"/>
    </w:rPr>
  </w:style>
  <w:style w:type="paragraph" w:customStyle="1" w:styleId="93">
    <w:name w:val="B2"/>
    <w:basedOn w:val="1"/>
    <w:link w:val="124"/>
    <w:qFormat/>
    <w:uiPriority w:val="0"/>
    <w:pPr>
      <w:ind w:left="851" w:hanging="284"/>
    </w:pPr>
  </w:style>
  <w:style w:type="paragraph" w:customStyle="1" w:styleId="94">
    <w:name w:val="TAL Char Char"/>
    <w:basedOn w:val="1"/>
    <w:link w:val="9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5">
    <w:name w:val="B3"/>
    <w:basedOn w:val="1"/>
    <w:qFormat/>
    <w:uiPriority w:val="0"/>
    <w:pPr>
      <w:ind w:left="1135" w:hanging="284"/>
    </w:pPr>
  </w:style>
  <w:style w:type="character" w:customStyle="1" w:styleId="96">
    <w:name w:val="TAL Car"/>
    <w:link w:val="57"/>
    <w:qFormat/>
    <w:uiPriority w:val="0"/>
    <w:rPr>
      <w:rFonts w:ascii="Arial" w:hAnsi="Arial" w:eastAsia="Times New Roman"/>
      <w:sz w:val="18"/>
      <w:lang w:eastAsia="en-US"/>
    </w:rPr>
  </w:style>
  <w:style w:type="paragraph" w:customStyle="1" w:styleId="97">
    <w:name w:val="00 BodyText"/>
    <w:basedOn w:val="1"/>
    <w:qFormat/>
    <w:uiPriority w:val="0"/>
    <w:pPr>
      <w:spacing w:after="220"/>
    </w:pPr>
    <w:rPr>
      <w:rFonts w:ascii="Arial" w:hAnsi="Arial"/>
      <w:sz w:val="22"/>
      <w:lang w:val="en-US"/>
    </w:rPr>
  </w:style>
  <w:style w:type="character" w:customStyle="1" w:styleId="98">
    <w:name w:val="TAL Char Char Char"/>
    <w:link w:val="94"/>
    <w:qFormat/>
    <w:uiPriority w:val="0"/>
    <w:rPr>
      <w:rFonts w:ascii="Arial" w:hAnsi="Arial" w:eastAsia="宋体"/>
      <w:sz w:val="18"/>
      <w:lang w:val="en-GB" w:eastAsia="en-US" w:bidi="ar-SA"/>
    </w:rPr>
  </w:style>
  <w:style w:type="paragraph" w:customStyle="1" w:styleId="99">
    <w:name w:val="样式 图表标题 + (中文) 宋体"/>
    <w:basedOn w:val="100"/>
    <w:qFormat/>
    <w:uiPriority w:val="0"/>
    <w:rPr>
      <w:rFonts w:eastAsia="Arial"/>
    </w:rPr>
  </w:style>
  <w:style w:type="paragraph" w:customStyle="1" w:styleId="100">
    <w:name w:val="图表标题"/>
    <w:basedOn w:val="1"/>
    <w:next w:val="1"/>
    <w:qFormat/>
    <w:uiPriority w:val="0"/>
    <w:pPr>
      <w:spacing w:before="60" w:after="60"/>
      <w:jc w:val="center"/>
    </w:pPr>
    <w:rPr>
      <w:rFonts w:ascii="Arial" w:hAnsi="Arial" w:eastAsia="Batang" w:cs="宋体"/>
    </w:rPr>
  </w:style>
  <w:style w:type="character" w:customStyle="1" w:styleId="101">
    <w:name w:val="PL Char"/>
    <w:link w:val="71"/>
    <w:qFormat/>
    <w:uiPriority w:val="0"/>
    <w:rPr>
      <w:rFonts w:ascii="Courier New" w:hAnsi="Courier New" w:eastAsia="Times New Roman"/>
      <w:sz w:val="16"/>
      <w:lang w:eastAsia="en-US"/>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Guidance"/>
    <w:basedOn w:val="1"/>
    <w:qFormat/>
    <w:uiPriority w:val="0"/>
    <w:rPr>
      <w:i/>
      <w:color w:val="0000FF"/>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5">
    <w:name w:val="B1"/>
    <w:basedOn w:val="14"/>
    <w:link w:val="106"/>
    <w:qFormat/>
    <w:uiPriority w:val="0"/>
    <w:pPr>
      <w:ind w:left="568" w:hanging="284"/>
    </w:pPr>
  </w:style>
  <w:style w:type="character" w:customStyle="1" w:styleId="106">
    <w:name w:val="B1 Char1"/>
    <w:link w:val="105"/>
    <w:qFormat/>
    <w:uiPriority w:val="0"/>
    <w:rPr>
      <w:rFonts w:eastAsia="Times New Roman"/>
      <w:lang w:eastAsia="en-US"/>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5"/>
      </w:numPr>
    </w:pPr>
  </w:style>
  <w:style w:type="paragraph" w:customStyle="1" w:styleId="109">
    <w:name w:val="插图题注"/>
    <w:basedOn w:val="1"/>
    <w:qFormat/>
    <w:uiPriority w:val="0"/>
    <w:pPr>
      <w:numPr>
        <w:ilvl w:val="7"/>
        <w:numId w:val="6"/>
      </w:numPr>
    </w:pPr>
  </w:style>
  <w:style w:type="paragraph" w:customStyle="1" w:styleId="110">
    <w:name w:val="表格题注"/>
    <w:basedOn w:val="1"/>
    <w:qFormat/>
    <w:uiPriority w:val="0"/>
    <w:pPr>
      <w:numPr>
        <w:ilvl w:val="8"/>
        <w:numId w:val="6"/>
      </w:numPr>
    </w:pPr>
  </w:style>
  <w:style w:type="character" w:customStyle="1" w:styleId="111">
    <w:name w:val="TH Char"/>
    <w:link w:val="59"/>
    <w:qFormat/>
    <w:uiPriority w:val="0"/>
    <w:rPr>
      <w:rFonts w:ascii="Arial" w:hAnsi="Arial" w:eastAsia="Times New Roman"/>
      <w:b/>
      <w:lang w:eastAsia="en-US"/>
    </w:rPr>
  </w:style>
  <w:style w:type="paragraph" w:customStyle="1" w:styleId="112">
    <w:name w:val="TAJ"/>
    <w:basedOn w:val="59"/>
    <w:qFormat/>
    <w:uiPriority w:val="0"/>
  </w:style>
  <w:style w:type="paragraph" w:customStyle="1" w:styleId="113">
    <w:name w:val="TT"/>
    <w:basedOn w:val="2"/>
    <w:next w:val="1"/>
    <w:qFormat/>
    <w:uiPriority w:val="0"/>
    <w:pPr>
      <w:outlineLvl w:val="9"/>
    </w:pPr>
  </w:style>
  <w:style w:type="paragraph" w:customStyle="1" w:styleId="114">
    <w:name w:val="样式1"/>
    <w:basedOn w:val="1"/>
    <w:qFormat/>
    <w:uiPriority w:val="0"/>
  </w:style>
  <w:style w:type="character" w:customStyle="1" w:styleId="115">
    <w:name w:val="标题 2 Char"/>
    <w:link w:val="3"/>
    <w:qFormat/>
    <w:uiPriority w:val="0"/>
    <w:rPr>
      <w:rFonts w:ascii="Arial" w:hAnsi="Arial" w:eastAsia="Times New Roman"/>
      <w:sz w:val="32"/>
      <w:lang w:eastAsia="en-US"/>
    </w:rPr>
  </w:style>
  <w:style w:type="character" w:customStyle="1" w:styleId="116">
    <w:name w:val="Unresolved Mention1"/>
    <w:semiHidden/>
    <w:unhideWhenUsed/>
    <w:qFormat/>
    <w:uiPriority w:val="99"/>
    <w:rPr>
      <w:color w:val="605E5C"/>
      <w:shd w:val="clear" w:color="auto" w:fill="E1DFDD"/>
    </w:rPr>
  </w:style>
  <w:style w:type="character" w:customStyle="1" w:styleId="117">
    <w:name w:val="yinbiao"/>
    <w:basedOn w:val="43"/>
    <w:qFormat/>
    <w:uiPriority w:val="0"/>
  </w:style>
  <w:style w:type="character" w:customStyle="1" w:styleId="118">
    <w:name w:val="textbodybold1"/>
    <w:qFormat/>
    <w:uiPriority w:val="0"/>
    <w:rPr>
      <w:rFonts w:hint="default" w:ascii="Arial" w:hAnsi="Arial" w:eastAsia="宋体" w:cs="Arial"/>
      <w:b/>
      <w:bCs/>
      <w:color w:val="902630"/>
      <w:sz w:val="18"/>
      <w:szCs w:val="18"/>
      <w:lang w:val="en-US" w:eastAsia="zh-CN" w:bidi="ar-SA"/>
    </w:rPr>
  </w:style>
  <w:style w:type="paragraph" w:customStyle="1" w:styleId="119">
    <w:name w:val="Proposal"/>
    <w:basedOn w:val="28"/>
    <w:link w:val="121"/>
    <w:qFormat/>
    <w:uiPriority w:val="0"/>
    <w:pPr>
      <w:numPr>
        <w:ilvl w:val="0"/>
        <w:numId w:val="7"/>
      </w:numPr>
      <w:tabs>
        <w:tab w:val="left" w:pos="1560"/>
      </w:tabs>
    </w:pPr>
    <w:rPr>
      <w:b/>
    </w:rPr>
  </w:style>
  <w:style w:type="paragraph" w:customStyle="1" w:styleId="12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21">
    <w:name w:val="Proposal Char"/>
    <w:link w:val="119"/>
    <w:qFormat/>
    <w:uiPriority w:val="0"/>
    <w:rPr>
      <w:rFonts w:eastAsia="Times New Roman"/>
      <w:b/>
      <w:lang w:val="en-GB"/>
    </w:rPr>
  </w:style>
  <w:style w:type="paragraph" w:customStyle="1" w:styleId="122">
    <w:name w:val="Proposal list"/>
    <w:basedOn w:val="119"/>
    <w:link w:val="123"/>
    <w:qFormat/>
    <w:uiPriority w:val="0"/>
    <w:pPr>
      <w:numPr>
        <w:numId w:val="0"/>
      </w:numPr>
      <w:ind w:left="1560" w:hanging="1134"/>
    </w:pPr>
  </w:style>
  <w:style w:type="character" w:customStyle="1" w:styleId="123">
    <w:name w:val="Proposal list Char"/>
    <w:basedOn w:val="121"/>
    <w:link w:val="122"/>
    <w:qFormat/>
    <w:uiPriority w:val="0"/>
    <w:rPr>
      <w:rFonts w:eastAsia="宋体"/>
      <w:lang w:val="en-GB" w:eastAsia="en-US" w:bidi="ar-SA"/>
    </w:rPr>
  </w:style>
  <w:style w:type="character" w:customStyle="1" w:styleId="124">
    <w:name w:val="B2 Char"/>
    <w:link w:val="93"/>
    <w:qFormat/>
    <w:uiPriority w:val="0"/>
    <w:rPr>
      <w:rFonts w:eastAsia="Times New Roman"/>
      <w:lang w:val="en-GB"/>
    </w:rPr>
  </w:style>
  <w:style w:type="paragraph" w:styleId="125">
    <w:name w:val="List Paragraph"/>
    <w:basedOn w:val="1"/>
    <w:qFormat/>
    <w:uiPriority w:val="34"/>
    <w:pPr>
      <w:ind w:left="720"/>
      <w:contextualSpacing/>
    </w:pPr>
  </w:style>
  <w:style w:type="paragraph" w:customStyle="1" w:styleId="126">
    <w:name w:val="Observation"/>
    <w:link w:val="127"/>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7">
    <w:name w:val="Observation Char"/>
    <w:basedOn w:val="121"/>
    <w:link w:val="126"/>
    <w:qFormat/>
    <w:uiPriority w:val="0"/>
    <w:rPr>
      <w:rFonts w:eastAsia="Times New Roman"/>
      <w:lang w:val="en-GB"/>
    </w:rPr>
  </w:style>
  <w:style w:type="character" w:customStyle="1" w:styleId="128">
    <w:name w:val="TAL Char"/>
    <w:qFormat/>
    <w:uiPriority w:val="0"/>
    <w:rPr>
      <w:rFonts w:ascii="Arial" w:hAnsi="Arial"/>
      <w:sz w:val="18"/>
      <w:lang w:val="en-GB" w:eastAsia="en-US"/>
    </w:rPr>
  </w:style>
  <w:style w:type="character" w:customStyle="1" w:styleId="129">
    <w:name w:val="TAH Char"/>
    <w:link w:val="55"/>
    <w:qFormat/>
    <w:uiPriority w:val="0"/>
    <w:rPr>
      <w:rFonts w:ascii="Arial" w:hAnsi="Arial" w:eastAsia="Times New Roman"/>
      <w:b/>
      <w:sz w:val="18"/>
      <w:lang w:val="en-GB"/>
    </w:rPr>
  </w:style>
  <w:style w:type="paragraph" w:customStyle="1" w:styleId="130">
    <w:name w:val="First Change"/>
    <w:basedOn w:val="1"/>
    <w:qFormat/>
    <w:uiPriority w:val="0"/>
    <w:pPr>
      <w:jc w:val="center"/>
    </w:pPr>
    <w:rPr>
      <w:color w:val="FF0000"/>
    </w:rPr>
  </w:style>
  <w:style w:type="character" w:customStyle="1" w:styleId="131">
    <w:name w:val="CR Cover Page Zchn"/>
    <w:link w:val="91"/>
    <w:qFormat/>
    <w:uiPriority w:val="0"/>
    <w:rPr>
      <w:rFonts w:ascii="Arial" w:hAnsi="Arial"/>
      <w:lang w:val="en-GB"/>
    </w:rPr>
  </w:style>
  <w:style w:type="paragraph" w:customStyle="1" w:styleId="132">
    <w:name w:val="修订1"/>
    <w:hidden/>
    <w:semiHidden/>
    <w:qFormat/>
    <w:uiPriority w:val="99"/>
    <w:rPr>
      <w:rFonts w:ascii="Times New Roman" w:hAnsi="Times New Roman" w:eastAsia="Times New Roman" w:cs="Times New Roman"/>
      <w:lang w:val="en-GB" w:eastAsia="en-US" w:bidi="ar-SA"/>
    </w:rPr>
  </w:style>
  <w:style w:type="character" w:customStyle="1" w:styleId="133">
    <w:name w:val="B1 Char"/>
    <w:qFormat/>
    <w:uiPriority w:val="0"/>
    <w:rPr>
      <w:rFonts w:eastAsia="Times New Roman"/>
      <w:color w:val="000000"/>
      <w:lang w:val="en-GB" w:eastAsia="ja-JP"/>
    </w:rPr>
  </w:style>
  <w:style w:type="character" w:customStyle="1" w:styleId="134">
    <w:name w:val="批注文字 Char"/>
    <w:basedOn w:val="43"/>
    <w:link w:val="27"/>
    <w:semiHidden/>
    <w:qFormat/>
    <w:uiPriority w:val="0"/>
    <w:rPr>
      <w:rFonts w:eastAsia="Times New Roman"/>
      <w:lang w:val="en-GB"/>
    </w:rPr>
  </w:style>
  <w:style w:type="character" w:customStyle="1" w:styleId="135">
    <w:name w:val="NO Zchn"/>
    <w:qFormat/>
    <w:uiPriority w:val="0"/>
    <w:rPr>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6BD60-B358-49ED-B58F-B562895B3DA7}">
  <ds:schemaRefs/>
</ds:datastoreItem>
</file>

<file path=customXml/itemProps2.xml><?xml version="1.0" encoding="utf-8"?>
<ds:datastoreItem xmlns:ds="http://schemas.openxmlformats.org/officeDocument/2006/customXml" ds:itemID="{B2D1BB4A-6786-40B0-99FF-103965C16E23}">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1631</Words>
  <Characters>9298</Characters>
  <Lines>77</Lines>
  <Paragraphs>21</Paragraphs>
  <TotalTime>3</TotalTime>
  <ScaleCrop>false</ScaleCrop>
  <LinksUpToDate>false</LinksUpToDate>
  <CharactersWithSpaces>10908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2026-01-04T08:09:00Z</dcterms:created>
  <dc:creator>ZTE</dc:creator>
  <cp:lastModifiedBy>Yin</cp:lastModifiedBy>
  <cp:lastPrinted>2009-04-22T07:01:00Z</cp:lastPrinted>
  <dcterms:modified xsi:type="dcterms:W3CDTF">2026-01-29T08:45:58Z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485D0DAA4E70449FA995A9CB2BAA73A1</vt:lpwstr>
  </property>
</Properties>
</file>