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0111" w14:textId="2C5D56FC" w:rsidR="0056047F" w:rsidRPr="007B24F2" w:rsidRDefault="0056047F" w:rsidP="0056047F">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422FC7" w:rsidRPr="164D103F">
        <w:rPr>
          <w:rFonts w:cs="Arial"/>
          <w:bCs/>
          <w:sz w:val="24"/>
          <w:szCs w:val="24"/>
        </w:rPr>
        <w:t>-RAN WG3 Meeting #</w:t>
      </w:r>
      <w:r w:rsidR="00026509">
        <w:rPr>
          <w:rFonts w:cs="Arial"/>
          <w:bCs/>
          <w:sz w:val="24"/>
          <w:szCs w:val="24"/>
        </w:rPr>
        <w:t>130</w:t>
      </w:r>
      <w:r w:rsidRPr="007B24F2">
        <w:rPr>
          <w:bCs/>
          <w:sz w:val="24"/>
          <w:szCs w:val="24"/>
        </w:rPr>
        <w:tab/>
      </w:r>
      <w:r w:rsidR="008A5D29" w:rsidRPr="008A5D29">
        <w:rPr>
          <w:bCs/>
          <w:sz w:val="24"/>
          <w:szCs w:val="24"/>
        </w:rPr>
        <w:t>R</w:t>
      </w:r>
      <w:r w:rsidR="00455941">
        <w:rPr>
          <w:bCs/>
          <w:sz w:val="24"/>
          <w:szCs w:val="24"/>
        </w:rPr>
        <w:t>3</w:t>
      </w:r>
      <w:r w:rsidR="008A5D29" w:rsidRPr="008A5D29">
        <w:rPr>
          <w:bCs/>
          <w:sz w:val="24"/>
          <w:szCs w:val="24"/>
        </w:rPr>
        <w:t>-</w:t>
      </w:r>
      <w:r w:rsidR="00455941" w:rsidRPr="00455941">
        <w:rPr>
          <w:bCs/>
          <w:sz w:val="24"/>
          <w:szCs w:val="24"/>
        </w:rPr>
        <w:t>258191</w:t>
      </w:r>
    </w:p>
    <w:p w14:paraId="0789ADBD" w14:textId="570EA055" w:rsidR="0056047F" w:rsidRPr="007B24F2" w:rsidRDefault="00026509" w:rsidP="0056047F">
      <w:pPr>
        <w:pStyle w:val="Header"/>
        <w:tabs>
          <w:tab w:val="left" w:pos="2410"/>
          <w:tab w:val="right" w:pos="9639"/>
        </w:tabs>
        <w:rPr>
          <w:bCs/>
          <w:sz w:val="24"/>
          <w:szCs w:val="24"/>
        </w:rPr>
      </w:pPr>
      <w:r>
        <w:rPr>
          <w:rFonts w:cs="Arial"/>
          <w:color w:val="444444"/>
          <w:sz w:val="24"/>
          <w:szCs w:val="24"/>
          <w:shd w:val="clear" w:color="auto" w:fill="FFFFFF"/>
        </w:rPr>
        <w:t>Dallas</w:t>
      </w:r>
      <w:r w:rsidR="0056047F" w:rsidRPr="00B66B21">
        <w:rPr>
          <w:rFonts w:cs="Arial"/>
          <w:color w:val="444444"/>
          <w:sz w:val="24"/>
          <w:szCs w:val="24"/>
          <w:shd w:val="clear" w:color="auto" w:fill="FFFFFF"/>
        </w:rPr>
        <w:t xml:space="preserve">, </w:t>
      </w:r>
      <w:r>
        <w:rPr>
          <w:rFonts w:cs="Arial"/>
          <w:color w:val="444444"/>
          <w:sz w:val="24"/>
          <w:szCs w:val="24"/>
          <w:shd w:val="clear" w:color="auto" w:fill="FFFFFF"/>
        </w:rPr>
        <w:t>US</w:t>
      </w:r>
      <w:r w:rsidR="0056047F" w:rsidRPr="007B24F2">
        <w:rPr>
          <w:rFonts w:eastAsia="Batang" w:cs="Arial"/>
          <w:color w:val="000000"/>
          <w:sz w:val="24"/>
          <w:szCs w:val="24"/>
        </w:rPr>
        <w:t xml:space="preserve">, </w:t>
      </w:r>
      <w:r>
        <w:rPr>
          <w:rFonts w:eastAsia="Batang" w:cs="Arial"/>
          <w:color w:val="000000"/>
          <w:sz w:val="24"/>
          <w:szCs w:val="24"/>
        </w:rPr>
        <w:t>November</w:t>
      </w:r>
      <w:r w:rsidR="0056047F">
        <w:rPr>
          <w:rFonts w:eastAsia="Batang" w:cs="Arial"/>
          <w:color w:val="000000"/>
          <w:sz w:val="24"/>
          <w:szCs w:val="24"/>
        </w:rPr>
        <w:t xml:space="preserve"> 1</w:t>
      </w:r>
      <w:r>
        <w:rPr>
          <w:rFonts w:eastAsia="Batang" w:cs="Arial"/>
          <w:color w:val="000000"/>
          <w:sz w:val="24"/>
          <w:szCs w:val="24"/>
        </w:rPr>
        <w:t>7-21</w:t>
      </w:r>
      <w:r w:rsidR="0056047F">
        <w:rPr>
          <w:rFonts w:eastAsia="Batang" w:cs="Arial"/>
          <w:color w:val="000000"/>
          <w:sz w:val="24"/>
          <w:szCs w:val="24"/>
        </w:rPr>
        <w:t>,</w:t>
      </w:r>
      <w:r w:rsidR="0056047F" w:rsidRPr="007B24F2">
        <w:rPr>
          <w:rFonts w:eastAsia="Batang" w:cs="Arial"/>
          <w:color w:val="000000"/>
          <w:sz w:val="24"/>
          <w:szCs w:val="24"/>
        </w:rPr>
        <w:t xml:space="preserve"> 202</w:t>
      </w:r>
      <w:r w:rsidR="0056047F">
        <w:rPr>
          <w:rFonts w:eastAsia="Batang" w:cs="Arial"/>
          <w:color w:val="000000"/>
          <w:sz w:val="24"/>
          <w:szCs w:val="24"/>
        </w:rPr>
        <w:t>5</w:t>
      </w:r>
    </w:p>
    <w:p w14:paraId="47DAE6DA" w14:textId="77777777" w:rsidR="0056047F" w:rsidRPr="007B24F2" w:rsidRDefault="0056047F" w:rsidP="0056047F">
      <w:pPr>
        <w:pStyle w:val="Header"/>
        <w:rPr>
          <w:bCs/>
          <w:sz w:val="24"/>
        </w:rPr>
      </w:pPr>
    </w:p>
    <w:p w14:paraId="33D72611" w14:textId="77777777" w:rsidR="0056047F" w:rsidRPr="007B24F2" w:rsidRDefault="0056047F" w:rsidP="0056047F">
      <w:pPr>
        <w:pStyle w:val="Header"/>
        <w:rPr>
          <w:bCs/>
          <w:sz w:val="24"/>
        </w:rPr>
      </w:pPr>
    </w:p>
    <w:p w14:paraId="5FDC3117" w14:textId="5FE7FF74"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w:t>
      </w:r>
      <w:r w:rsidR="00A138C2">
        <w:rPr>
          <w:rStyle w:val="normaltextrun"/>
          <w:rFonts w:cs="Arial"/>
          <w:b/>
          <w:bCs/>
          <w:color w:val="000000" w:themeColor="text1"/>
          <w:sz w:val="24"/>
          <w:szCs w:val="24"/>
          <w:shd w:val="clear" w:color="auto" w:fill="FFFFFF"/>
        </w:rPr>
        <w:t>2.2.2</w:t>
      </w:r>
    </w:p>
    <w:p w14:paraId="1D54342C"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42623647" w14:textId="79E43C80"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A138C2" w:rsidRPr="00A138C2">
        <w:rPr>
          <w:rFonts w:ascii="Arial" w:hAnsi="Arial" w:cs="Arial"/>
          <w:b/>
          <w:bCs/>
          <w:sz w:val="24"/>
        </w:rPr>
        <w:t>Discussion on AI/ML for Intra CU LTM</w:t>
      </w:r>
    </w:p>
    <w:p w14:paraId="4CC927C5"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5C079292" w14:textId="77777777" w:rsidR="0056047F" w:rsidRPr="004B3B5B" w:rsidRDefault="0056047F" w:rsidP="0056047F">
      <w:pPr>
        <w:pStyle w:val="Heading1"/>
      </w:pPr>
      <w:r>
        <w:t>1</w:t>
      </w:r>
      <w:r>
        <w:tab/>
        <w:t>Introduction</w:t>
      </w:r>
    </w:p>
    <w:p w14:paraId="298EDB5C" w14:textId="7DD8EB5E" w:rsidR="0056047F" w:rsidRDefault="00026509" w:rsidP="00BA2B38">
      <w:pPr>
        <w:pStyle w:val="B1"/>
        <w:ind w:left="0" w:firstLine="0"/>
        <w:rPr>
          <w:rFonts w:ascii="Times New Roman" w:hAnsi="Times New Roman" w:cs="Times New Roman"/>
          <w:sz w:val="20"/>
          <w:szCs w:val="20"/>
          <w:lang w:eastAsia="zh-CN"/>
        </w:rPr>
      </w:pPr>
      <w:r w:rsidRPr="1815A475">
        <w:rPr>
          <w:rFonts w:ascii="Times New Roman" w:hAnsi="Times New Roman" w:cs="Times New Roman"/>
          <w:sz w:val="20"/>
          <w:szCs w:val="20"/>
          <w:lang w:eastAsia="zh-CN"/>
        </w:rPr>
        <w:t>In th</w:t>
      </w:r>
      <w:r w:rsidR="00A138C2" w:rsidRPr="1815A475">
        <w:rPr>
          <w:rFonts w:ascii="Times New Roman" w:hAnsi="Times New Roman" w:cs="Times New Roman"/>
          <w:sz w:val="20"/>
          <w:szCs w:val="20"/>
          <w:lang w:eastAsia="zh-CN"/>
        </w:rPr>
        <w:t xml:space="preserve">is </w:t>
      </w:r>
      <w:r w:rsidR="566C6441" w:rsidRPr="1815A475">
        <w:rPr>
          <w:rFonts w:ascii="Times New Roman" w:hAnsi="Times New Roman" w:cs="Times New Roman"/>
          <w:sz w:val="20"/>
          <w:szCs w:val="20"/>
          <w:lang w:eastAsia="zh-CN"/>
        </w:rPr>
        <w:t>document</w:t>
      </w:r>
      <w:r w:rsidR="000675C0" w:rsidRPr="1815A475">
        <w:rPr>
          <w:rFonts w:ascii="Times New Roman" w:hAnsi="Times New Roman" w:cs="Times New Roman"/>
          <w:sz w:val="20"/>
          <w:szCs w:val="20"/>
          <w:lang w:eastAsia="zh-CN"/>
        </w:rPr>
        <w:t>,</w:t>
      </w:r>
      <w:r w:rsidR="00A138C2" w:rsidRPr="1815A475">
        <w:rPr>
          <w:rFonts w:ascii="Times New Roman" w:hAnsi="Times New Roman" w:cs="Times New Roman"/>
          <w:sz w:val="20"/>
          <w:szCs w:val="20"/>
          <w:lang w:eastAsia="zh-CN"/>
        </w:rPr>
        <w:t xml:space="preserve"> we</w:t>
      </w:r>
      <w:r w:rsidR="00BD7FD8" w:rsidRPr="1815A475">
        <w:rPr>
          <w:rFonts w:ascii="Times New Roman" w:hAnsi="Times New Roman" w:cs="Times New Roman"/>
          <w:sz w:val="20"/>
          <w:szCs w:val="20"/>
          <w:lang w:eastAsia="zh-CN"/>
        </w:rPr>
        <w:t xml:space="preserve"> </w:t>
      </w:r>
      <w:r w:rsidR="007F1A29" w:rsidRPr="1815A475">
        <w:rPr>
          <w:rFonts w:ascii="Times New Roman" w:hAnsi="Times New Roman" w:cs="Times New Roman"/>
          <w:sz w:val="20"/>
          <w:szCs w:val="20"/>
          <w:lang w:eastAsia="zh-CN"/>
        </w:rPr>
        <w:t xml:space="preserve">will </w:t>
      </w:r>
      <w:r w:rsidR="000675C0" w:rsidRPr="1815A475">
        <w:rPr>
          <w:rFonts w:ascii="Times New Roman" w:hAnsi="Times New Roman" w:cs="Times New Roman"/>
          <w:sz w:val="20"/>
          <w:szCs w:val="20"/>
          <w:lang w:eastAsia="zh-CN"/>
        </w:rPr>
        <w:t>discuss</w:t>
      </w:r>
      <w:r w:rsidR="18786B3B" w:rsidRPr="1815A475">
        <w:rPr>
          <w:rFonts w:ascii="Times New Roman" w:hAnsi="Times New Roman" w:cs="Times New Roman"/>
          <w:sz w:val="20"/>
          <w:szCs w:val="20"/>
          <w:lang w:eastAsia="zh-CN"/>
        </w:rPr>
        <w:t xml:space="preserve"> </w:t>
      </w:r>
      <w:r w:rsidR="00A138C2" w:rsidRPr="1815A475">
        <w:rPr>
          <w:rFonts w:ascii="Times New Roman" w:hAnsi="Times New Roman" w:cs="Times New Roman"/>
          <w:sz w:val="20"/>
          <w:szCs w:val="20"/>
          <w:lang w:eastAsia="zh-CN"/>
        </w:rPr>
        <w:t xml:space="preserve">open issues from the </w:t>
      </w:r>
      <w:r w:rsidR="02848C84" w:rsidRPr="1815A475">
        <w:rPr>
          <w:rFonts w:ascii="Times New Roman" w:hAnsi="Times New Roman" w:cs="Times New Roman"/>
          <w:sz w:val="20"/>
          <w:szCs w:val="20"/>
          <w:lang w:eastAsia="zh-CN"/>
        </w:rPr>
        <w:t>RAN3#129bis</w:t>
      </w:r>
      <w:r w:rsidR="00A138C2" w:rsidRPr="1815A475">
        <w:rPr>
          <w:rFonts w:ascii="Times New Roman" w:hAnsi="Times New Roman" w:cs="Times New Roman"/>
          <w:sz w:val="20"/>
          <w:szCs w:val="20"/>
          <w:lang w:eastAsia="zh-CN"/>
        </w:rPr>
        <w:t xml:space="preserve"> meeting</w:t>
      </w:r>
      <w:r w:rsidR="4EF44BFE" w:rsidRPr="1815A475">
        <w:rPr>
          <w:rFonts w:ascii="Times New Roman" w:hAnsi="Times New Roman" w:cs="Times New Roman"/>
          <w:sz w:val="20"/>
          <w:szCs w:val="20"/>
          <w:lang w:eastAsia="zh-CN"/>
        </w:rPr>
        <w:t>.</w:t>
      </w:r>
    </w:p>
    <w:p w14:paraId="65A19C26" w14:textId="77777777" w:rsidR="008224EB" w:rsidRDefault="008224EB" w:rsidP="008224EB">
      <w:pPr>
        <w:pStyle w:val="paragraph"/>
        <w:spacing w:before="0" w:beforeAutospacing="0" w:after="0" w:afterAutospacing="0"/>
        <w:ind w:left="135" w:hanging="135"/>
        <w:textAlignment w:val="baseline"/>
        <w:rPr>
          <w:rFonts w:ascii="Segoe UI" w:hAnsi="Segoe UI" w:cs="Segoe UI"/>
          <w:sz w:val="18"/>
          <w:szCs w:val="18"/>
        </w:rPr>
      </w:pPr>
      <w:r>
        <w:rPr>
          <w:rStyle w:val="normaltextrun"/>
          <w:rFonts w:ascii="Calibri" w:eastAsia="MS Mincho" w:hAnsi="Calibri" w:cs="Segoe UI"/>
          <w:b/>
          <w:bCs/>
          <w:color w:val="0000FF"/>
          <w:sz w:val="18"/>
          <w:szCs w:val="18"/>
        </w:rPr>
        <w:t>For AI/ML study we consider both L1 and L3 measurement based Intra-CU LTM.</w:t>
      </w:r>
      <w:r>
        <w:rPr>
          <w:rStyle w:val="eop"/>
          <w:rFonts w:ascii="Calibri" w:hAnsi="Calibri" w:cs="Segoe UI"/>
          <w:color w:val="0000FF"/>
          <w:szCs w:val="18"/>
        </w:rPr>
        <w:t> </w:t>
      </w:r>
    </w:p>
    <w:p w14:paraId="61607B94" w14:textId="4D71BFF8" w:rsidR="00BD7FD8" w:rsidRDefault="008224EB" w:rsidP="00BD7FD8">
      <w:pPr>
        <w:pStyle w:val="paragraph"/>
        <w:spacing w:before="0" w:beforeAutospacing="0" w:after="0" w:afterAutospacing="0"/>
        <w:ind w:left="135" w:hanging="135"/>
        <w:textAlignment w:val="baseline"/>
        <w:rPr>
          <w:rStyle w:val="eop"/>
          <w:rFonts w:ascii="Calibri" w:hAnsi="Calibri" w:cs="Segoe UI"/>
          <w:color w:val="0000FF"/>
          <w:szCs w:val="18"/>
        </w:rPr>
      </w:pPr>
      <w:r>
        <w:rPr>
          <w:rStyle w:val="normaltextrun"/>
          <w:rFonts w:ascii="Calibri" w:eastAsia="MS Mincho" w:hAnsi="Calibri" w:cs="Segoe UI"/>
          <w:b/>
          <w:bCs/>
          <w:color w:val="0000FF"/>
          <w:sz w:val="18"/>
          <w:szCs w:val="18"/>
        </w:rPr>
        <w:t>Further discuss whether to study addition of beam prediction in UE Trajectory prediction.</w:t>
      </w:r>
      <w:r>
        <w:rPr>
          <w:rStyle w:val="eop"/>
          <w:rFonts w:ascii="Calibri" w:hAnsi="Calibri" w:cs="Segoe UI"/>
          <w:color w:val="0000FF"/>
          <w:szCs w:val="18"/>
        </w:rPr>
        <w:t> </w:t>
      </w:r>
    </w:p>
    <w:p w14:paraId="68AF2E0A" w14:textId="14E25F2A" w:rsidR="00BD7FD8" w:rsidRPr="00BD7FD8" w:rsidRDefault="00BD7FD8" w:rsidP="008224EB">
      <w:pPr>
        <w:pStyle w:val="paragraph"/>
        <w:spacing w:before="0" w:beforeAutospacing="0" w:after="0" w:afterAutospacing="0"/>
        <w:ind w:left="135" w:hanging="135"/>
        <w:textAlignment w:val="baseline"/>
        <w:rPr>
          <w:rFonts w:ascii="Segoe UI" w:hAnsi="Segoe UI" w:cs="Segoe UI"/>
          <w:b/>
          <w:bCs/>
          <w:sz w:val="18"/>
          <w:szCs w:val="18"/>
        </w:rPr>
      </w:pPr>
      <w:r w:rsidRPr="00BD7FD8">
        <w:rPr>
          <w:rStyle w:val="normaltextrun"/>
          <w:rFonts w:ascii="Calibri" w:eastAsia="SimSun" w:hAnsi="Calibri"/>
          <w:b/>
          <w:bCs/>
          <w:color w:val="0000FF"/>
          <w:sz w:val="18"/>
          <w:szCs w:val="18"/>
          <w:shd w:val="clear" w:color="auto" w:fill="FFFFFF"/>
        </w:rPr>
        <w:t>RAN3 can further discuss whether the model inference can be located at gNB-DU to support AI/ML-based intra-CU LTM.</w:t>
      </w:r>
      <w:r w:rsidRPr="00BD7FD8">
        <w:rPr>
          <w:rStyle w:val="eop"/>
          <w:rFonts w:ascii="Calibri" w:eastAsia="MS Mincho" w:hAnsi="Calibri"/>
          <w:b/>
          <w:bCs/>
          <w:color w:val="0000FF"/>
          <w:sz w:val="18"/>
          <w:szCs w:val="18"/>
          <w:shd w:val="clear" w:color="auto" w:fill="FFFFFF"/>
        </w:rPr>
        <w:t> </w:t>
      </w:r>
    </w:p>
    <w:p w14:paraId="6882169C" w14:textId="12130DFA" w:rsidR="0056047F" w:rsidRDefault="0056047F" w:rsidP="0056047F">
      <w:pPr>
        <w:pStyle w:val="Heading1"/>
      </w:pPr>
      <w:r w:rsidRPr="007B24F2">
        <w:t>2</w:t>
      </w:r>
      <w:r w:rsidRPr="007B24F2">
        <w:tab/>
        <w:t>Discussion</w:t>
      </w:r>
    </w:p>
    <w:p w14:paraId="61AA55BB" w14:textId="21C6052D" w:rsidR="001710D9" w:rsidRPr="000A5D5F" w:rsidRDefault="001B3ACA" w:rsidP="001710D9">
      <w:pPr>
        <w:rPr>
          <w:rFonts w:ascii="Arial" w:hAnsi="Arial" w:cs="Arial"/>
          <w:sz w:val="36"/>
          <w:szCs w:val="36"/>
        </w:rPr>
      </w:pPr>
      <w:r>
        <w:rPr>
          <w:rFonts w:ascii="Arial" w:hAnsi="Arial" w:cs="Arial"/>
          <w:sz w:val="32"/>
          <w:szCs w:val="32"/>
        </w:rPr>
        <w:t xml:space="preserve">2.1       </w:t>
      </w:r>
      <w:r w:rsidR="000A5D5F" w:rsidRPr="000A5D5F">
        <w:rPr>
          <w:rFonts w:ascii="Arial" w:hAnsi="Arial" w:cs="Arial"/>
          <w:color w:val="000000"/>
          <w:sz w:val="36"/>
          <w:szCs w:val="36"/>
        </w:rPr>
        <w:t>L3 Measurement Report based Intra-CU LTM</w:t>
      </w:r>
    </w:p>
    <w:p w14:paraId="5E9DDE19" w14:textId="500AEE44" w:rsidR="1815A475" w:rsidRDefault="008224EB" w:rsidP="1815A475">
      <w:pPr>
        <w:pStyle w:val="NormalWeb"/>
      </w:pPr>
      <w:r>
        <w:t xml:space="preserve">The first step is to finalize the appropriate AI/ML use cases aimed </w:t>
      </w:r>
      <w:r w:rsidR="002678D2">
        <w:t>to enhance</w:t>
      </w:r>
      <w:r>
        <w:t xml:space="preserve"> Intra-CU LTM. Once these use cases are defined, we can determine the types of measurements required as inputs and </w:t>
      </w:r>
      <w:r w:rsidR="762BC3D3">
        <w:t xml:space="preserve">performance </w:t>
      </w:r>
      <w:r>
        <w:t>feedback to optimize model performance and prediction accuracy. Incorporating both Layer 1 (L1) and Layer 3 (L3) measurement reports as model inputs can provide deeper insights, leading to more accurate predictions.</w:t>
      </w:r>
      <w:r w:rsidR="00C92703">
        <w:t xml:space="preserve"> </w:t>
      </w:r>
      <w:r>
        <w:t>Although feedback to the model typically comes from higher-layer reports making L3 measurements sufficient in many cases, but if we are proposing this as a foundational principle before finalizing the use cases, it is advisable to consider both L1 and L3 measurement reports as inputs and feedback sources for the models.</w:t>
      </w:r>
    </w:p>
    <w:p w14:paraId="66849A20" w14:textId="4E637C58" w:rsidR="1815A475" w:rsidRPr="00FE06B2" w:rsidRDefault="008224EB" w:rsidP="1815A475">
      <w:pPr>
        <w:pStyle w:val="NormalWeb"/>
      </w:pPr>
      <w:r w:rsidRPr="1815A475">
        <w:rPr>
          <w:b/>
          <w:bCs/>
        </w:rPr>
        <w:t>Proposal 1:</w:t>
      </w:r>
      <w:r w:rsidR="00C34CCF" w:rsidRPr="1815A475">
        <w:rPr>
          <w:b/>
          <w:bCs/>
        </w:rPr>
        <w:t xml:space="preserve"> Consider both L1 and L3 measurement reports as inputs and feedback sources for the models.</w:t>
      </w:r>
    </w:p>
    <w:p w14:paraId="60149F2A" w14:textId="77777777" w:rsidR="00FE06B2" w:rsidRDefault="00C34CCF" w:rsidP="00FE06B2">
      <w:pPr>
        <w:pStyle w:val="paragraph"/>
        <w:spacing w:before="0" w:beforeAutospacing="0" w:after="0" w:afterAutospacing="0"/>
        <w:ind w:left="135" w:hanging="135"/>
        <w:textAlignment w:val="baseline"/>
        <w:rPr>
          <w:rStyle w:val="normaltextrun"/>
          <w:rFonts w:ascii="Arial" w:eastAsia="MS Mincho" w:hAnsi="Arial" w:cs="Arial"/>
          <w:color w:val="000000" w:themeColor="text1"/>
          <w:sz w:val="36"/>
          <w:szCs w:val="36"/>
        </w:rPr>
      </w:pPr>
      <w:r w:rsidRPr="00070925">
        <w:rPr>
          <w:rFonts w:ascii="Arial" w:hAnsi="Arial" w:cs="Arial"/>
          <w:sz w:val="36"/>
          <w:szCs w:val="36"/>
        </w:rPr>
        <w:t>2.2</w:t>
      </w:r>
      <w:r w:rsidRPr="00070925">
        <w:t xml:space="preserve">   </w:t>
      </w:r>
      <w:r w:rsidR="00070925" w:rsidRPr="00070925">
        <w:rPr>
          <w:rStyle w:val="normaltextrun"/>
          <w:rFonts w:ascii="Arial" w:eastAsia="MS Mincho" w:hAnsi="Arial" w:cs="Arial"/>
          <w:color w:val="000000" w:themeColor="text1"/>
          <w:sz w:val="36"/>
          <w:szCs w:val="36"/>
        </w:rPr>
        <w:t>B</w:t>
      </w:r>
      <w:r w:rsidRPr="00070925">
        <w:rPr>
          <w:rStyle w:val="normaltextrun"/>
          <w:rFonts w:ascii="Arial" w:eastAsia="MS Mincho" w:hAnsi="Arial" w:cs="Arial"/>
          <w:color w:val="000000" w:themeColor="text1"/>
          <w:sz w:val="36"/>
          <w:szCs w:val="36"/>
        </w:rPr>
        <w:t>eam prediction in UE Trajectory prediction</w:t>
      </w:r>
    </w:p>
    <w:p w14:paraId="52F0730D" w14:textId="19D6CA1E" w:rsidR="009C7DA7" w:rsidRPr="00FE06B2" w:rsidRDefault="008224EB" w:rsidP="00FE06B2">
      <w:pPr>
        <w:pStyle w:val="paragraph"/>
        <w:spacing w:before="0" w:beforeAutospacing="0" w:after="0" w:afterAutospacing="0"/>
        <w:ind w:left="135" w:hanging="135"/>
        <w:textAlignment w:val="baseline"/>
        <w:rPr>
          <w:rFonts w:ascii="Arial" w:hAnsi="Arial" w:cs="Arial"/>
          <w:color w:val="000000" w:themeColor="text1"/>
          <w:sz w:val="36"/>
          <w:szCs w:val="36"/>
        </w:rPr>
      </w:pPr>
      <w:r w:rsidRPr="00C34CCF">
        <w:rPr>
          <w:b/>
          <w:bCs/>
        </w:rPr>
        <w:br/>
      </w:r>
      <w:r w:rsidR="009C7DA7">
        <w:t>It was agreed in the previous meeting to study candidate beams along with candidate cells for AI/ML-based Intra-CU LTM handover (HO) preparation. It was also agreed to introduce AI/ML-assisted candidate cell selection for LTM handover preparation. The importance of predicted UE trajectory for AI/ML-assisted candidate cell selection is well understood, as it helps shortlist the most probable cells the UE may visit during its path.</w:t>
      </w:r>
    </w:p>
    <w:p w14:paraId="50B0BCB4" w14:textId="5728EF22" w:rsidR="1815A475" w:rsidRDefault="009C7DA7" w:rsidP="1815A475">
      <w:pPr>
        <w:pStyle w:val="NormalWeb"/>
      </w:pPr>
      <w:r>
        <w:t>Since we have agreed to consider candidate beams along with candidate cells, having beam-level UE trajectory information will be highly beneficial for selecting candidate beams in addition to candidate cells.</w:t>
      </w:r>
    </w:p>
    <w:p w14:paraId="369C8B10" w14:textId="12C37C82" w:rsidR="1815A475" w:rsidRPr="00FE06B2" w:rsidRDefault="009C7DA7" w:rsidP="1815A475">
      <w:pPr>
        <w:pStyle w:val="NormalWeb"/>
      </w:pPr>
      <w:r w:rsidRPr="1815A475">
        <w:rPr>
          <w:b/>
          <w:bCs/>
        </w:rPr>
        <w:t>Proposal 2: Introduce beam-level UE trajectory prediction, which will significantly improve the accuracy of selecting candidate beams along with candidate cells</w:t>
      </w:r>
    </w:p>
    <w:p w14:paraId="4515FAA1" w14:textId="2027EAC0" w:rsidR="1815A475" w:rsidRDefault="1815A475" w:rsidP="1815A475">
      <w:pPr>
        <w:pStyle w:val="NormalWeb"/>
        <w:rPr>
          <w:b/>
          <w:bCs/>
        </w:rPr>
      </w:pPr>
    </w:p>
    <w:p w14:paraId="4D238D35" w14:textId="708C3EAC" w:rsidR="1815A475" w:rsidRPr="00FE06B2" w:rsidRDefault="00443EC2" w:rsidP="1815A475">
      <w:pPr>
        <w:pStyle w:val="NormalWeb"/>
      </w:pPr>
      <w:r w:rsidRPr="1815A475">
        <w:rPr>
          <w:rFonts w:ascii="Arial" w:hAnsi="Arial" w:cs="Arial"/>
          <w:sz w:val="36"/>
          <w:szCs w:val="36"/>
        </w:rPr>
        <w:t xml:space="preserve">2.3 </w:t>
      </w:r>
      <w:r w:rsidR="00455941" w:rsidRPr="1815A475">
        <w:rPr>
          <w:rFonts w:ascii="Arial" w:hAnsi="Arial" w:cs="Arial"/>
          <w:sz w:val="36"/>
          <w:szCs w:val="36"/>
        </w:rPr>
        <w:t>Inference in DU</w:t>
      </w:r>
    </w:p>
    <w:p w14:paraId="328597B4" w14:textId="4F4D3635" w:rsidR="1815A475" w:rsidRPr="00FE06B2" w:rsidRDefault="00C52EC0" w:rsidP="1815A475">
      <w:pPr>
        <w:pStyle w:val="NormalWeb"/>
        <w:rPr>
          <w:rStyle w:val="Strong"/>
          <w:b w:val="0"/>
          <w:bCs w:val="0"/>
        </w:rPr>
      </w:pPr>
      <w:r w:rsidRPr="1815A475">
        <w:rPr>
          <w:rStyle w:val="Strong"/>
          <w:rFonts w:eastAsia="SimSun"/>
        </w:rPr>
        <w:t xml:space="preserve">Key Advantages of </w:t>
      </w:r>
      <w:r w:rsidR="000675C0" w:rsidRPr="1815A475">
        <w:rPr>
          <w:rStyle w:val="Strong"/>
          <w:rFonts w:eastAsia="SimSun"/>
        </w:rPr>
        <w:t>e</w:t>
      </w:r>
      <w:r w:rsidRPr="1815A475">
        <w:rPr>
          <w:rStyle w:val="Strong"/>
          <w:rFonts w:eastAsia="SimSun"/>
        </w:rPr>
        <w:t xml:space="preserve">nabling </w:t>
      </w:r>
      <w:r w:rsidR="000675C0" w:rsidRPr="1815A475">
        <w:rPr>
          <w:rStyle w:val="Strong"/>
          <w:rFonts w:eastAsia="SimSun"/>
        </w:rPr>
        <w:t>m</w:t>
      </w:r>
      <w:r w:rsidRPr="1815A475">
        <w:rPr>
          <w:rStyle w:val="Strong"/>
          <w:rFonts w:eastAsia="SimSun"/>
        </w:rPr>
        <w:t xml:space="preserve">odel </w:t>
      </w:r>
      <w:r w:rsidR="000675C0" w:rsidRPr="1815A475">
        <w:rPr>
          <w:rStyle w:val="Strong"/>
          <w:rFonts w:eastAsia="SimSun"/>
        </w:rPr>
        <w:t>i</w:t>
      </w:r>
      <w:r w:rsidRPr="1815A475">
        <w:rPr>
          <w:rStyle w:val="Strong"/>
          <w:rFonts w:eastAsia="SimSun"/>
        </w:rPr>
        <w:t>nferencing at the DU</w:t>
      </w:r>
    </w:p>
    <w:p w14:paraId="51AB71A0" w14:textId="39570DFC" w:rsidR="00C52EC0" w:rsidRDefault="00C52EC0" w:rsidP="00C52EC0">
      <w:pPr>
        <w:pStyle w:val="NormalWeb"/>
      </w:pPr>
      <w:r>
        <w:t>A major benefit of introducing model inference capabilities at the Distributed Unit (DU) is the ability to deploy models</w:t>
      </w:r>
      <w:r w:rsidR="00DA5E06">
        <w:t xml:space="preserve"> </w:t>
      </w:r>
      <w:r>
        <w:t>such as UE trajectory prediction models</w:t>
      </w:r>
      <w:r w:rsidR="00EC3D77">
        <w:t xml:space="preserve">, </w:t>
      </w:r>
      <w:r>
        <w:t>that are trained at centralized nodes like the gNB Central Unit (CU) or OAM systems. Once deployed, the DU can utilize the predicted UE trajectory to proactively identify and select the most suitable target cell for issuing cell switch commands. This enables faster and more intelligent handover decisions, significantly enhancing mobility management, reducing latency, and improving overall network performance.</w:t>
      </w:r>
    </w:p>
    <w:p w14:paraId="0BD8A49A" w14:textId="6025747B" w:rsidR="00150D27" w:rsidRDefault="00172F6B" w:rsidP="000B0BAA">
      <w:pPr>
        <w:pStyle w:val="NormalWeb"/>
      </w:pPr>
      <w:r>
        <w:t>An additional benefit of enabling model inference at the Distributed Unit (DU) is its ability to generate predictions based on data that is highly localized and specific to the DU such as radio resource usage or other DU-dependent metrics. These localized predictions can be shared with AI/ML models residing in the Central Unit (CU), such as those used for assisted cell selection during the LTM handover preparation stage. By incorporating DU-specific insights, these centralized models can make more accurate and context-aware decisions, ultimately improving the selection of the most suitable target cells and enhancing overall network performance.</w:t>
      </w:r>
      <w:r>
        <w:br/>
      </w:r>
      <w:r w:rsidRPr="00172F6B">
        <w:rPr>
          <w:b/>
          <w:bCs/>
        </w:rPr>
        <w:br/>
        <w:t xml:space="preserve">Proposal 3: RAN3 </w:t>
      </w:r>
      <w:r w:rsidR="00615B50">
        <w:rPr>
          <w:b/>
          <w:bCs/>
        </w:rPr>
        <w:t>should</w:t>
      </w:r>
      <w:r w:rsidRPr="00172F6B">
        <w:rPr>
          <w:b/>
          <w:bCs/>
        </w:rPr>
        <w:t xml:space="preserve"> consider </w:t>
      </w:r>
      <w:r w:rsidR="000675C0">
        <w:rPr>
          <w:b/>
          <w:bCs/>
        </w:rPr>
        <w:t>e</w:t>
      </w:r>
      <w:r>
        <w:rPr>
          <w:b/>
          <w:bCs/>
        </w:rPr>
        <w:t>nabling</w:t>
      </w:r>
      <w:r w:rsidRPr="00172F6B">
        <w:rPr>
          <w:b/>
          <w:bCs/>
        </w:rPr>
        <w:t xml:space="preserve"> </w:t>
      </w:r>
      <w:r w:rsidR="00615B50">
        <w:rPr>
          <w:b/>
          <w:bCs/>
        </w:rPr>
        <w:t>m</w:t>
      </w:r>
      <w:r w:rsidRPr="00172F6B">
        <w:rPr>
          <w:b/>
          <w:bCs/>
        </w:rPr>
        <w:t xml:space="preserve">odel inference in </w:t>
      </w:r>
      <w:r w:rsidR="00BD7FD8">
        <w:rPr>
          <w:b/>
          <w:bCs/>
        </w:rPr>
        <w:t xml:space="preserve">gNB </w:t>
      </w:r>
      <w:r w:rsidRPr="00172F6B">
        <w:rPr>
          <w:b/>
          <w:bCs/>
        </w:rPr>
        <w:t>DU.</w:t>
      </w:r>
    </w:p>
    <w:p w14:paraId="548FCCBA" w14:textId="77777777" w:rsidR="0056047F" w:rsidRDefault="0056047F" w:rsidP="0056047F">
      <w:pPr>
        <w:pStyle w:val="Heading1"/>
        <w:rPr>
          <w:lang w:eastAsia="zh-CN"/>
        </w:rPr>
      </w:pPr>
      <w:r>
        <w:t>3</w:t>
      </w:r>
      <w:bookmarkStart w:id="1" w:name="_Hlk527071819"/>
      <w:r>
        <w:tab/>
        <w:t>Conclusions</w:t>
      </w:r>
      <w:bookmarkEnd w:id="1"/>
    </w:p>
    <w:p w14:paraId="638525DF" w14:textId="64A455B8" w:rsidR="00443EC2" w:rsidRDefault="00443EC2" w:rsidP="00443EC2">
      <w:pPr>
        <w:pStyle w:val="NormalWeb"/>
        <w:rPr>
          <w:b/>
          <w:bCs/>
        </w:rPr>
      </w:pPr>
      <w:r w:rsidRPr="1815A475">
        <w:rPr>
          <w:b/>
          <w:bCs/>
        </w:rPr>
        <w:t>Proposal 1: Consider both L1 and L3 measurement reports as inputs and feedback sources for the models.</w:t>
      </w:r>
    </w:p>
    <w:p w14:paraId="3CEAD5A2" w14:textId="6508C817" w:rsidR="00443EC2" w:rsidRDefault="00443EC2" w:rsidP="00443EC2">
      <w:pPr>
        <w:pStyle w:val="NormalWeb"/>
        <w:rPr>
          <w:b/>
          <w:bCs/>
        </w:rPr>
      </w:pPr>
      <w:r w:rsidRPr="009C7DA7">
        <w:rPr>
          <w:b/>
          <w:bCs/>
        </w:rPr>
        <w:t>Proposal 2: Introduce beam-level UE trajectory prediction, which will significantly improve the accuracy of selecting candidate beams along with candidate cells.</w:t>
      </w:r>
    </w:p>
    <w:p w14:paraId="0F795627" w14:textId="237A069E" w:rsidR="00443EC2" w:rsidRDefault="00BD7FD8" w:rsidP="00443EC2">
      <w:pPr>
        <w:pStyle w:val="NormalWeb"/>
        <w:rPr>
          <w:b/>
          <w:bCs/>
        </w:rPr>
      </w:pPr>
      <w:r w:rsidRPr="1815A475">
        <w:rPr>
          <w:b/>
          <w:bCs/>
        </w:rPr>
        <w:t xml:space="preserve">Proposal 3: RAN3 </w:t>
      </w:r>
      <w:r w:rsidR="00FE06B2">
        <w:rPr>
          <w:b/>
          <w:bCs/>
        </w:rPr>
        <w:t>should</w:t>
      </w:r>
      <w:r w:rsidRPr="1815A475">
        <w:rPr>
          <w:b/>
          <w:bCs/>
        </w:rPr>
        <w:t xml:space="preserve"> consider </w:t>
      </w:r>
      <w:r w:rsidR="000675C0" w:rsidRPr="1815A475">
        <w:rPr>
          <w:b/>
          <w:bCs/>
        </w:rPr>
        <w:t>e</w:t>
      </w:r>
      <w:r w:rsidRPr="1815A475">
        <w:rPr>
          <w:b/>
          <w:bCs/>
        </w:rPr>
        <w:t xml:space="preserve">nabling </w:t>
      </w:r>
      <w:r w:rsidR="00FE06B2">
        <w:rPr>
          <w:b/>
          <w:bCs/>
        </w:rPr>
        <w:t>m</w:t>
      </w:r>
      <w:r w:rsidRPr="1815A475">
        <w:rPr>
          <w:b/>
          <w:bCs/>
        </w:rPr>
        <w:t>odel inference in gNB DU.</w:t>
      </w:r>
    </w:p>
    <w:p w14:paraId="28A37450" w14:textId="448ECEE5" w:rsidR="0056047F" w:rsidRPr="007B24F2" w:rsidRDefault="1C5745D6" w:rsidP="0056047F">
      <w:pPr>
        <w:pStyle w:val="Heading1"/>
      </w:pPr>
      <w:r>
        <w:t>4</w:t>
      </w:r>
      <w:r w:rsidR="0056047F">
        <w:tab/>
        <w:t>References</w:t>
      </w:r>
    </w:p>
    <w:p w14:paraId="3D9BE9D8" w14:textId="16CFD2E8" w:rsidR="42C402D6" w:rsidRDefault="42C402D6" w:rsidP="00FE06B2">
      <w:r>
        <w:t>[1</w:t>
      </w:r>
      <w:proofErr w:type="gramStart"/>
      <w:r>
        <w:t>]  RAN</w:t>
      </w:r>
      <w:proofErr w:type="gramEnd"/>
      <w:r>
        <w:t>3#129bis chair note</w:t>
      </w:r>
    </w:p>
    <w:p w14:paraId="0CBA9FBD" w14:textId="0A54D997" w:rsidR="42C402D6" w:rsidRDefault="42C402D6" w:rsidP="1815A475">
      <w:r>
        <w:t xml:space="preserve">[2] R3-257239 </w:t>
      </w:r>
    </w:p>
    <w:p w14:paraId="21B1E09B" w14:textId="01ED7598" w:rsidR="003E3BB1" w:rsidRDefault="003E3BB1"/>
    <w:sectPr w:rsidR="003E3BB1" w:rsidSect="00571B3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EC06" w14:textId="77777777" w:rsidR="00BA2AC8" w:rsidRDefault="00BA2AC8">
      <w:pPr>
        <w:spacing w:after="0"/>
      </w:pPr>
      <w:r>
        <w:separator/>
      </w:r>
    </w:p>
  </w:endnote>
  <w:endnote w:type="continuationSeparator" w:id="0">
    <w:p w14:paraId="10F612AF" w14:textId="77777777" w:rsidR="00BA2AC8" w:rsidRDefault="00BA2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D413" w14:textId="77777777" w:rsidR="00950B96" w:rsidRDefault="00950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6691" w14:textId="77777777" w:rsidR="00950B96" w:rsidRDefault="00950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2B77" w14:textId="77777777" w:rsidR="00950B96" w:rsidRDefault="00950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C6C6" w14:textId="77777777" w:rsidR="00BA2AC8" w:rsidRDefault="00BA2AC8">
      <w:pPr>
        <w:spacing w:after="0"/>
      </w:pPr>
      <w:r>
        <w:separator/>
      </w:r>
    </w:p>
  </w:footnote>
  <w:footnote w:type="continuationSeparator" w:id="0">
    <w:p w14:paraId="18B78F6D" w14:textId="77777777" w:rsidR="00BA2AC8" w:rsidRDefault="00BA2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AA25" w14:textId="77777777" w:rsidR="00950B96" w:rsidRDefault="00950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AC00" w14:textId="77777777" w:rsidR="00950B96" w:rsidRDefault="00950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DE78" w14:textId="77777777" w:rsidR="00950B96" w:rsidRDefault="00950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380CCC"/>
    <w:multiLevelType w:val="multilevel"/>
    <w:tmpl w:val="244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3"/>
  </w:num>
  <w:num w:numId="2">
    <w:abstractNumId w:val="0"/>
  </w:num>
  <w:num w:numId="3">
    <w:abstractNumId w:val="0"/>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1094C"/>
    <w:rsid w:val="00026509"/>
    <w:rsid w:val="00065839"/>
    <w:rsid w:val="000675C0"/>
    <w:rsid w:val="00070925"/>
    <w:rsid w:val="000A5D5F"/>
    <w:rsid w:val="000B0BAA"/>
    <w:rsid w:val="000F1777"/>
    <w:rsid w:val="00150D27"/>
    <w:rsid w:val="00157E7D"/>
    <w:rsid w:val="001710D9"/>
    <w:rsid w:val="00172F6B"/>
    <w:rsid w:val="001B3ACA"/>
    <w:rsid w:val="001E435B"/>
    <w:rsid w:val="001E4E41"/>
    <w:rsid w:val="0021514A"/>
    <w:rsid w:val="002259EC"/>
    <w:rsid w:val="00244156"/>
    <w:rsid w:val="002678D2"/>
    <w:rsid w:val="00297106"/>
    <w:rsid w:val="002A1223"/>
    <w:rsid w:val="002B263C"/>
    <w:rsid w:val="002E70C5"/>
    <w:rsid w:val="002F79BB"/>
    <w:rsid w:val="003420DB"/>
    <w:rsid w:val="00352CB9"/>
    <w:rsid w:val="00396083"/>
    <w:rsid w:val="003E3BB1"/>
    <w:rsid w:val="004158A9"/>
    <w:rsid w:val="00422FC7"/>
    <w:rsid w:val="00443EC2"/>
    <w:rsid w:val="00455941"/>
    <w:rsid w:val="00456E50"/>
    <w:rsid w:val="0047303F"/>
    <w:rsid w:val="004C32C7"/>
    <w:rsid w:val="004F1C88"/>
    <w:rsid w:val="00536E46"/>
    <w:rsid w:val="00547A86"/>
    <w:rsid w:val="00553017"/>
    <w:rsid w:val="0056047F"/>
    <w:rsid w:val="00571620"/>
    <w:rsid w:val="005F1637"/>
    <w:rsid w:val="005F68F0"/>
    <w:rsid w:val="00603BEA"/>
    <w:rsid w:val="006078B4"/>
    <w:rsid w:val="00615B50"/>
    <w:rsid w:val="00760422"/>
    <w:rsid w:val="00763A9B"/>
    <w:rsid w:val="007667A2"/>
    <w:rsid w:val="0078A143"/>
    <w:rsid w:val="007C2043"/>
    <w:rsid w:val="007F1A29"/>
    <w:rsid w:val="007F6F57"/>
    <w:rsid w:val="008224EB"/>
    <w:rsid w:val="00846318"/>
    <w:rsid w:val="008A5D29"/>
    <w:rsid w:val="008E22E6"/>
    <w:rsid w:val="00944881"/>
    <w:rsid w:val="00950B96"/>
    <w:rsid w:val="009C43FE"/>
    <w:rsid w:val="009C7DA7"/>
    <w:rsid w:val="009E3CA8"/>
    <w:rsid w:val="00A138C2"/>
    <w:rsid w:val="00A402E8"/>
    <w:rsid w:val="00AE16CF"/>
    <w:rsid w:val="00B33A47"/>
    <w:rsid w:val="00B46ABA"/>
    <w:rsid w:val="00BA2AC8"/>
    <w:rsid w:val="00BA2B38"/>
    <w:rsid w:val="00BB2DBC"/>
    <w:rsid w:val="00BD7FD8"/>
    <w:rsid w:val="00BF2D21"/>
    <w:rsid w:val="00C34CCF"/>
    <w:rsid w:val="00C3722B"/>
    <w:rsid w:val="00C52EC0"/>
    <w:rsid w:val="00C92703"/>
    <w:rsid w:val="00CE367E"/>
    <w:rsid w:val="00D00173"/>
    <w:rsid w:val="00D278FF"/>
    <w:rsid w:val="00D801CD"/>
    <w:rsid w:val="00DA5E06"/>
    <w:rsid w:val="00E95D1F"/>
    <w:rsid w:val="00EC3D77"/>
    <w:rsid w:val="00F16D63"/>
    <w:rsid w:val="00F309E9"/>
    <w:rsid w:val="00F77A58"/>
    <w:rsid w:val="00FB66F2"/>
    <w:rsid w:val="00FC0A7D"/>
    <w:rsid w:val="00FE06B2"/>
    <w:rsid w:val="00FF0E21"/>
    <w:rsid w:val="01B69AC9"/>
    <w:rsid w:val="02848C84"/>
    <w:rsid w:val="030C0B5E"/>
    <w:rsid w:val="05BBEEAE"/>
    <w:rsid w:val="0797E31E"/>
    <w:rsid w:val="07B38660"/>
    <w:rsid w:val="088475F2"/>
    <w:rsid w:val="08B96383"/>
    <w:rsid w:val="091A5C73"/>
    <w:rsid w:val="0AEAC00F"/>
    <w:rsid w:val="0C6B58D8"/>
    <w:rsid w:val="0DC4C709"/>
    <w:rsid w:val="0E0BBDE5"/>
    <w:rsid w:val="0E4EA7A5"/>
    <w:rsid w:val="0E6DA6C4"/>
    <w:rsid w:val="100300F8"/>
    <w:rsid w:val="1150C3C2"/>
    <w:rsid w:val="137D5F0C"/>
    <w:rsid w:val="1520F445"/>
    <w:rsid w:val="16E64B0D"/>
    <w:rsid w:val="16F9D1CA"/>
    <w:rsid w:val="17264940"/>
    <w:rsid w:val="1815A475"/>
    <w:rsid w:val="18786B3B"/>
    <w:rsid w:val="1A1D3136"/>
    <w:rsid w:val="1B6B1631"/>
    <w:rsid w:val="1B8120A4"/>
    <w:rsid w:val="1C5745D6"/>
    <w:rsid w:val="1F8089D2"/>
    <w:rsid w:val="20115B23"/>
    <w:rsid w:val="2130451F"/>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040CEE"/>
    <w:rsid w:val="3BC5922A"/>
    <w:rsid w:val="3C8D44B3"/>
    <w:rsid w:val="3CA53D34"/>
    <w:rsid w:val="3D8DBF40"/>
    <w:rsid w:val="3EA2AEA5"/>
    <w:rsid w:val="402C1778"/>
    <w:rsid w:val="42C402D6"/>
    <w:rsid w:val="44E935D7"/>
    <w:rsid w:val="451DECC0"/>
    <w:rsid w:val="45871C16"/>
    <w:rsid w:val="464C4A68"/>
    <w:rsid w:val="46CD20A7"/>
    <w:rsid w:val="4827447C"/>
    <w:rsid w:val="49C1D527"/>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6C6441"/>
    <w:rsid w:val="56C31595"/>
    <w:rsid w:val="57334FC9"/>
    <w:rsid w:val="588D69E6"/>
    <w:rsid w:val="5A561C6F"/>
    <w:rsid w:val="5CDF3D8A"/>
    <w:rsid w:val="5D5C9B7A"/>
    <w:rsid w:val="5DE03387"/>
    <w:rsid w:val="5ECB5B57"/>
    <w:rsid w:val="5F15B58E"/>
    <w:rsid w:val="60600AFA"/>
    <w:rsid w:val="607AE35B"/>
    <w:rsid w:val="617A34EA"/>
    <w:rsid w:val="617CB549"/>
    <w:rsid w:val="617F7817"/>
    <w:rsid w:val="639DEEC4"/>
    <w:rsid w:val="65615BDE"/>
    <w:rsid w:val="65A222F8"/>
    <w:rsid w:val="65F3EEBA"/>
    <w:rsid w:val="66BEE6F2"/>
    <w:rsid w:val="67117DE4"/>
    <w:rsid w:val="67E062F6"/>
    <w:rsid w:val="681F159B"/>
    <w:rsid w:val="6C1DF9C5"/>
    <w:rsid w:val="6CB40084"/>
    <w:rsid w:val="6CCB5B61"/>
    <w:rsid w:val="704F2E02"/>
    <w:rsid w:val="71C63B61"/>
    <w:rsid w:val="723DEB6D"/>
    <w:rsid w:val="74146956"/>
    <w:rsid w:val="746C4F9F"/>
    <w:rsid w:val="761EB6D1"/>
    <w:rsid w:val="762BC3D3"/>
    <w:rsid w:val="7763B528"/>
    <w:rsid w:val="776753D6"/>
    <w:rsid w:val="7885CA46"/>
    <w:rsid w:val="78A56A23"/>
    <w:rsid w:val="79D4D4AE"/>
    <w:rsid w:val="7AE81763"/>
    <w:rsid w:val="7B9B566A"/>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FE2F"/>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 w:type="paragraph" w:styleId="NormalWeb">
    <w:name w:val="Normal (Web)"/>
    <w:basedOn w:val="Normal"/>
    <w:uiPriority w:val="99"/>
    <w:unhideWhenUsed/>
    <w:rsid w:val="000F1777"/>
    <w:pPr>
      <w:spacing w:before="100" w:beforeAutospacing="1" w:after="100" w:afterAutospacing="1"/>
    </w:pPr>
    <w:rPr>
      <w:rFonts w:eastAsia="Times New Roman"/>
      <w:sz w:val="24"/>
      <w:szCs w:val="24"/>
      <w:lang w:val="en-US"/>
    </w:rPr>
  </w:style>
  <w:style w:type="paragraph" w:customStyle="1" w:styleId="paragraph">
    <w:name w:val="paragraph"/>
    <w:basedOn w:val="Normal"/>
    <w:rsid w:val="008224EB"/>
    <w:pPr>
      <w:spacing w:before="100" w:beforeAutospacing="1" w:after="100" w:afterAutospacing="1"/>
    </w:pPr>
    <w:rPr>
      <w:rFonts w:eastAsia="Times New Roman"/>
      <w:sz w:val="24"/>
      <w:szCs w:val="24"/>
      <w:lang w:val="en-US"/>
    </w:rPr>
  </w:style>
  <w:style w:type="paragraph" w:styleId="Revision">
    <w:name w:val="Revision"/>
    <w:hidden/>
    <w:uiPriority w:val="99"/>
    <w:semiHidden/>
    <w:rsid w:val="004F1C8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4663">
      <w:bodyDiv w:val="1"/>
      <w:marLeft w:val="0"/>
      <w:marRight w:val="0"/>
      <w:marTop w:val="0"/>
      <w:marBottom w:val="0"/>
      <w:divBdr>
        <w:top w:val="none" w:sz="0" w:space="0" w:color="auto"/>
        <w:left w:val="none" w:sz="0" w:space="0" w:color="auto"/>
        <w:bottom w:val="none" w:sz="0" w:space="0" w:color="auto"/>
        <w:right w:val="none" w:sz="0" w:space="0" w:color="auto"/>
      </w:divBdr>
    </w:div>
    <w:div w:id="281957193">
      <w:bodyDiv w:val="1"/>
      <w:marLeft w:val="0"/>
      <w:marRight w:val="0"/>
      <w:marTop w:val="0"/>
      <w:marBottom w:val="0"/>
      <w:divBdr>
        <w:top w:val="none" w:sz="0" w:space="0" w:color="auto"/>
        <w:left w:val="none" w:sz="0" w:space="0" w:color="auto"/>
        <w:bottom w:val="none" w:sz="0" w:space="0" w:color="auto"/>
        <w:right w:val="none" w:sz="0" w:space="0" w:color="auto"/>
      </w:divBdr>
    </w:div>
    <w:div w:id="370963029">
      <w:bodyDiv w:val="1"/>
      <w:marLeft w:val="0"/>
      <w:marRight w:val="0"/>
      <w:marTop w:val="0"/>
      <w:marBottom w:val="0"/>
      <w:divBdr>
        <w:top w:val="none" w:sz="0" w:space="0" w:color="auto"/>
        <w:left w:val="none" w:sz="0" w:space="0" w:color="auto"/>
        <w:bottom w:val="none" w:sz="0" w:space="0" w:color="auto"/>
        <w:right w:val="none" w:sz="0" w:space="0" w:color="auto"/>
      </w:divBdr>
    </w:div>
    <w:div w:id="645092407">
      <w:bodyDiv w:val="1"/>
      <w:marLeft w:val="0"/>
      <w:marRight w:val="0"/>
      <w:marTop w:val="0"/>
      <w:marBottom w:val="0"/>
      <w:divBdr>
        <w:top w:val="none" w:sz="0" w:space="0" w:color="auto"/>
        <w:left w:val="none" w:sz="0" w:space="0" w:color="auto"/>
        <w:bottom w:val="none" w:sz="0" w:space="0" w:color="auto"/>
        <w:right w:val="none" w:sz="0" w:space="0" w:color="auto"/>
      </w:divBdr>
      <w:divsChild>
        <w:div w:id="931814698">
          <w:marLeft w:val="0"/>
          <w:marRight w:val="0"/>
          <w:marTop w:val="0"/>
          <w:marBottom w:val="0"/>
          <w:divBdr>
            <w:top w:val="none" w:sz="0" w:space="0" w:color="auto"/>
            <w:left w:val="none" w:sz="0" w:space="0" w:color="auto"/>
            <w:bottom w:val="none" w:sz="0" w:space="0" w:color="auto"/>
            <w:right w:val="none" w:sz="0" w:space="0" w:color="auto"/>
          </w:divBdr>
        </w:div>
        <w:div w:id="1129979286">
          <w:marLeft w:val="0"/>
          <w:marRight w:val="0"/>
          <w:marTop w:val="0"/>
          <w:marBottom w:val="0"/>
          <w:divBdr>
            <w:top w:val="none" w:sz="0" w:space="0" w:color="auto"/>
            <w:left w:val="none" w:sz="0" w:space="0" w:color="auto"/>
            <w:bottom w:val="none" w:sz="0" w:space="0" w:color="auto"/>
            <w:right w:val="none" w:sz="0" w:space="0" w:color="auto"/>
          </w:divBdr>
        </w:div>
        <w:div w:id="61026081">
          <w:marLeft w:val="0"/>
          <w:marRight w:val="0"/>
          <w:marTop w:val="0"/>
          <w:marBottom w:val="0"/>
          <w:divBdr>
            <w:top w:val="none" w:sz="0" w:space="0" w:color="auto"/>
            <w:left w:val="none" w:sz="0" w:space="0" w:color="auto"/>
            <w:bottom w:val="none" w:sz="0" w:space="0" w:color="auto"/>
            <w:right w:val="none" w:sz="0" w:space="0" w:color="auto"/>
          </w:divBdr>
        </w:div>
        <w:div w:id="653295198">
          <w:marLeft w:val="0"/>
          <w:marRight w:val="0"/>
          <w:marTop w:val="0"/>
          <w:marBottom w:val="0"/>
          <w:divBdr>
            <w:top w:val="none" w:sz="0" w:space="0" w:color="auto"/>
            <w:left w:val="none" w:sz="0" w:space="0" w:color="auto"/>
            <w:bottom w:val="none" w:sz="0" w:space="0" w:color="auto"/>
            <w:right w:val="none" w:sz="0" w:space="0" w:color="auto"/>
          </w:divBdr>
        </w:div>
        <w:div w:id="189954835">
          <w:marLeft w:val="0"/>
          <w:marRight w:val="0"/>
          <w:marTop w:val="0"/>
          <w:marBottom w:val="0"/>
          <w:divBdr>
            <w:top w:val="none" w:sz="0" w:space="0" w:color="auto"/>
            <w:left w:val="none" w:sz="0" w:space="0" w:color="auto"/>
            <w:bottom w:val="none" w:sz="0" w:space="0" w:color="auto"/>
            <w:right w:val="none" w:sz="0" w:space="0" w:color="auto"/>
          </w:divBdr>
        </w:div>
      </w:divsChild>
    </w:div>
    <w:div w:id="1022558299">
      <w:bodyDiv w:val="1"/>
      <w:marLeft w:val="0"/>
      <w:marRight w:val="0"/>
      <w:marTop w:val="0"/>
      <w:marBottom w:val="0"/>
      <w:divBdr>
        <w:top w:val="none" w:sz="0" w:space="0" w:color="auto"/>
        <w:left w:val="none" w:sz="0" w:space="0" w:color="auto"/>
        <w:bottom w:val="none" w:sz="0" w:space="0" w:color="auto"/>
        <w:right w:val="none" w:sz="0" w:space="0" w:color="auto"/>
      </w:divBdr>
    </w:div>
    <w:div w:id="1029337010">
      <w:bodyDiv w:val="1"/>
      <w:marLeft w:val="0"/>
      <w:marRight w:val="0"/>
      <w:marTop w:val="0"/>
      <w:marBottom w:val="0"/>
      <w:divBdr>
        <w:top w:val="none" w:sz="0" w:space="0" w:color="auto"/>
        <w:left w:val="none" w:sz="0" w:space="0" w:color="auto"/>
        <w:bottom w:val="none" w:sz="0" w:space="0" w:color="auto"/>
        <w:right w:val="none" w:sz="0" w:space="0" w:color="auto"/>
      </w:divBdr>
      <w:divsChild>
        <w:div w:id="1043215165">
          <w:marLeft w:val="0"/>
          <w:marRight w:val="0"/>
          <w:marTop w:val="0"/>
          <w:marBottom w:val="0"/>
          <w:divBdr>
            <w:top w:val="none" w:sz="0" w:space="0" w:color="auto"/>
            <w:left w:val="none" w:sz="0" w:space="0" w:color="auto"/>
            <w:bottom w:val="none" w:sz="0" w:space="0" w:color="auto"/>
            <w:right w:val="none" w:sz="0" w:space="0" w:color="auto"/>
          </w:divBdr>
        </w:div>
      </w:divsChild>
    </w:div>
    <w:div w:id="1187404833">
      <w:bodyDiv w:val="1"/>
      <w:marLeft w:val="0"/>
      <w:marRight w:val="0"/>
      <w:marTop w:val="0"/>
      <w:marBottom w:val="0"/>
      <w:divBdr>
        <w:top w:val="none" w:sz="0" w:space="0" w:color="auto"/>
        <w:left w:val="none" w:sz="0" w:space="0" w:color="auto"/>
        <w:bottom w:val="none" w:sz="0" w:space="0" w:color="auto"/>
        <w:right w:val="none" w:sz="0" w:space="0" w:color="auto"/>
      </w:divBdr>
    </w:div>
    <w:div w:id="1398935464">
      <w:bodyDiv w:val="1"/>
      <w:marLeft w:val="0"/>
      <w:marRight w:val="0"/>
      <w:marTop w:val="0"/>
      <w:marBottom w:val="0"/>
      <w:divBdr>
        <w:top w:val="none" w:sz="0" w:space="0" w:color="auto"/>
        <w:left w:val="none" w:sz="0" w:space="0" w:color="auto"/>
        <w:bottom w:val="none" w:sz="0" w:space="0" w:color="auto"/>
        <w:right w:val="none" w:sz="0" w:space="0" w:color="auto"/>
      </w:divBdr>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773359923">
      <w:bodyDiv w:val="1"/>
      <w:marLeft w:val="0"/>
      <w:marRight w:val="0"/>
      <w:marTop w:val="0"/>
      <w:marBottom w:val="0"/>
      <w:divBdr>
        <w:top w:val="none" w:sz="0" w:space="0" w:color="auto"/>
        <w:left w:val="none" w:sz="0" w:space="0" w:color="auto"/>
        <w:bottom w:val="none" w:sz="0" w:space="0" w:color="auto"/>
        <w:right w:val="none" w:sz="0" w:space="0" w:color="auto"/>
      </w:divBdr>
    </w:div>
    <w:div w:id="1853567108">
      <w:bodyDiv w:val="1"/>
      <w:marLeft w:val="0"/>
      <w:marRight w:val="0"/>
      <w:marTop w:val="0"/>
      <w:marBottom w:val="0"/>
      <w:divBdr>
        <w:top w:val="none" w:sz="0" w:space="0" w:color="auto"/>
        <w:left w:val="none" w:sz="0" w:space="0" w:color="auto"/>
        <w:bottom w:val="none" w:sz="0" w:space="0" w:color="auto"/>
        <w:right w:val="none" w:sz="0" w:space="0" w:color="auto"/>
      </w:divBdr>
    </w:div>
    <w:div w:id="2040005192">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2.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612</Words>
  <Characters>3493</Characters>
  <Application>Microsoft Office Word</Application>
  <DocSecurity>0</DocSecurity>
  <Lines>29</Lines>
  <Paragraphs>8</Paragraphs>
  <ScaleCrop>false</ScaleCrop>
  <Company>Tejas Networks Ltd.</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17</cp:revision>
  <dcterms:created xsi:type="dcterms:W3CDTF">2025-11-06T04:40:00Z</dcterms:created>
  <dcterms:modified xsi:type="dcterms:W3CDTF">2025-11-07T01:50:00Z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