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E4E" w:rsidRPr="00514F8E" w:rsidRDefault="00E34E4E" w:rsidP="00E34E4E">
      <w:pPr>
        <w:pStyle w:val="a4"/>
        <w:tabs>
          <w:tab w:val="left" w:pos="1800"/>
        </w:tabs>
        <w:ind w:left="1800" w:hanging="1800"/>
        <w:rPr>
          <w:sz w:val="22"/>
          <w:szCs w:val="22"/>
        </w:rPr>
      </w:pPr>
      <w:r w:rsidRPr="00514F8E">
        <w:rPr>
          <w:sz w:val="22"/>
          <w:szCs w:val="22"/>
        </w:rPr>
        <w:t>3GPP TSG-RAN WG2 Meeting #97</w:t>
      </w:r>
      <w:r w:rsidRPr="00514F8E">
        <w:rPr>
          <w:sz w:val="22"/>
          <w:szCs w:val="22"/>
          <w:lang w:val="en-GB"/>
        </w:rPr>
        <w:t xml:space="preserve">        </w:t>
      </w:r>
      <w:r w:rsidRPr="00514F8E">
        <w:rPr>
          <w:sz w:val="22"/>
          <w:szCs w:val="22"/>
          <w:lang w:val="en-GB"/>
        </w:rPr>
        <w:tab/>
      </w:r>
      <w:r>
        <w:rPr>
          <w:sz w:val="22"/>
          <w:szCs w:val="22"/>
          <w:lang w:val="en-GB"/>
        </w:rPr>
        <w:tab/>
        <w:t xml:space="preserve">    </w:t>
      </w:r>
      <w:r w:rsidRPr="00514F8E">
        <w:rPr>
          <w:sz w:val="22"/>
          <w:szCs w:val="22"/>
          <w:lang w:val="en-GB"/>
        </w:rPr>
        <w:t>R2-17</w:t>
      </w:r>
      <w:r>
        <w:rPr>
          <w:sz w:val="22"/>
          <w:szCs w:val="22"/>
          <w:lang w:val="en-GB"/>
        </w:rPr>
        <w:t>00982</w:t>
      </w:r>
    </w:p>
    <w:p w:rsidR="00E34E4E" w:rsidRPr="00DA32EA" w:rsidRDefault="00E34E4E" w:rsidP="00E34E4E">
      <w:pPr>
        <w:pStyle w:val="a4"/>
        <w:tabs>
          <w:tab w:val="left" w:pos="1800"/>
        </w:tabs>
        <w:ind w:left="1800" w:hanging="1800"/>
        <w:rPr>
          <w:rFonts w:eastAsiaTheme="minorEastAsia" w:hint="eastAsia"/>
          <w:sz w:val="22"/>
          <w:szCs w:val="22"/>
          <w:lang w:eastAsia="zh-CN"/>
        </w:rPr>
      </w:pPr>
      <w:r w:rsidRPr="00514F8E">
        <w:rPr>
          <w:sz w:val="22"/>
          <w:szCs w:val="22"/>
          <w:lang w:val="en-GB"/>
        </w:rPr>
        <w:t>Athen</w:t>
      </w:r>
      <w:r w:rsidR="00A74D90">
        <w:rPr>
          <w:rFonts w:eastAsiaTheme="minorEastAsia" w:hint="eastAsia"/>
          <w:sz w:val="22"/>
          <w:szCs w:val="22"/>
          <w:lang w:val="en-GB" w:eastAsia="zh-CN"/>
        </w:rPr>
        <w:t>s</w:t>
      </w:r>
      <w:r w:rsidRPr="00514F8E">
        <w:rPr>
          <w:sz w:val="22"/>
          <w:szCs w:val="22"/>
          <w:lang w:val="en-GB"/>
        </w:rPr>
        <w:t>, Greece, 13th – 17th February 2017</w:t>
      </w:r>
      <w:r w:rsidR="00DA32EA">
        <w:rPr>
          <w:rFonts w:eastAsiaTheme="minorEastAsia" w:hint="eastAsia"/>
          <w:sz w:val="22"/>
          <w:szCs w:val="22"/>
          <w:lang w:val="en-GB" w:eastAsia="zh-CN"/>
        </w:rPr>
        <w:t xml:space="preserve">                                          </w:t>
      </w:r>
      <w:r w:rsidR="00DA32EA" w:rsidRPr="00DA32EA">
        <w:rPr>
          <w:rFonts w:eastAsiaTheme="minorEastAsia" w:hint="eastAsia"/>
          <w:i/>
          <w:sz w:val="18"/>
          <w:szCs w:val="18"/>
          <w:lang w:val="en-GB" w:eastAsia="zh-CN"/>
        </w:rPr>
        <w:t xml:space="preserve">Revision of </w:t>
      </w:r>
      <w:r w:rsidR="00DA32EA" w:rsidRPr="00DA32EA">
        <w:rPr>
          <w:rFonts w:eastAsia="宋体"/>
          <w:i/>
          <w:sz w:val="18"/>
          <w:szCs w:val="18"/>
          <w:lang w:eastAsia="zh-CN"/>
        </w:rPr>
        <w:t>R2-1700219</w:t>
      </w:r>
    </w:p>
    <w:p w:rsidR="00E34E4E" w:rsidRPr="00CD2C7E" w:rsidRDefault="00E34E4E" w:rsidP="00E34E4E">
      <w:pPr>
        <w:pStyle w:val="a4"/>
        <w:jc w:val="both"/>
        <w:rPr>
          <w:rFonts w:eastAsia="宋体" w:cs="Arial"/>
          <w:sz w:val="22"/>
          <w:szCs w:val="22"/>
          <w:lang w:eastAsia="zh-CN"/>
        </w:rPr>
      </w:pPr>
    </w:p>
    <w:p w:rsidR="00E34E4E" w:rsidRPr="00076E3A" w:rsidRDefault="00E34E4E" w:rsidP="00E34E4E">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E34E4E" w:rsidRPr="006B37EF" w:rsidRDefault="00E34E4E" w:rsidP="00E34E4E">
      <w:pPr>
        <w:pStyle w:val="a4"/>
        <w:tabs>
          <w:tab w:val="clear" w:pos="4536"/>
          <w:tab w:val="left" w:pos="1800"/>
        </w:tabs>
        <w:jc w:val="both"/>
        <w:rPr>
          <w:rFonts w:eastAsia="宋体" w:cs="Arial"/>
          <w:sz w:val="22"/>
          <w:szCs w:val="22"/>
          <w:lang w:eastAsia="zh-CN"/>
        </w:rPr>
      </w:pPr>
      <w:r w:rsidRPr="00076E3A">
        <w:rPr>
          <w:rFonts w:cs="Arial"/>
          <w:sz w:val="22"/>
          <w:szCs w:val="22"/>
        </w:rPr>
        <w:t>Title:</w:t>
      </w:r>
      <w:r w:rsidRPr="00076E3A">
        <w:rPr>
          <w:rFonts w:cs="Arial"/>
          <w:sz w:val="22"/>
          <w:szCs w:val="22"/>
        </w:rPr>
        <w:tab/>
      </w:r>
      <w:r>
        <w:rPr>
          <w:rFonts w:cs="Arial"/>
          <w:sz w:val="22"/>
          <w:szCs w:val="22"/>
        </w:rPr>
        <w:t>I</w:t>
      </w:r>
      <w:bookmarkStart w:id="0" w:name="OLE_LINK96"/>
      <w:r>
        <w:rPr>
          <w:rFonts w:cs="Arial"/>
          <w:sz w:val="22"/>
          <w:szCs w:val="22"/>
        </w:rPr>
        <w:t>ntra-NR Dual-Connectivity Option</w:t>
      </w:r>
      <w:bookmarkEnd w:id="0"/>
      <w:r>
        <w:rPr>
          <w:rFonts w:cs="Arial"/>
          <w:sz w:val="22"/>
          <w:szCs w:val="22"/>
        </w:rPr>
        <w:t>s</w:t>
      </w:r>
    </w:p>
    <w:p w:rsidR="00E34E4E" w:rsidRPr="00076E3A" w:rsidRDefault="00E34E4E" w:rsidP="00E34E4E">
      <w:pPr>
        <w:pStyle w:val="a4"/>
        <w:tabs>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Pr>
          <w:rFonts w:cs="Arial"/>
          <w:sz w:val="22"/>
          <w:szCs w:val="22"/>
        </w:rPr>
        <w:t>10.2.3</w:t>
      </w:r>
    </w:p>
    <w:p w:rsidR="00E34E4E" w:rsidRPr="00B81B31" w:rsidRDefault="00E34E4E" w:rsidP="00E34E4E">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4E4E" w:rsidRPr="00E2577D" w:rsidRDefault="00E34E4E" w:rsidP="00E34E4E">
      <w:pPr>
        <w:pBdr>
          <w:bottom w:val="single" w:sz="4" w:space="1" w:color="auto"/>
        </w:pBdr>
        <w:tabs>
          <w:tab w:val="left" w:pos="2552"/>
        </w:tabs>
        <w:jc w:val="both"/>
      </w:pPr>
    </w:p>
    <w:p w:rsidR="00E34E4E" w:rsidRPr="00D62F40" w:rsidRDefault="00E34E4E" w:rsidP="00E34E4E">
      <w:pPr>
        <w:pStyle w:val="1"/>
        <w:jc w:val="both"/>
        <w:rPr>
          <w:szCs w:val="28"/>
        </w:rPr>
      </w:pPr>
      <w:r w:rsidRPr="00D62F40">
        <w:rPr>
          <w:szCs w:val="28"/>
        </w:rPr>
        <w:t>Introduction</w:t>
      </w:r>
    </w:p>
    <w:p w:rsidR="00E34E4E" w:rsidRDefault="00E34E4E" w:rsidP="00E34E4E">
      <w:pPr>
        <w:pStyle w:val="af"/>
        <w:ind w:left="0"/>
        <w:jc w:val="both"/>
        <w:rPr>
          <w:rFonts w:eastAsia="宋体"/>
          <w:lang w:eastAsia="zh-CN"/>
        </w:rPr>
      </w:pPr>
      <w:r>
        <w:rPr>
          <w:rFonts w:eastAsia="宋体"/>
          <w:lang w:eastAsia="zh-CN"/>
        </w:rPr>
        <w:t xml:space="preserve">This contribution is an update of </w:t>
      </w:r>
      <w:r w:rsidR="00463DC9">
        <w:rPr>
          <w:rFonts w:eastAsia="宋体"/>
          <w:lang w:eastAsia="zh-CN"/>
        </w:rPr>
        <w:fldChar w:fldCharType="begin"/>
      </w:r>
      <w:r>
        <w:rPr>
          <w:rFonts w:eastAsia="宋体"/>
          <w:lang w:eastAsia="zh-CN"/>
        </w:rPr>
        <w:instrText xml:space="preserve"> REF _Ref473876485 \r \h </w:instrText>
      </w:r>
      <w:r w:rsidR="00463DC9">
        <w:rPr>
          <w:rFonts w:eastAsia="宋体"/>
          <w:lang w:eastAsia="zh-CN"/>
        </w:rPr>
      </w:r>
      <w:r w:rsidR="00463DC9">
        <w:rPr>
          <w:rFonts w:eastAsia="宋体"/>
          <w:lang w:eastAsia="zh-CN"/>
        </w:rPr>
        <w:fldChar w:fldCharType="separate"/>
      </w:r>
      <w:r>
        <w:rPr>
          <w:rFonts w:eastAsia="宋体"/>
          <w:lang w:eastAsia="zh-CN"/>
        </w:rPr>
        <w:t>[1]</w:t>
      </w:r>
      <w:r w:rsidR="00463DC9">
        <w:rPr>
          <w:rFonts w:eastAsia="宋体"/>
          <w:lang w:eastAsia="zh-CN"/>
        </w:rPr>
        <w:fldChar w:fldCharType="end"/>
      </w:r>
      <w:r>
        <w:rPr>
          <w:rFonts w:eastAsia="宋体"/>
          <w:lang w:eastAsia="zh-CN"/>
        </w:rPr>
        <w:t>.</w:t>
      </w:r>
    </w:p>
    <w:p w:rsidR="00E34E4E" w:rsidRDefault="00E34E4E" w:rsidP="00E34E4E">
      <w:pPr>
        <w:pStyle w:val="af"/>
        <w:ind w:left="0"/>
        <w:jc w:val="both"/>
        <w:rPr>
          <w:rFonts w:eastAsia="宋体"/>
          <w:lang w:eastAsia="zh-CN"/>
        </w:rPr>
      </w:pPr>
      <w:r>
        <w:rPr>
          <w:rFonts w:eastAsia="宋体"/>
          <w:lang w:eastAsia="zh-CN"/>
        </w:rPr>
        <w:t>Little discussion took place so far in RAN2 on multi-connectivity across NR nodes. In the meantime, the UP stack definition has progressed in the context of single-connectivity. An agreement was made though on the definition of multi-connectivity in RAN2#95 as follows:</w:t>
      </w:r>
    </w:p>
    <w:tbl>
      <w:tblPr>
        <w:tblW w:w="0" w:type="auto"/>
        <w:jc w:val="center"/>
        <w:tblCellMar>
          <w:left w:w="0" w:type="dxa"/>
          <w:right w:w="0" w:type="dxa"/>
        </w:tblCellMar>
        <w:tblLook w:val="04A0"/>
      </w:tblPr>
      <w:tblGrid>
        <w:gridCol w:w="9288"/>
      </w:tblGrid>
      <w:tr w:rsidR="00E34E4E" w:rsidTr="00B80E54">
        <w:trPr>
          <w:jc w:val="center"/>
        </w:trPr>
        <w:tc>
          <w:tcPr>
            <w:tcW w:w="9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4E4E" w:rsidRDefault="00E34E4E" w:rsidP="00B80E54">
            <w:pPr>
              <w:rPr>
                <w:rFonts w:ascii="Arial" w:eastAsiaTheme="minorEastAsia" w:hAnsi="Arial" w:cs="Arial"/>
                <w:sz w:val="18"/>
                <w:szCs w:val="18"/>
              </w:rPr>
            </w:pPr>
            <w:r>
              <w:rPr>
                <w:b/>
                <w:bCs/>
                <w:sz w:val="18"/>
                <w:szCs w:val="18"/>
              </w:rPr>
              <w:t>Multi-Connectivity</w:t>
            </w:r>
            <w:r>
              <w:rPr>
                <w:sz w:val="18"/>
                <w:szCs w:val="18"/>
              </w:rPr>
              <w:t>:                Mode of operation whereby a multiple Rx/Tx UE in the connected mode is configured to utilise radio resources amongst E-UTRA and NR provided by multiple distinct schedulers connected via a non-ideal backhaul.</w:t>
            </w:r>
          </w:p>
        </w:tc>
      </w:tr>
    </w:tbl>
    <w:p w:rsidR="00E34E4E" w:rsidRDefault="00E34E4E" w:rsidP="00E34E4E">
      <w:pPr>
        <w:rPr>
          <w:rFonts w:ascii="Arial" w:eastAsiaTheme="minorEastAsia" w:hAnsi="Arial" w:cs="Arial"/>
          <w:sz w:val="18"/>
          <w:szCs w:val="18"/>
        </w:rPr>
      </w:pPr>
    </w:p>
    <w:p w:rsidR="00E34E4E" w:rsidRPr="004643F7" w:rsidRDefault="00E34E4E" w:rsidP="00E34E4E">
      <w:pPr>
        <w:pStyle w:val="af"/>
        <w:ind w:left="0"/>
        <w:jc w:val="both"/>
        <w:rPr>
          <w:rFonts w:eastAsia="宋体"/>
          <w:lang w:val="en-US" w:eastAsia="zh-CN"/>
        </w:rPr>
      </w:pPr>
      <w:r>
        <w:rPr>
          <w:rFonts w:eastAsia="宋体"/>
          <w:lang w:val="en-US" w:eastAsia="zh-CN"/>
        </w:rPr>
        <w:t xml:space="preserve">In addition, RAN#74 agreed to limit the scope of NR multi-connectivity to dual connectivity in phase 1. In this contribution we list the options to be studied for dual-connectivity across NR nodes and discuss the support of intra-frequency dual-connectivity. </w:t>
      </w:r>
    </w:p>
    <w:p w:rsidR="00E34E4E" w:rsidRDefault="00E34E4E" w:rsidP="00E34E4E">
      <w:pPr>
        <w:pStyle w:val="1"/>
        <w:jc w:val="both"/>
      </w:pPr>
      <w:r w:rsidRPr="00AA54B6">
        <w:rPr>
          <w:rFonts w:hint="eastAsia"/>
        </w:rPr>
        <w:t>Discussion</w:t>
      </w:r>
    </w:p>
    <w:p w:rsidR="00E34E4E" w:rsidRDefault="00E34E4E" w:rsidP="00E34E4E">
      <w:pPr>
        <w:pStyle w:val="20"/>
        <w:ind w:left="562" w:hanging="562"/>
        <w:jc w:val="both"/>
        <w:rPr>
          <w:rFonts w:eastAsia="宋体"/>
        </w:rPr>
      </w:pPr>
      <w:r>
        <w:rPr>
          <w:rFonts w:eastAsia="宋体"/>
        </w:rPr>
        <w:t>Intra-NR dual-connectivity architecture options</w:t>
      </w:r>
    </w:p>
    <w:p w:rsidR="00E34E4E" w:rsidRDefault="00E34E4E" w:rsidP="00E34E4E">
      <w:pPr>
        <w:pStyle w:val="a0"/>
        <w:rPr>
          <w:rFonts w:eastAsia="宋体"/>
        </w:rPr>
      </w:pPr>
      <w:r>
        <w:rPr>
          <w:rFonts w:eastAsia="宋体"/>
        </w:rPr>
        <w:t>Intra-NR dual</w:t>
      </w:r>
      <w:r w:rsidRPr="00520AB6">
        <w:rPr>
          <w:rFonts w:eastAsia="宋体"/>
        </w:rPr>
        <w:t xml:space="preserve">-connectivity can be either inter- or intra-gNB. </w:t>
      </w:r>
      <w:fldSimple w:instr=" REF _Ref470100686 \h  \* MERGEFORMAT ">
        <w:r w:rsidRPr="00520AB6">
          <w:t xml:space="preserve">Figure </w:t>
        </w:r>
        <w:r w:rsidRPr="00520AB6">
          <w:rPr>
            <w:noProof/>
          </w:rPr>
          <w:t>1</w:t>
        </w:r>
      </w:fldSimple>
      <w:r w:rsidRPr="00520AB6">
        <w:rPr>
          <w:rFonts w:eastAsia="宋体"/>
        </w:rPr>
        <w:t xml:space="preserve"> illustrates both configurations,</w:t>
      </w:r>
      <w:r>
        <w:rPr>
          <w:rFonts w:eastAsia="宋体"/>
        </w:rPr>
        <w:t xml:space="preserve"> highlighting the differences.</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Both intra- and inter-gNB dual-connectivity should be supported in NR</w:t>
      </w:r>
      <w:r w:rsidRPr="00241D74">
        <w:rPr>
          <w:rFonts w:eastAsia="宋体"/>
          <w:b/>
          <w:lang w:eastAsia="zh-CN"/>
        </w:rPr>
        <w:t>.</w:t>
      </w:r>
    </w:p>
    <w:p w:rsidR="00E34E4E" w:rsidRDefault="00E34E4E" w:rsidP="00E34E4E">
      <w:pPr>
        <w:pStyle w:val="a0"/>
        <w:rPr>
          <w:rFonts w:eastAsia="宋体"/>
          <w:b/>
          <w:u w:val="single"/>
        </w:rPr>
      </w:pPr>
      <w:r>
        <w:rPr>
          <w:rFonts w:eastAsia="宋体"/>
          <w:b/>
          <w:u w:val="single"/>
        </w:rPr>
        <w:t>Intra-gNB dual</w:t>
      </w:r>
      <w:r w:rsidRPr="003F1619">
        <w:rPr>
          <w:rFonts w:eastAsia="宋体"/>
          <w:b/>
          <w:u w:val="single"/>
        </w:rPr>
        <w:t>-connectivity</w:t>
      </w:r>
    </w:p>
    <w:p w:rsidR="00E34E4E" w:rsidRPr="004F347E" w:rsidRDefault="00E34E4E" w:rsidP="00E34E4E">
      <w:pPr>
        <w:pStyle w:val="a0"/>
        <w:rPr>
          <w:rFonts w:eastAsia="宋体"/>
        </w:rPr>
      </w:pPr>
      <w:r w:rsidRPr="004F347E">
        <w:rPr>
          <w:rFonts w:eastAsia="宋体"/>
        </w:rPr>
        <w:t>In this use case, the dual-connectivity is across DUs (TRPs) controlled by the same CU via a fronthaul interface (</w:t>
      </w:r>
      <w:r>
        <w:rPr>
          <w:rFonts w:eastAsia="宋体"/>
        </w:rPr>
        <w:t xml:space="preserve">denoted </w:t>
      </w:r>
      <w:r w:rsidRPr="004F347E">
        <w:rPr>
          <w:rFonts w:eastAsia="宋体"/>
        </w:rPr>
        <w:t>Fs</w:t>
      </w:r>
      <w:r>
        <w:rPr>
          <w:rFonts w:eastAsia="宋体"/>
        </w:rPr>
        <w:t xml:space="preserve"> in RAN3</w:t>
      </w:r>
      <w:r w:rsidRPr="004F347E">
        <w:rPr>
          <w:rFonts w:eastAsia="宋体"/>
        </w:rPr>
        <w:t xml:space="preserve">). Such use case will occur as soon as some DUs are connected to a CU via non-ideal </w:t>
      </w:r>
      <w:r>
        <w:rPr>
          <w:rFonts w:eastAsia="宋体" w:hint="eastAsia"/>
          <w:lang w:eastAsia="zh-CN"/>
        </w:rPr>
        <w:t>front</w:t>
      </w:r>
      <w:r w:rsidRPr="004F347E">
        <w:rPr>
          <w:rFonts w:eastAsia="宋体"/>
        </w:rPr>
        <w:t>haul, which is part of the RAN3 split options</w:t>
      </w:r>
      <w:r>
        <w:rPr>
          <w:rFonts w:eastAsia="宋体"/>
        </w:rPr>
        <w:t>. Such dual</w:t>
      </w:r>
      <w:r w:rsidRPr="004F347E">
        <w:rPr>
          <w:rFonts w:eastAsia="宋体"/>
        </w:rPr>
        <w:t>-connectivity configuration will have quite some differences with the legacy</w:t>
      </w:r>
      <w:r>
        <w:rPr>
          <w:rFonts w:eastAsia="宋体"/>
        </w:rPr>
        <w:t xml:space="preserve"> DC</w:t>
      </w:r>
      <w:r w:rsidRPr="004F347E">
        <w:rPr>
          <w:rFonts w:eastAsia="宋体"/>
        </w:rPr>
        <w:t>. For example:</w:t>
      </w:r>
    </w:p>
    <w:p w:rsidR="00E34E4E" w:rsidRDefault="00E34E4E" w:rsidP="00E34E4E">
      <w:pPr>
        <w:pStyle w:val="a0"/>
        <w:numPr>
          <w:ilvl w:val="0"/>
          <w:numId w:val="19"/>
        </w:numPr>
        <w:rPr>
          <w:rFonts w:eastAsia="宋体"/>
        </w:rPr>
      </w:pPr>
      <w:r>
        <w:rPr>
          <w:rFonts w:eastAsia="宋体"/>
        </w:rPr>
        <w:t>The Master and Secondary roles may no longer exist or at least should be re-defined. As such, mobility across DUs does not necessarily require a role change.</w:t>
      </w:r>
    </w:p>
    <w:p w:rsidR="00E34E4E" w:rsidRPr="004F347E" w:rsidRDefault="00E34E4E" w:rsidP="00E34E4E">
      <w:pPr>
        <w:pStyle w:val="a0"/>
        <w:numPr>
          <w:ilvl w:val="0"/>
          <w:numId w:val="19"/>
        </w:numPr>
        <w:rPr>
          <w:rFonts w:eastAsia="宋体"/>
        </w:rPr>
      </w:pPr>
      <w:r>
        <w:rPr>
          <w:rFonts w:eastAsia="宋体"/>
        </w:rPr>
        <w:t xml:space="preserve">In high density deployments, intra-gNB DC should be supported across TRPs without requesting that each TRP defines a cell. For example, a cell could be defined at gNB level, leaving the flexibility to an operator to add over time new TRPs connected via non-ideal backhaul without creating a new and specific cell. In this case, DC across TRPs implies </w:t>
      </w:r>
      <w:r>
        <w:rPr>
          <w:rFonts w:eastAsiaTheme="minorEastAsia" w:hint="eastAsia"/>
          <w:lang w:eastAsia="zh-CN"/>
        </w:rPr>
        <w:t xml:space="preserve">MAC is in </w:t>
      </w:r>
      <w:r>
        <w:rPr>
          <w:rFonts w:eastAsiaTheme="minorEastAsia"/>
          <w:lang w:eastAsia="zh-CN"/>
        </w:rPr>
        <w:t>TRP</w:t>
      </w:r>
      <w:r>
        <w:rPr>
          <w:rFonts w:eastAsiaTheme="minorEastAsia" w:hint="eastAsia"/>
          <w:lang w:eastAsia="zh-CN"/>
        </w:rPr>
        <w:t xml:space="preserve"> a</w:t>
      </w:r>
      <w:r>
        <w:rPr>
          <w:rFonts w:eastAsiaTheme="minorEastAsia"/>
          <w:lang w:eastAsia="zh-CN"/>
        </w:rPr>
        <w:t>nd</w:t>
      </w:r>
      <w:r>
        <w:rPr>
          <w:rFonts w:eastAsiaTheme="minorEastAsia" w:hint="eastAsia"/>
          <w:lang w:eastAsia="zh-CN"/>
        </w:rPr>
        <w:t xml:space="preserve"> </w:t>
      </w:r>
      <w:r>
        <w:rPr>
          <w:rFonts w:eastAsiaTheme="minorEastAsia"/>
          <w:lang w:eastAsia="zh-CN"/>
        </w:rPr>
        <w:t xml:space="preserve">the multi-TRP </w:t>
      </w:r>
      <w:r>
        <w:rPr>
          <w:rFonts w:eastAsiaTheme="minorEastAsia" w:hint="eastAsia"/>
          <w:lang w:eastAsia="zh-CN"/>
        </w:rPr>
        <w:t xml:space="preserve">NR cell </w:t>
      </w:r>
      <w:r>
        <w:rPr>
          <w:rFonts w:eastAsiaTheme="minorEastAsia"/>
          <w:lang w:eastAsia="zh-CN"/>
        </w:rPr>
        <w:t>can</w:t>
      </w:r>
      <w:r>
        <w:rPr>
          <w:rFonts w:eastAsiaTheme="minorEastAsia" w:hint="eastAsia"/>
          <w:lang w:eastAsia="zh-CN"/>
        </w:rPr>
        <w:t xml:space="preserve"> ha</w:t>
      </w:r>
      <w:r>
        <w:rPr>
          <w:rFonts w:eastAsiaTheme="minorEastAsia"/>
          <w:lang w:eastAsia="zh-CN"/>
        </w:rPr>
        <w:t>ve</w:t>
      </w:r>
      <w:r>
        <w:rPr>
          <w:rFonts w:eastAsiaTheme="minorEastAsia" w:hint="eastAsia"/>
          <w:lang w:eastAsia="zh-CN"/>
        </w:rPr>
        <w:t xml:space="preserve"> more than one MAC</w:t>
      </w:r>
      <w:r>
        <w:rPr>
          <w:rFonts w:eastAsiaTheme="minorEastAsia"/>
          <w:lang w:eastAsia="zh-CN"/>
        </w:rPr>
        <w:t>, which also means two MAC entities in UE side.</w:t>
      </w:r>
      <w:r w:rsidRPr="004F347E">
        <w:rPr>
          <w:rFonts w:eastAsia="宋体"/>
        </w:rPr>
        <w:t>.</w:t>
      </w:r>
    </w:p>
    <w:p w:rsidR="00E34E4E" w:rsidRDefault="00E34E4E" w:rsidP="00E34E4E">
      <w:pPr>
        <w:pStyle w:val="a0"/>
        <w:numPr>
          <w:ilvl w:val="0"/>
          <w:numId w:val="19"/>
        </w:numPr>
        <w:rPr>
          <w:rFonts w:eastAsia="宋体"/>
        </w:rPr>
      </w:pPr>
      <w:r w:rsidRPr="004F347E">
        <w:rPr>
          <w:rFonts w:eastAsia="宋体"/>
        </w:rPr>
        <w:t xml:space="preserve">It follows that a single RRC might also be appropriate </w:t>
      </w:r>
      <w:r>
        <w:rPr>
          <w:rFonts w:eastAsia="宋体"/>
        </w:rPr>
        <w:t xml:space="preserve">at the UE </w:t>
      </w:r>
      <w:r w:rsidRPr="004F347E">
        <w:rPr>
          <w:rFonts w:eastAsia="宋体"/>
        </w:rPr>
        <w:t>in such scenario</w:t>
      </w:r>
      <w:r>
        <w:rPr>
          <w:rFonts w:eastAsia="宋体"/>
        </w:rPr>
        <w:t xml:space="preserve"> (same as legacy)</w:t>
      </w:r>
      <w:r w:rsidRPr="004F347E">
        <w:rPr>
          <w:rFonts w:eastAsia="宋体"/>
        </w:rPr>
        <w:t>.</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design options to be studied for intra-gNB multi-connectivity should include:</w:t>
      </w:r>
    </w:p>
    <w:p w:rsidR="00E34E4E" w:rsidRDefault="00E34E4E" w:rsidP="00E34E4E">
      <w:pPr>
        <w:pStyle w:val="a0"/>
        <w:rPr>
          <w:rFonts w:eastAsia="宋体"/>
          <w:b/>
          <w:lang w:eastAsia="zh-CN"/>
        </w:rPr>
      </w:pPr>
      <w:r>
        <w:rPr>
          <w:rFonts w:eastAsia="宋体"/>
          <w:b/>
          <w:lang w:eastAsia="zh-CN"/>
        </w:rPr>
        <w:t>- Revisit nodes roles</w:t>
      </w:r>
    </w:p>
    <w:p w:rsidR="00E34E4E" w:rsidRDefault="00E34E4E" w:rsidP="00E34E4E">
      <w:pPr>
        <w:pStyle w:val="a0"/>
        <w:rPr>
          <w:rFonts w:eastAsia="宋体"/>
          <w:b/>
          <w:lang w:eastAsia="zh-CN"/>
        </w:rPr>
      </w:pPr>
      <w:r>
        <w:rPr>
          <w:rFonts w:eastAsia="宋体"/>
          <w:b/>
          <w:lang w:eastAsia="zh-CN"/>
        </w:rPr>
        <w:t>- Multi-MAC cell</w:t>
      </w:r>
    </w:p>
    <w:p w:rsidR="00E34E4E" w:rsidRDefault="00E34E4E" w:rsidP="00E34E4E">
      <w:pPr>
        <w:pStyle w:val="a0"/>
        <w:rPr>
          <w:rFonts w:eastAsia="宋体"/>
          <w:b/>
          <w:lang w:eastAsia="zh-CN"/>
        </w:rPr>
      </w:pPr>
      <w:r>
        <w:rPr>
          <w:rFonts w:eastAsia="宋体"/>
          <w:b/>
          <w:lang w:eastAsia="zh-CN"/>
        </w:rPr>
        <w:t>- Single RRC</w:t>
      </w:r>
    </w:p>
    <w:p w:rsidR="00E34E4E" w:rsidRDefault="00E34E4E" w:rsidP="00E34E4E">
      <w:pPr>
        <w:pStyle w:val="a0"/>
        <w:rPr>
          <w:rFonts w:eastAsia="宋体"/>
          <w:b/>
          <w:u w:val="single"/>
        </w:rPr>
      </w:pPr>
    </w:p>
    <w:p w:rsidR="00E34E4E" w:rsidRPr="003F1619" w:rsidRDefault="00E34E4E" w:rsidP="00E34E4E">
      <w:pPr>
        <w:pStyle w:val="a0"/>
        <w:rPr>
          <w:rFonts w:eastAsia="宋体"/>
          <w:b/>
          <w:u w:val="single"/>
        </w:rPr>
      </w:pPr>
      <w:r>
        <w:rPr>
          <w:rFonts w:eastAsia="宋体"/>
          <w:b/>
          <w:u w:val="single"/>
        </w:rPr>
        <w:t>Inter-gNB dual</w:t>
      </w:r>
      <w:r w:rsidRPr="003F1619">
        <w:rPr>
          <w:rFonts w:eastAsia="宋体"/>
          <w:b/>
          <w:u w:val="single"/>
        </w:rPr>
        <w:t>-connectivity</w:t>
      </w:r>
    </w:p>
    <w:p w:rsidR="00E34E4E" w:rsidRPr="004F347E" w:rsidRDefault="00E34E4E" w:rsidP="00E34E4E">
      <w:pPr>
        <w:pStyle w:val="a0"/>
        <w:rPr>
          <w:rFonts w:eastAsia="宋体"/>
          <w:lang w:eastAsia="zh-CN"/>
        </w:rPr>
      </w:pPr>
      <w:r w:rsidRPr="004F347E">
        <w:rPr>
          <w:rFonts w:eastAsia="宋体"/>
          <w:lang w:eastAsia="zh-CN"/>
        </w:rPr>
        <w:t xml:space="preserve">Inter-gNB multi-connectivity looks very similar to the legacy Dual Connectivity, so it could be straightforward to follow a similar approach as e.g. for NR-LTE interworking where DC 3C is part of the baseline assumptions. </w:t>
      </w:r>
      <w:r w:rsidRPr="004F347E">
        <w:rPr>
          <w:rFonts w:eastAsia="宋体"/>
          <w:lang w:eastAsia="zh-CN"/>
        </w:rPr>
        <w:lastRenderedPageBreak/>
        <w:t>For example, having gNBs supporting the roles of master (MgNB) and secondary (SgNB) looks appropriate in that case. On the other hand, ultimately standalone NR will be deployed at a larger scale than LTE-assisted NR. So it should also be desir</w:t>
      </w:r>
      <w:r>
        <w:rPr>
          <w:rFonts w:eastAsia="宋体"/>
          <w:lang w:eastAsia="zh-CN"/>
        </w:rPr>
        <w:t>ed that intra-NR inter-gNB dual</w:t>
      </w:r>
      <w:r w:rsidRPr="004F347E">
        <w:rPr>
          <w:rFonts w:eastAsia="宋体"/>
          <w:lang w:eastAsia="zh-CN"/>
        </w:rPr>
        <w:t>-connectivity adopts similar designs as those adopted for intra-gNB multi-connectivity (with poten</w:t>
      </w:r>
      <w:r>
        <w:rPr>
          <w:rFonts w:eastAsia="宋体"/>
          <w:lang w:eastAsia="zh-CN"/>
        </w:rPr>
        <w:t>tial differences from legacy DC</w:t>
      </w:r>
      <w:r w:rsidRPr="004F347E">
        <w:rPr>
          <w:rFonts w:eastAsia="宋体"/>
          <w:lang w:eastAsia="zh-CN"/>
        </w:rPr>
        <w:t xml:space="preserve">). In the view </w:t>
      </w:r>
      <w:r>
        <w:rPr>
          <w:rFonts w:eastAsia="宋体"/>
          <w:lang w:eastAsia="zh-CN"/>
        </w:rPr>
        <w:t xml:space="preserve">of </w:t>
      </w:r>
      <w:r w:rsidRPr="004F347E">
        <w:rPr>
          <w:rFonts w:eastAsia="宋体"/>
          <w:lang w:eastAsia="zh-CN"/>
        </w:rPr>
        <w:t xml:space="preserve">preserving forward compatibility we prefer this guideline, in favor of a </w:t>
      </w:r>
      <w:r>
        <w:rPr>
          <w:rFonts w:eastAsia="宋体"/>
          <w:lang w:eastAsia="zh-CN"/>
        </w:rPr>
        <w:t>common intra-NR dual</w:t>
      </w:r>
      <w:r w:rsidRPr="004F347E">
        <w:rPr>
          <w:rFonts w:eastAsia="宋体"/>
          <w:lang w:eastAsia="zh-CN"/>
        </w:rPr>
        <w:t>-connectivity design irrespective of whether it is inter- or intra- gNB.</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 (guideline)</w:t>
      </w:r>
      <w:r w:rsidRPr="00241D74">
        <w:rPr>
          <w:rFonts w:eastAsia="宋体" w:hint="eastAsia"/>
          <w:b/>
          <w:lang w:eastAsia="zh-CN"/>
        </w:rPr>
        <w:t>:</w:t>
      </w:r>
      <w:r w:rsidRPr="00241D74">
        <w:rPr>
          <w:rFonts w:eastAsia="宋体"/>
          <w:b/>
          <w:lang w:eastAsia="zh-CN"/>
        </w:rPr>
        <w:t xml:space="preserve"> </w:t>
      </w:r>
      <w:r>
        <w:rPr>
          <w:rFonts w:eastAsia="宋体"/>
          <w:b/>
          <w:lang w:eastAsia="zh-CN"/>
        </w:rPr>
        <w:t>Design commonality within intra-NR dual-connectivity use cases (intra- / inter-gNB) should prevail over design commonality between intra NR dual-connectivity and NR-LTE interworking.</w:t>
      </w:r>
    </w:p>
    <w:p w:rsidR="00E34E4E" w:rsidRDefault="00E34E4E" w:rsidP="00E34E4E">
      <w:pPr>
        <w:pStyle w:val="a0"/>
        <w:jc w:val="center"/>
      </w:pPr>
      <w:r>
        <w:object w:dxaOrig="9735" w:dyaOrig="3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2pt" o:ole="">
            <v:imagedata r:id="rId8" o:title=""/>
          </v:shape>
          <o:OLEObject Type="Embed" ProgID="Visio.Drawing.11" ShapeID="_x0000_i1025" DrawAspect="Content" ObjectID="_1547708360" r:id="rId9"/>
        </w:object>
      </w:r>
      <w:r>
        <w:t xml:space="preserve">     </w:t>
      </w:r>
    </w:p>
    <w:p w:rsidR="00E34E4E" w:rsidRDefault="00E34E4E" w:rsidP="00E34E4E">
      <w:pPr>
        <w:pStyle w:val="a5"/>
        <w:jc w:val="center"/>
        <w:rPr>
          <w:b/>
        </w:rPr>
      </w:pPr>
      <w:r w:rsidRPr="002B3272">
        <w:rPr>
          <w:b/>
        </w:rPr>
        <w:t xml:space="preserve">Figure </w:t>
      </w:r>
      <w:r w:rsidR="00463DC9" w:rsidRPr="002B3272">
        <w:rPr>
          <w:b/>
        </w:rPr>
        <w:fldChar w:fldCharType="begin"/>
      </w:r>
      <w:r w:rsidRPr="002B3272">
        <w:rPr>
          <w:b/>
        </w:rPr>
        <w:instrText xml:space="preserve"> SEQ Figure \* ARABIC </w:instrText>
      </w:r>
      <w:r w:rsidR="00463DC9" w:rsidRPr="002B3272">
        <w:rPr>
          <w:b/>
        </w:rPr>
        <w:fldChar w:fldCharType="separate"/>
      </w:r>
      <w:r>
        <w:rPr>
          <w:b/>
          <w:noProof/>
        </w:rPr>
        <w:t>1</w:t>
      </w:r>
      <w:r w:rsidR="00463DC9" w:rsidRPr="002B3272">
        <w:rPr>
          <w:b/>
        </w:rPr>
        <w:fldChar w:fldCharType="end"/>
      </w:r>
      <w:r>
        <w:rPr>
          <w:b/>
        </w:rPr>
        <w:t>: Inter-gNB (left) and intra-gNB (right) multi-connectivity</w:t>
      </w:r>
    </w:p>
    <w:p w:rsidR="00E34E4E" w:rsidRDefault="00E34E4E" w:rsidP="00E34E4E">
      <w:pPr>
        <w:pStyle w:val="a0"/>
        <w:rPr>
          <w:lang w:val="en-GB"/>
        </w:rPr>
      </w:pPr>
    </w:p>
    <w:p w:rsidR="00E34E4E" w:rsidRDefault="00E34E4E" w:rsidP="00E34E4E">
      <w:pPr>
        <w:pStyle w:val="20"/>
        <w:ind w:left="562" w:hanging="562"/>
        <w:jc w:val="both"/>
        <w:rPr>
          <w:rFonts w:eastAsia="宋体"/>
        </w:rPr>
      </w:pPr>
      <w:bookmarkStart w:id="1" w:name="_Ref465693388"/>
      <w:r>
        <w:rPr>
          <w:rFonts w:eastAsia="宋体"/>
        </w:rPr>
        <w:t>Support of intra-frequency dual-connectivity</w:t>
      </w:r>
      <w:bookmarkEnd w:id="1"/>
    </w:p>
    <w:p w:rsidR="00E34E4E" w:rsidRPr="004C36CB" w:rsidRDefault="00E34E4E" w:rsidP="00E34E4E">
      <w:pPr>
        <w:pStyle w:val="a0"/>
        <w:rPr>
          <w:lang w:eastAsia="zh-CN"/>
        </w:rPr>
      </w:pPr>
      <w:r w:rsidRPr="004643F7">
        <w:rPr>
          <w:lang w:eastAsia="zh-CN"/>
        </w:rPr>
        <w:t>In LTE, eICIC provides throughput and capacity gain</w:t>
      </w:r>
      <w:r>
        <w:rPr>
          <w:lang w:eastAsia="zh-CN"/>
        </w:rPr>
        <w:t>s similar to those achieved with dual-connectivity (DC)</w:t>
      </w:r>
      <w:r w:rsidRPr="004643F7">
        <w:rPr>
          <w:lang w:eastAsia="zh-CN"/>
        </w:rPr>
        <w:t xml:space="preserve">, which is the main reason why intra-frequency was not specified for </w:t>
      </w:r>
      <w:r>
        <w:rPr>
          <w:lang w:eastAsia="zh-CN"/>
        </w:rPr>
        <w:t xml:space="preserve">legacy </w:t>
      </w:r>
      <w:r w:rsidRPr="004643F7">
        <w:rPr>
          <w:lang w:eastAsia="zh-CN"/>
        </w:rPr>
        <w:t xml:space="preserve">DC. </w:t>
      </w:r>
      <w:r>
        <w:rPr>
          <w:lang w:eastAsia="zh-CN"/>
        </w:rPr>
        <w:t>S</w:t>
      </w:r>
      <w:r w:rsidRPr="004643F7">
        <w:rPr>
          <w:lang w:eastAsia="zh-CN"/>
        </w:rPr>
        <w:t xml:space="preserve">imilar concerns </w:t>
      </w:r>
      <w:r>
        <w:rPr>
          <w:lang w:eastAsia="zh-CN"/>
        </w:rPr>
        <w:t xml:space="preserve">could be expressed for </w:t>
      </w:r>
      <w:r w:rsidRPr="004643F7">
        <w:rPr>
          <w:lang w:eastAsia="zh-CN"/>
        </w:rPr>
        <w:t>NR</w:t>
      </w:r>
      <w:r>
        <w:rPr>
          <w:lang w:eastAsia="zh-CN"/>
        </w:rPr>
        <w:t xml:space="preserve">. </w:t>
      </w:r>
      <w:r w:rsidRPr="004C36CB">
        <w:rPr>
          <w:lang w:eastAsia="zh-CN"/>
        </w:rPr>
        <w:t xml:space="preserve">However, our view is that NR should support intra-frequency </w:t>
      </w:r>
      <w:r>
        <w:rPr>
          <w:lang w:eastAsia="zh-CN"/>
        </w:rPr>
        <w:t>dual</w:t>
      </w:r>
      <w:r w:rsidRPr="004C36CB">
        <w:rPr>
          <w:lang w:eastAsia="zh-CN"/>
        </w:rPr>
        <w:t>-connectivity</w:t>
      </w:r>
      <w:r>
        <w:rPr>
          <w:lang w:eastAsia="zh-CN"/>
        </w:rPr>
        <w:t xml:space="preserve"> for three main reasons:</w:t>
      </w:r>
    </w:p>
    <w:p w:rsidR="00E34E4E" w:rsidRPr="004C36CB" w:rsidRDefault="00E34E4E" w:rsidP="00E34E4E">
      <w:pPr>
        <w:pStyle w:val="a0"/>
        <w:numPr>
          <w:ilvl w:val="0"/>
          <w:numId w:val="17"/>
        </w:numPr>
        <w:rPr>
          <w:lang w:eastAsia="zh-CN"/>
        </w:rPr>
      </w:pPr>
      <w:r w:rsidRPr="004C36CB">
        <w:rPr>
          <w:lang w:eastAsia="zh-CN"/>
        </w:rPr>
        <w:t>NR is a new design which should aim at a common design for both intra-frequency and inter-frequency.</w:t>
      </w:r>
      <w:r>
        <w:rPr>
          <w:lang w:eastAsia="zh-CN"/>
        </w:rPr>
        <w:t xml:space="preserve"> Interference impacts should be further studied, potentially also involving eICIC-like mechanisms.</w:t>
      </w:r>
    </w:p>
    <w:p w:rsidR="00E34E4E" w:rsidRPr="004C36CB" w:rsidRDefault="00E34E4E" w:rsidP="00E34E4E">
      <w:pPr>
        <w:pStyle w:val="a0"/>
        <w:numPr>
          <w:ilvl w:val="0"/>
          <w:numId w:val="17"/>
        </w:numPr>
        <w:rPr>
          <w:lang w:eastAsia="zh-CN"/>
        </w:rPr>
      </w:pPr>
      <w:r>
        <w:rPr>
          <w:lang w:eastAsia="zh-CN"/>
        </w:rPr>
        <w:t>Dual</w:t>
      </w:r>
      <w:r w:rsidRPr="004C36CB">
        <w:rPr>
          <w:lang w:eastAsia="zh-CN"/>
        </w:rPr>
        <w:t>-connectivity is expected to play a significant role in allowing 0ms interruption time during mobility across TRPs connected via non-ideal backhaul. This performance benefit should not be limited to UE connected to TRPs on different frequencies.</w:t>
      </w:r>
    </w:p>
    <w:p w:rsidR="00E34E4E" w:rsidRPr="004C36CB" w:rsidRDefault="00E34E4E" w:rsidP="00E34E4E">
      <w:pPr>
        <w:pStyle w:val="a0"/>
        <w:numPr>
          <w:ilvl w:val="0"/>
          <w:numId w:val="17"/>
        </w:numPr>
        <w:rPr>
          <w:lang w:eastAsia="zh-CN"/>
        </w:rPr>
      </w:pPr>
      <w:r w:rsidRPr="004C36CB">
        <w:rPr>
          <w:lang w:eastAsia="zh-CN"/>
        </w:rPr>
        <w:t>HF links in NR are expect</w:t>
      </w:r>
      <w:r>
        <w:rPr>
          <w:lang w:eastAsia="zh-CN"/>
        </w:rPr>
        <w:t>ed to be unreliable; hence dual</w:t>
      </w:r>
      <w:r w:rsidRPr="004C36CB">
        <w:rPr>
          <w:lang w:eastAsia="zh-CN"/>
        </w:rPr>
        <w:t>-connectivity can help in improving the robustness of such links. Reliability is primarily increased by serving a UE with multiple beams.</w:t>
      </w:r>
    </w:p>
    <w:p w:rsidR="00E34E4E" w:rsidRPr="004C36CB" w:rsidRDefault="00E34E4E" w:rsidP="00E34E4E">
      <w:pPr>
        <w:pStyle w:val="a0"/>
        <w:numPr>
          <w:ilvl w:val="1"/>
          <w:numId w:val="18"/>
        </w:numPr>
        <w:rPr>
          <w:lang w:eastAsia="zh-CN"/>
        </w:rPr>
      </w:pPr>
      <w:r w:rsidRPr="004C36CB">
        <w:rPr>
          <w:lang w:eastAsia="zh-CN"/>
        </w:rPr>
        <w:t>In case these beams are from the same TRP, they are managed by the s</w:t>
      </w:r>
      <w:r>
        <w:rPr>
          <w:lang w:eastAsia="zh-CN"/>
        </w:rPr>
        <w:t>ame MAC hence, this is not dual</w:t>
      </w:r>
      <w:r w:rsidRPr="004C36CB">
        <w:rPr>
          <w:lang w:eastAsia="zh-CN"/>
        </w:rPr>
        <w:t>-connectivity but rather carrier aggregation.</w:t>
      </w:r>
    </w:p>
    <w:p w:rsidR="00E34E4E" w:rsidRPr="004C36CB" w:rsidRDefault="00E34E4E" w:rsidP="00E34E4E">
      <w:pPr>
        <w:pStyle w:val="a0"/>
        <w:numPr>
          <w:ilvl w:val="1"/>
          <w:numId w:val="18"/>
        </w:numPr>
        <w:rPr>
          <w:lang w:eastAsia="zh-CN"/>
        </w:rPr>
      </w:pPr>
      <w:r w:rsidRPr="004C36CB">
        <w:rPr>
          <w:lang w:eastAsia="zh-CN"/>
        </w:rPr>
        <w:t>In case these beams are from different TRPs connected via ideal backhaul, the same single MAC model applies.</w:t>
      </w:r>
    </w:p>
    <w:p w:rsidR="00E34E4E" w:rsidRPr="004C36CB" w:rsidRDefault="00E34E4E" w:rsidP="00E34E4E">
      <w:pPr>
        <w:pStyle w:val="a0"/>
        <w:numPr>
          <w:ilvl w:val="1"/>
          <w:numId w:val="18"/>
        </w:numPr>
        <w:rPr>
          <w:lang w:eastAsia="zh-CN"/>
        </w:rPr>
      </w:pPr>
      <w:r w:rsidRPr="004C36CB">
        <w:rPr>
          <w:lang w:eastAsia="zh-CN"/>
        </w:rPr>
        <w:t>In case these beams are from different TRPs connected via non-ideal backhaul</w:t>
      </w:r>
      <w:r>
        <w:rPr>
          <w:lang w:eastAsia="zh-CN"/>
        </w:rPr>
        <w:t>, this is dual</w:t>
      </w:r>
      <w:r w:rsidRPr="004C36CB">
        <w:rPr>
          <w:lang w:eastAsia="zh-CN"/>
        </w:rPr>
        <w:t>-connectivity</w:t>
      </w:r>
      <w:r>
        <w:rPr>
          <w:lang w:eastAsia="zh-CN"/>
        </w:rPr>
        <w:t>, and it should not be mandated to operate different beams on different frequencies to improve HF reliability</w:t>
      </w:r>
      <w:r w:rsidRPr="004C36CB">
        <w:rPr>
          <w:lang w:eastAsia="zh-CN"/>
        </w:rPr>
        <w:t>.</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Intra-frequency dual-connectivity within NR should be studied</w:t>
      </w:r>
      <w:r w:rsidRPr="00241D74">
        <w:rPr>
          <w:rFonts w:eastAsia="宋体"/>
          <w:b/>
          <w:lang w:eastAsia="zh-CN"/>
        </w:rPr>
        <w:t>.</w:t>
      </w:r>
    </w:p>
    <w:p w:rsidR="00E34E4E" w:rsidRDefault="00E34E4E" w:rsidP="00E34E4E">
      <w:pPr>
        <w:pStyle w:val="1"/>
        <w:jc w:val="both"/>
      </w:pPr>
      <w:r>
        <w:t>Conclusion</w:t>
      </w:r>
    </w:p>
    <w:p w:rsidR="00E34E4E" w:rsidRDefault="00E34E4E" w:rsidP="00E34E4E">
      <w:pPr>
        <w:pStyle w:val="a0"/>
        <w:rPr>
          <w:lang w:eastAsia="zh-CN"/>
        </w:rPr>
      </w:pPr>
      <w:r>
        <w:rPr>
          <w:lang w:eastAsia="zh-CN"/>
        </w:rPr>
        <w:t>This contribution discusses intra-NR dual-connectivity architecture options. Associated proposals are:</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Both intra- and inter-gNB dual-connectivity should be supported in NR</w:t>
      </w:r>
      <w:r w:rsidRPr="00241D74">
        <w:rPr>
          <w:rFonts w:eastAsia="宋体"/>
          <w:b/>
          <w:lang w:eastAsia="zh-CN"/>
        </w:rPr>
        <w:t>.</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design options to be studied for intra-gNB multi-connectivity should include:</w:t>
      </w:r>
    </w:p>
    <w:p w:rsidR="00E34E4E" w:rsidRDefault="00E34E4E" w:rsidP="00E34E4E">
      <w:pPr>
        <w:pStyle w:val="a0"/>
        <w:rPr>
          <w:rFonts w:eastAsia="宋体"/>
          <w:b/>
          <w:lang w:eastAsia="zh-CN"/>
        </w:rPr>
      </w:pPr>
      <w:r>
        <w:rPr>
          <w:rFonts w:eastAsia="宋体"/>
          <w:b/>
          <w:lang w:eastAsia="zh-CN"/>
        </w:rPr>
        <w:lastRenderedPageBreak/>
        <w:t>- Revisit nodes roles</w:t>
      </w:r>
    </w:p>
    <w:p w:rsidR="00E34E4E" w:rsidRDefault="00E34E4E" w:rsidP="00E34E4E">
      <w:pPr>
        <w:pStyle w:val="a0"/>
        <w:rPr>
          <w:rFonts w:eastAsia="宋体"/>
          <w:b/>
          <w:lang w:eastAsia="zh-CN"/>
        </w:rPr>
      </w:pPr>
      <w:r>
        <w:rPr>
          <w:rFonts w:eastAsia="宋体"/>
          <w:b/>
          <w:lang w:eastAsia="zh-CN"/>
        </w:rPr>
        <w:t>- Multi-MAC cell</w:t>
      </w:r>
    </w:p>
    <w:p w:rsidR="00E34E4E" w:rsidRDefault="00E34E4E" w:rsidP="00E34E4E">
      <w:pPr>
        <w:pStyle w:val="a0"/>
        <w:rPr>
          <w:rFonts w:eastAsia="宋体"/>
          <w:b/>
          <w:lang w:eastAsia="zh-CN"/>
        </w:rPr>
      </w:pPr>
      <w:r>
        <w:rPr>
          <w:rFonts w:eastAsia="宋体"/>
          <w:b/>
          <w:lang w:eastAsia="zh-CN"/>
        </w:rPr>
        <w:t>- Single RRC</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 (guideline)</w:t>
      </w:r>
      <w:r w:rsidRPr="00241D74">
        <w:rPr>
          <w:rFonts w:eastAsia="宋体" w:hint="eastAsia"/>
          <w:b/>
          <w:lang w:eastAsia="zh-CN"/>
        </w:rPr>
        <w:t>:</w:t>
      </w:r>
      <w:r w:rsidRPr="00241D74">
        <w:rPr>
          <w:rFonts w:eastAsia="宋体"/>
          <w:b/>
          <w:lang w:eastAsia="zh-CN"/>
        </w:rPr>
        <w:t xml:space="preserve"> </w:t>
      </w:r>
      <w:r>
        <w:rPr>
          <w:rFonts w:eastAsia="宋体"/>
          <w:b/>
          <w:lang w:eastAsia="zh-CN"/>
        </w:rPr>
        <w:t>Design commonality within intra-NR dual-connectivity use cases (intra- / inter-gNB) should prevail over design commonality between intra NR dual-connectivity and NR-LTE interworking.</w:t>
      </w:r>
    </w:p>
    <w:p w:rsidR="00E34E4E" w:rsidRDefault="00E34E4E" w:rsidP="00E34E4E">
      <w:pPr>
        <w:pStyle w:val="a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Intra-frequency dual-connectivity within NR should be studied</w:t>
      </w:r>
      <w:r w:rsidRPr="00241D74">
        <w:rPr>
          <w:rFonts w:eastAsia="宋体"/>
          <w:b/>
          <w:lang w:eastAsia="zh-CN"/>
        </w:rPr>
        <w:t>.</w:t>
      </w:r>
    </w:p>
    <w:p w:rsidR="00E34E4E" w:rsidRDefault="00E34E4E" w:rsidP="00E34E4E">
      <w:pPr>
        <w:pStyle w:val="1"/>
        <w:jc w:val="both"/>
      </w:pPr>
      <w:r>
        <w:t>References</w:t>
      </w:r>
    </w:p>
    <w:p w:rsidR="00E34E4E" w:rsidRPr="004C36CB" w:rsidRDefault="00E34E4E" w:rsidP="00E34E4E">
      <w:pPr>
        <w:widowControl w:val="0"/>
        <w:numPr>
          <w:ilvl w:val="0"/>
          <w:numId w:val="3"/>
        </w:numPr>
        <w:jc w:val="both"/>
        <w:rPr>
          <w:rFonts w:eastAsia="宋体"/>
          <w:lang w:eastAsia="zh-CN"/>
        </w:rPr>
      </w:pPr>
      <w:bookmarkStart w:id="2" w:name="_Ref470249991"/>
      <w:bookmarkStart w:id="3" w:name="_Ref470251388"/>
      <w:bookmarkStart w:id="4" w:name="_Ref471471993"/>
      <w:bookmarkStart w:id="5" w:name="_Ref473876485"/>
      <w:r>
        <w:rPr>
          <w:rFonts w:eastAsia="宋体"/>
          <w:lang w:eastAsia="zh-CN"/>
        </w:rPr>
        <w:t>R2-1700219, “Intra-NR multi-connectivity options”, CATT</w:t>
      </w:r>
      <w:bookmarkEnd w:id="2"/>
      <w:bookmarkEnd w:id="3"/>
      <w:bookmarkEnd w:id="4"/>
      <w:bookmarkEnd w:id="5"/>
    </w:p>
    <w:p w:rsidR="0083523D" w:rsidRPr="000E09B1" w:rsidRDefault="0083523D" w:rsidP="0083523D">
      <w:pPr>
        <w:widowControl w:val="0"/>
        <w:jc w:val="both"/>
        <w:rPr>
          <w:rFonts w:eastAsia="宋体"/>
          <w:lang w:eastAsia="zh-CN"/>
        </w:rPr>
      </w:pPr>
    </w:p>
    <w:sectPr w:rsidR="0083523D" w:rsidRPr="000E09B1"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1A4" w:rsidRDefault="00B751A4">
      <w:r>
        <w:separator/>
      </w:r>
    </w:p>
  </w:endnote>
  <w:endnote w:type="continuationSeparator" w:id="0">
    <w:p w:rsidR="00B751A4" w:rsidRDefault="00B751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463DC9" w:rsidP="004F78EE">
    <w:pPr>
      <w:pStyle w:val="ac"/>
      <w:framePr w:wrap="around" w:vAnchor="text" w:hAnchor="margin" w:xAlign="center" w:y="1"/>
      <w:rPr>
        <w:rStyle w:val="ae"/>
      </w:rPr>
    </w:pPr>
    <w:r>
      <w:rPr>
        <w:rStyle w:val="ae"/>
      </w:rPr>
      <w:fldChar w:fldCharType="begin"/>
    </w:r>
    <w:r w:rsidR="003B2C89">
      <w:rPr>
        <w:rStyle w:val="ae"/>
      </w:rPr>
      <w:instrText xml:space="preserve">PAGE  </w:instrText>
    </w:r>
    <w:r>
      <w:rPr>
        <w:rStyle w:val="ae"/>
      </w:rPr>
      <w:fldChar w:fldCharType="end"/>
    </w:r>
  </w:p>
  <w:p w:rsidR="003B2C89" w:rsidRDefault="003B2C8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463DC9" w:rsidP="004F78EE">
    <w:pPr>
      <w:pStyle w:val="ac"/>
      <w:framePr w:wrap="around" w:vAnchor="text" w:hAnchor="margin" w:xAlign="center" w:y="1"/>
      <w:rPr>
        <w:rStyle w:val="ae"/>
      </w:rPr>
    </w:pPr>
    <w:r>
      <w:rPr>
        <w:rStyle w:val="ae"/>
      </w:rPr>
      <w:fldChar w:fldCharType="begin"/>
    </w:r>
    <w:r w:rsidR="003B2C89">
      <w:rPr>
        <w:rStyle w:val="ae"/>
      </w:rPr>
      <w:instrText xml:space="preserve">PAGE  </w:instrText>
    </w:r>
    <w:r>
      <w:rPr>
        <w:rStyle w:val="ae"/>
      </w:rPr>
      <w:fldChar w:fldCharType="separate"/>
    </w:r>
    <w:r w:rsidR="00DA32EA">
      <w:rPr>
        <w:rStyle w:val="ae"/>
        <w:noProof/>
      </w:rPr>
      <w:t>3</w:t>
    </w:r>
    <w:r>
      <w:rPr>
        <w:rStyle w:val="ae"/>
      </w:rPr>
      <w:fldChar w:fldCharType="end"/>
    </w:r>
  </w:p>
  <w:p w:rsidR="003B2C89" w:rsidRPr="00977F1F" w:rsidRDefault="00E86CF3" w:rsidP="00D2528A">
    <w:pPr>
      <w:pStyle w:val="ac"/>
      <w:tabs>
        <w:tab w:val="left" w:pos="2552"/>
      </w:tabs>
      <w:rPr>
        <w:rFonts w:eastAsia="宋体"/>
        <w:lang w:eastAsia="zh-CN"/>
      </w:rPr>
    </w:pPr>
    <w:r>
      <w:rPr>
        <w:rFonts w:eastAsia="宋体"/>
        <w:lang w:eastAsia="zh-CN"/>
      </w:rPr>
      <w:t>R2-17</w:t>
    </w:r>
    <w:r w:rsidR="0056757A">
      <w:rPr>
        <w:rFonts w:eastAsia="宋体"/>
        <w:lang w:eastAsia="zh-CN"/>
      </w:rPr>
      <w:t>009</w:t>
    </w:r>
    <w:r w:rsidR="00E34E4E">
      <w:rPr>
        <w:rFonts w:eastAsia="宋体"/>
        <w:lang w:eastAsia="zh-CN"/>
      </w:rPr>
      <w:t>82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1A4" w:rsidRDefault="00B751A4">
      <w:r>
        <w:separator/>
      </w:r>
    </w:p>
  </w:footnote>
  <w:footnote w:type="continuationSeparator" w:id="0">
    <w:p w:rsidR="00B751A4" w:rsidRDefault="00B75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C7304"/>
    <w:multiLevelType w:val="hybridMultilevel"/>
    <w:tmpl w:val="7560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95045CA"/>
    <w:multiLevelType w:val="hybridMultilevel"/>
    <w:tmpl w:val="2DF6B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42783DF4"/>
    <w:multiLevelType w:val="hybridMultilevel"/>
    <w:tmpl w:val="F592A478"/>
    <w:lvl w:ilvl="0" w:tplc="4210AF2A">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2D0EEA0A" w:tentative="1">
      <w:start w:val="1"/>
      <w:numFmt w:val="decimal"/>
      <w:lvlText w:val="%3."/>
      <w:lvlJc w:val="left"/>
      <w:pPr>
        <w:tabs>
          <w:tab w:val="num" w:pos="2160"/>
        </w:tabs>
        <w:ind w:left="2160" w:hanging="360"/>
      </w:pPr>
    </w:lvl>
    <w:lvl w:ilvl="3" w:tplc="3A58C590" w:tentative="1">
      <w:start w:val="1"/>
      <w:numFmt w:val="decimal"/>
      <w:lvlText w:val="%4."/>
      <w:lvlJc w:val="left"/>
      <w:pPr>
        <w:tabs>
          <w:tab w:val="num" w:pos="2880"/>
        </w:tabs>
        <w:ind w:left="2880" w:hanging="360"/>
      </w:pPr>
    </w:lvl>
    <w:lvl w:ilvl="4" w:tplc="AC56ED2A" w:tentative="1">
      <w:start w:val="1"/>
      <w:numFmt w:val="decimal"/>
      <w:lvlText w:val="%5."/>
      <w:lvlJc w:val="left"/>
      <w:pPr>
        <w:tabs>
          <w:tab w:val="num" w:pos="3600"/>
        </w:tabs>
        <w:ind w:left="3600" w:hanging="360"/>
      </w:pPr>
    </w:lvl>
    <w:lvl w:ilvl="5" w:tplc="2C54FBB0" w:tentative="1">
      <w:start w:val="1"/>
      <w:numFmt w:val="decimal"/>
      <w:lvlText w:val="%6."/>
      <w:lvlJc w:val="left"/>
      <w:pPr>
        <w:tabs>
          <w:tab w:val="num" w:pos="4320"/>
        </w:tabs>
        <w:ind w:left="4320" w:hanging="360"/>
      </w:pPr>
    </w:lvl>
    <w:lvl w:ilvl="6" w:tplc="5262DDDE" w:tentative="1">
      <w:start w:val="1"/>
      <w:numFmt w:val="decimal"/>
      <w:lvlText w:val="%7."/>
      <w:lvlJc w:val="left"/>
      <w:pPr>
        <w:tabs>
          <w:tab w:val="num" w:pos="5040"/>
        </w:tabs>
        <w:ind w:left="5040" w:hanging="360"/>
      </w:pPr>
    </w:lvl>
    <w:lvl w:ilvl="7" w:tplc="3642E872" w:tentative="1">
      <w:start w:val="1"/>
      <w:numFmt w:val="decimal"/>
      <w:lvlText w:val="%8."/>
      <w:lvlJc w:val="left"/>
      <w:pPr>
        <w:tabs>
          <w:tab w:val="num" w:pos="5760"/>
        </w:tabs>
        <w:ind w:left="5760" w:hanging="360"/>
      </w:pPr>
    </w:lvl>
    <w:lvl w:ilvl="8" w:tplc="18C4985A" w:tentative="1">
      <w:start w:val="1"/>
      <w:numFmt w:val="decimal"/>
      <w:lvlText w:val="%9."/>
      <w:lvlJc w:val="left"/>
      <w:pPr>
        <w:tabs>
          <w:tab w:val="num" w:pos="6480"/>
        </w:tabs>
        <w:ind w:left="6480" w:hanging="360"/>
      </w:pPr>
    </w:lvl>
  </w:abstractNum>
  <w:abstractNum w:abstractNumId="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3BB2E10"/>
    <w:multiLevelType w:val="hybridMultilevel"/>
    <w:tmpl w:val="B15E0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687A45"/>
    <w:multiLevelType w:val="hybridMultilevel"/>
    <w:tmpl w:val="0884351E"/>
    <w:lvl w:ilvl="0" w:tplc="4210AF2A">
      <w:start w:val="1"/>
      <w:numFmt w:val="decimal"/>
      <w:lvlText w:val="%1."/>
      <w:lvlJc w:val="left"/>
      <w:pPr>
        <w:tabs>
          <w:tab w:val="num" w:pos="720"/>
        </w:tabs>
        <w:ind w:left="720" w:hanging="360"/>
      </w:pPr>
    </w:lvl>
    <w:lvl w:ilvl="1" w:tplc="57D2909C">
      <w:start w:val="1"/>
      <w:numFmt w:val="decimal"/>
      <w:lvlText w:val="%2."/>
      <w:lvlJc w:val="left"/>
      <w:pPr>
        <w:tabs>
          <w:tab w:val="num" w:pos="1440"/>
        </w:tabs>
        <w:ind w:left="1440" w:hanging="360"/>
      </w:pPr>
    </w:lvl>
    <w:lvl w:ilvl="2" w:tplc="2D0EEA0A" w:tentative="1">
      <w:start w:val="1"/>
      <w:numFmt w:val="decimal"/>
      <w:lvlText w:val="%3."/>
      <w:lvlJc w:val="left"/>
      <w:pPr>
        <w:tabs>
          <w:tab w:val="num" w:pos="2160"/>
        </w:tabs>
        <w:ind w:left="2160" w:hanging="360"/>
      </w:pPr>
    </w:lvl>
    <w:lvl w:ilvl="3" w:tplc="3A58C590" w:tentative="1">
      <w:start w:val="1"/>
      <w:numFmt w:val="decimal"/>
      <w:lvlText w:val="%4."/>
      <w:lvlJc w:val="left"/>
      <w:pPr>
        <w:tabs>
          <w:tab w:val="num" w:pos="2880"/>
        </w:tabs>
        <w:ind w:left="2880" w:hanging="360"/>
      </w:pPr>
    </w:lvl>
    <w:lvl w:ilvl="4" w:tplc="AC56ED2A" w:tentative="1">
      <w:start w:val="1"/>
      <w:numFmt w:val="decimal"/>
      <w:lvlText w:val="%5."/>
      <w:lvlJc w:val="left"/>
      <w:pPr>
        <w:tabs>
          <w:tab w:val="num" w:pos="3600"/>
        </w:tabs>
        <w:ind w:left="3600" w:hanging="360"/>
      </w:pPr>
    </w:lvl>
    <w:lvl w:ilvl="5" w:tplc="2C54FBB0" w:tentative="1">
      <w:start w:val="1"/>
      <w:numFmt w:val="decimal"/>
      <w:lvlText w:val="%6."/>
      <w:lvlJc w:val="left"/>
      <w:pPr>
        <w:tabs>
          <w:tab w:val="num" w:pos="4320"/>
        </w:tabs>
        <w:ind w:left="4320" w:hanging="360"/>
      </w:pPr>
    </w:lvl>
    <w:lvl w:ilvl="6" w:tplc="5262DDDE" w:tentative="1">
      <w:start w:val="1"/>
      <w:numFmt w:val="decimal"/>
      <w:lvlText w:val="%7."/>
      <w:lvlJc w:val="left"/>
      <w:pPr>
        <w:tabs>
          <w:tab w:val="num" w:pos="5040"/>
        </w:tabs>
        <w:ind w:left="5040" w:hanging="360"/>
      </w:pPr>
    </w:lvl>
    <w:lvl w:ilvl="7" w:tplc="3642E872" w:tentative="1">
      <w:start w:val="1"/>
      <w:numFmt w:val="decimal"/>
      <w:lvlText w:val="%8."/>
      <w:lvlJc w:val="left"/>
      <w:pPr>
        <w:tabs>
          <w:tab w:val="num" w:pos="5760"/>
        </w:tabs>
        <w:ind w:left="5760" w:hanging="360"/>
      </w:pPr>
    </w:lvl>
    <w:lvl w:ilvl="8" w:tplc="18C4985A" w:tentative="1">
      <w:start w:val="1"/>
      <w:numFmt w:val="decimal"/>
      <w:lvlText w:val="%9."/>
      <w:lvlJc w:val="left"/>
      <w:pPr>
        <w:tabs>
          <w:tab w:val="num" w:pos="6480"/>
        </w:tabs>
        <w:ind w:left="6480" w:hanging="36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0"/>
  </w:num>
  <w:num w:numId="6">
    <w:abstractNumId w:val="16"/>
  </w:num>
  <w:num w:numId="7">
    <w:abstractNumId w:val="1"/>
  </w:num>
  <w:num w:numId="8">
    <w:abstractNumId w:val="4"/>
  </w:num>
  <w:num w:numId="9">
    <w:abstractNumId w:val="12"/>
  </w:num>
  <w:num w:numId="10">
    <w:abstractNumId w:val="11"/>
  </w:num>
  <w:num w:numId="11">
    <w:abstractNumId w:val="13"/>
  </w:num>
  <w:num w:numId="12">
    <w:abstractNumId w:val="8"/>
  </w:num>
  <w:num w:numId="13">
    <w:abstractNumId w:val="9"/>
  </w:num>
  <w:num w:numId="14">
    <w:abstractNumId w:val="0"/>
  </w:num>
  <w:num w:numId="15">
    <w:abstractNumId w:val="7"/>
  </w:num>
  <w:num w:numId="16">
    <w:abstractNumId w:val="14"/>
  </w:num>
  <w:num w:numId="17">
    <w:abstractNumId w:val="17"/>
  </w:num>
  <w:num w:numId="18">
    <w:abstractNumId w:val="5"/>
  </w:num>
  <w:num w:numId="19">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6077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301"/>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035"/>
    <w:rsid w:val="00077DE6"/>
    <w:rsid w:val="000814E3"/>
    <w:rsid w:val="00083725"/>
    <w:rsid w:val="00083BC8"/>
    <w:rsid w:val="000840AF"/>
    <w:rsid w:val="00084510"/>
    <w:rsid w:val="000845DE"/>
    <w:rsid w:val="0008486B"/>
    <w:rsid w:val="0008685F"/>
    <w:rsid w:val="00086AEE"/>
    <w:rsid w:val="00090158"/>
    <w:rsid w:val="000909F5"/>
    <w:rsid w:val="000931F4"/>
    <w:rsid w:val="00093E9F"/>
    <w:rsid w:val="000A380C"/>
    <w:rsid w:val="000A5653"/>
    <w:rsid w:val="000B0C8C"/>
    <w:rsid w:val="000B3216"/>
    <w:rsid w:val="000C06E1"/>
    <w:rsid w:val="000C3D87"/>
    <w:rsid w:val="000C53A4"/>
    <w:rsid w:val="000C633B"/>
    <w:rsid w:val="000D2630"/>
    <w:rsid w:val="000D36D0"/>
    <w:rsid w:val="000D5C4A"/>
    <w:rsid w:val="000E06BD"/>
    <w:rsid w:val="000E09B1"/>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2AE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2E0E"/>
    <w:rsid w:val="00183793"/>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C7D34"/>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176ED"/>
    <w:rsid w:val="00220678"/>
    <w:rsid w:val="00223E82"/>
    <w:rsid w:val="00224693"/>
    <w:rsid w:val="0022483E"/>
    <w:rsid w:val="00227C15"/>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2078"/>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29DE"/>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C46"/>
    <w:rsid w:val="003175DE"/>
    <w:rsid w:val="00317847"/>
    <w:rsid w:val="00321D09"/>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473D6"/>
    <w:rsid w:val="00354B22"/>
    <w:rsid w:val="0035585A"/>
    <w:rsid w:val="00356245"/>
    <w:rsid w:val="00360649"/>
    <w:rsid w:val="003660B3"/>
    <w:rsid w:val="00366E92"/>
    <w:rsid w:val="003676A7"/>
    <w:rsid w:val="00371338"/>
    <w:rsid w:val="00371A4B"/>
    <w:rsid w:val="00372200"/>
    <w:rsid w:val="003727A3"/>
    <w:rsid w:val="00372B86"/>
    <w:rsid w:val="00376BAC"/>
    <w:rsid w:val="00381ACD"/>
    <w:rsid w:val="00385067"/>
    <w:rsid w:val="003870EF"/>
    <w:rsid w:val="00391A86"/>
    <w:rsid w:val="0039248B"/>
    <w:rsid w:val="00393474"/>
    <w:rsid w:val="00393B83"/>
    <w:rsid w:val="003949ED"/>
    <w:rsid w:val="00397075"/>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073"/>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1C1F"/>
    <w:rsid w:val="004425D5"/>
    <w:rsid w:val="00442CD8"/>
    <w:rsid w:val="00442CF6"/>
    <w:rsid w:val="0044364A"/>
    <w:rsid w:val="00443A04"/>
    <w:rsid w:val="00444035"/>
    <w:rsid w:val="0044447F"/>
    <w:rsid w:val="004459DC"/>
    <w:rsid w:val="004508C9"/>
    <w:rsid w:val="00453F03"/>
    <w:rsid w:val="004616E6"/>
    <w:rsid w:val="00462591"/>
    <w:rsid w:val="00463DC9"/>
    <w:rsid w:val="004651AA"/>
    <w:rsid w:val="0046780F"/>
    <w:rsid w:val="00470486"/>
    <w:rsid w:val="004706C8"/>
    <w:rsid w:val="00472079"/>
    <w:rsid w:val="004738E9"/>
    <w:rsid w:val="00475671"/>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7D4"/>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D3CE9"/>
    <w:rsid w:val="004E39A0"/>
    <w:rsid w:val="004E559C"/>
    <w:rsid w:val="004E6875"/>
    <w:rsid w:val="004E6AB1"/>
    <w:rsid w:val="004E702A"/>
    <w:rsid w:val="004E7D81"/>
    <w:rsid w:val="004F11C0"/>
    <w:rsid w:val="004F2B3E"/>
    <w:rsid w:val="004F7427"/>
    <w:rsid w:val="004F753A"/>
    <w:rsid w:val="004F78EE"/>
    <w:rsid w:val="005026EB"/>
    <w:rsid w:val="00502885"/>
    <w:rsid w:val="00503553"/>
    <w:rsid w:val="00503A1D"/>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6757A"/>
    <w:rsid w:val="0057340E"/>
    <w:rsid w:val="00575043"/>
    <w:rsid w:val="005860CF"/>
    <w:rsid w:val="005876CF"/>
    <w:rsid w:val="00590057"/>
    <w:rsid w:val="0059019D"/>
    <w:rsid w:val="00590875"/>
    <w:rsid w:val="00590EDD"/>
    <w:rsid w:val="005925D3"/>
    <w:rsid w:val="00597B97"/>
    <w:rsid w:val="005A0B50"/>
    <w:rsid w:val="005A3032"/>
    <w:rsid w:val="005A48F8"/>
    <w:rsid w:val="005A4E8D"/>
    <w:rsid w:val="005A5E82"/>
    <w:rsid w:val="005A7AE9"/>
    <w:rsid w:val="005B1D45"/>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5A16"/>
    <w:rsid w:val="005E7FA3"/>
    <w:rsid w:val="005F01D4"/>
    <w:rsid w:val="005F15F1"/>
    <w:rsid w:val="005F1626"/>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24812"/>
    <w:rsid w:val="00631166"/>
    <w:rsid w:val="00633361"/>
    <w:rsid w:val="0064074A"/>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43CB"/>
    <w:rsid w:val="00684C5B"/>
    <w:rsid w:val="0068718C"/>
    <w:rsid w:val="00691801"/>
    <w:rsid w:val="00692378"/>
    <w:rsid w:val="006929C9"/>
    <w:rsid w:val="00695607"/>
    <w:rsid w:val="006970B3"/>
    <w:rsid w:val="006A0A68"/>
    <w:rsid w:val="006A0DD9"/>
    <w:rsid w:val="006A1411"/>
    <w:rsid w:val="006A2FE3"/>
    <w:rsid w:val="006A6262"/>
    <w:rsid w:val="006A7155"/>
    <w:rsid w:val="006A771A"/>
    <w:rsid w:val="006B0D78"/>
    <w:rsid w:val="006B13A7"/>
    <w:rsid w:val="006B13E9"/>
    <w:rsid w:val="006B37EF"/>
    <w:rsid w:val="006B3F4D"/>
    <w:rsid w:val="006B4C95"/>
    <w:rsid w:val="006B53F2"/>
    <w:rsid w:val="006C095A"/>
    <w:rsid w:val="006C0F17"/>
    <w:rsid w:val="006C29BE"/>
    <w:rsid w:val="006C4AD0"/>
    <w:rsid w:val="006C5C4E"/>
    <w:rsid w:val="006D0C5F"/>
    <w:rsid w:val="006D1572"/>
    <w:rsid w:val="006D19A8"/>
    <w:rsid w:val="006D1D7B"/>
    <w:rsid w:val="006D5878"/>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67B"/>
    <w:rsid w:val="00746B34"/>
    <w:rsid w:val="00747365"/>
    <w:rsid w:val="00747D25"/>
    <w:rsid w:val="007526A1"/>
    <w:rsid w:val="007530C0"/>
    <w:rsid w:val="007561BD"/>
    <w:rsid w:val="00756513"/>
    <w:rsid w:val="007567A2"/>
    <w:rsid w:val="00763EE4"/>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1062"/>
    <w:rsid w:val="00812597"/>
    <w:rsid w:val="00813ED0"/>
    <w:rsid w:val="0081423F"/>
    <w:rsid w:val="00817D1B"/>
    <w:rsid w:val="008220C0"/>
    <w:rsid w:val="00823B1D"/>
    <w:rsid w:val="00827B7A"/>
    <w:rsid w:val="00827FC0"/>
    <w:rsid w:val="00831168"/>
    <w:rsid w:val="00833813"/>
    <w:rsid w:val="0083523D"/>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41B2"/>
    <w:rsid w:val="008B4569"/>
    <w:rsid w:val="008B6744"/>
    <w:rsid w:val="008B728D"/>
    <w:rsid w:val="008B7EA2"/>
    <w:rsid w:val="008C1807"/>
    <w:rsid w:val="008C3225"/>
    <w:rsid w:val="008C3647"/>
    <w:rsid w:val="008C4CC5"/>
    <w:rsid w:val="008C6C69"/>
    <w:rsid w:val="008C7F4D"/>
    <w:rsid w:val="008D402F"/>
    <w:rsid w:val="008D5AFF"/>
    <w:rsid w:val="008D5B41"/>
    <w:rsid w:val="008E074A"/>
    <w:rsid w:val="008E6552"/>
    <w:rsid w:val="008E6DFC"/>
    <w:rsid w:val="008E72DA"/>
    <w:rsid w:val="008F289B"/>
    <w:rsid w:val="008F5459"/>
    <w:rsid w:val="008F6002"/>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34B2"/>
    <w:rsid w:val="009C4823"/>
    <w:rsid w:val="009C6B20"/>
    <w:rsid w:val="009C7A25"/>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5DA"/>
    <w:rsid w:val="00A25D63"/>
    <w:rsid w:val="00A31376"/>
    <w:rsid w:val="00A33608"/>
    <w:rsid w:val="00A34349"/>
    <w:rsid w:val="00A35984"/>
    <w:rsid w:val="00A35F70"/>
    <w:rsid w:val="00A36D6B"/>
    <w:rsid w:val="00A36DF5"/>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477"/>
    <w:rsid w:val="00A70F9E"/>
    <w:rsid w:val="00A74D47"/>
    <w:rsid w:val="00A74D90"/>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2C10"/>
    <w:rsid w:val="00AC5E40"/>
    <w:rsid w:val="00AD02BB"/>
    <w:rsid w:val="00AD11AA"/>
    <w:rsid w:val="00AD4F53"/>
    <w:rsid w:val="00AD5324"/>
    <w:rsid w:val="00AD65D8"/>
    <w:rsid w:val="00AE0042"/>
    <w:rsid w:val="00AE1C3F"/>
    <w:rsid w:val="00AE1F6A"/>
    <w:rsid w:val="00AE2781"/>
    <w:rsid w:val="00AE5E91"/>
    <w:rsid w:val="00AE663C"/>
    <w:rsid w:val="00AF4399"/>
    <w:rsid w:val="00AF764A"/>
    <w:rsid w:val="00B022FC"/>
    <w:rsid w:val="00B07552"/>
    <w:rsid w:val="00B07805"/>
    <w:rsid w:val="00B113DD"/>
    <w:rsid w:val="00B11A88"/>
    <w:rsid w:val="00B12436"/>
    <w:rsid w:val="00B1521D"/>
    <w:rsid w:val="00B16B1E"/>
    <w:rsid w:val="00B17865"/>
    <w:rsid w:val="00B21705"/>
    <w:rsid w:val="00B230B7"/>
    <w:rsid w:val="00B23F02"/>
    <w:rsid w:val="00B25AB0"/>
    <w:rsid w:val="00B26AA1"/>
    <w:rsid w:val="00B26BE0"/>
    <w:rsid w:val="00B27467"/>
    <w:rsid w:val="00B31C21"/>
    <w:rsid w:val="00B33A3D"/>
    <w:rsid w:val="00B350F7"/>
    <w:rsid w:val="00B351B6"/>
    <w:rsid w:val="00B36247"/>
    <w:rsid w:val="00B372F1"/>
    <w:rsid w:val="00B401F3"/>
    <w:rsid w:val="00B407D3"/>
    <w:rsid w:val="00B42ABC"/>
    <w:rsid w:val="00B466A0"/>
    <w:rsid w:val="00B46B6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51A4"/>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239"/>
    <w:rsid w:val="00C079F7"/>
    <w:rsid w:val="00C11909"/>
    <w:rsid w:val="00C146CE"/>
    <w:rsid w:val="00C155B0"/>
    <w:rsid w:val="00C156B9"/>
    <w:rsid w:val="00C158AE"/>
    <w:rsid w:val="00C16FAB"/>
    <w:rsid w:val="00C228DC"/>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0F56"/>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1775"/>
    <w:rsid w:val="00CA2391"/>
    <w:rsid w:val="00CA4A02"/>
    <w:rsid w:val="00CA5DE6"/>
    <w:rsid w:val="00CB1B9E"/>
    <w:rsid w:val="00CB2964"/>
    <w:rsid w:val="00CB5634"/>
    <w:rsid w:val="00CB59A1"/>
    <w:rsid w:val="00CC091C"/>
    <w:rsid w:val="00CC1852"/>
    <w:rsid w:val="00CC2372"/>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4781"/>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332F"/>
    <w:rsid w:val="00D85090"/>
    <w:rsid w:val="00D8691E"/>
    <w:rsid w:val="00D87B76"/>
    <w:rsid w:val="00D900AB"/>
    <w:rsid w:val="00D91F03"/>
    <w:rsid w:val="00D92C9E"/>
    <w:rsid w:val="00D92CAF"/>
    <w:rsid w:val="00D92D19"/>
    <w:rsid w:val="00D944E5"/>
    <w:rsid w:val="00DA14FA"/>
    <w:rsid w:val="00DA2FAA"/>
    <w:rsid w:val="00DA32E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0765D"/>
    <w:rsid w:val="00E11A18"/>
    <w:rsid w:val="00E11D71"/>
    <w:rsid w:val="00E1204D"/>
    <w:rsid w:val="00E17227"/>
    <w:rsid w:val="00E17A0C"/>
    <w:rsid w:val="00E17E31"/>
    <w:rsid w:val="00E201C7"/>
    <w:rsid w:val="00E2065A"/>
    <w:rsid w:val="00E20EF2"/>
    <w:rsid w:val="00E210EF"/>
    <w:rsid w:val="00E21212"/>
    <w:rsid w:val="00E21978"/>
    <w:rsid w:val="00E25CBE"/>
    <w:rsid w:val="00E313C2"/>
    <w:rsid w:val="00E31E0C"/>
    <w:rsid w:val="00E320A7"/>
    <w:rsid w:val="00E3276F"/>
    <w:rsid w:val="00E34E4E"/>
    <w:rsid w:val="00E35824"/>
    <w:rsid w:val="00E363E8"/>
    <w:rsid w:val="00E36734"/>
    <w:rsid w:val="00E36A7C"/>
    <w:rsid w:val="00E36C2E"/>
    <w:rsid w:val="00E37C58"/>
    <w:rsid w:val="00E417CC"/>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0125"/>
    <w:rsid w:val="00E818C9"/>
    <w:rsid w:val="00E81EF7"/>
    <w:rsid w:val="00E838D8"/>
    <w:rsid w:val="00E8487B"/>
    <w:rsid w:val="00E8552A"/>
    <w:rsid w:val="00E86CF3"/>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38E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07B03"/>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9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paragraph" w:customStyle="1" w:styleId="B1">
    <w:name w:val="B1"/>
    <w:basedOn w:val="a6"/>
    <w:rsid w:val="00ED38E1"/>
    <w:pPr>
      <w:spacing w:after="180"/>
      <w:ind w:left="568" w:hanging="284"/>
    </w:pPr>
    <w:rPr>
      <w:rFonts w:eastAsia="MS Mincho"/>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441C1F"/>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228929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DF7CA-A90F-41AC-BDC1-C656B3B6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3</cp:revision>
  <cp:lastPrinted>2007-08-28T20:45:00Z</cp:lastPrinted>
  <dcterms:created xsi:type="dcterms:W3CDTF">2017-02-04T02:12:00Z</dcterms:created>
  <dcterms:modified xsi:type="dcterms:W3CDTF">2017-02-04T02:13:00Z</dcterms:modified>
</cp:coreProperties>
</file>