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303D4" w14:textId="1F8D8DE5" w:rsidR="00CD4C7B" w:rsidRPr="00DC10D6" w:rsidRDefault="00CD4C7B" w:rsidP="00CD4C7B">
      <w:pPr>
        <w:pStyle w:val="Header"/>
        <w:tabs>
          <w:tab w:val="right" w:pos="9639"/>
        </w:tabs>
        <w:rPr>
          <w:bCs/>
          <w:i/>
          <w:noProof w:val="0"/>
          <w:sz w:val="24"/>
          <w:szCs w:val="24"/>
          <w:lang w:val="en-US"/>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0C522B">
        <w:rPr>
          <w:noProof w:val="0"/>
          <w:sz w:val="24"/>
          <w:szCs w:val="24"/>
        </w:rPr>
        <w:t>4</w:t>
      </w:r>
      <w:r w:rsidRPr="00B266B0">
        <w:rPr>
          <w:bCs/>
          <w:noProof w:val="0"/>
          <w:sz w:val="24"/>
          <w:szCs w:val="24"/>
        </w:rPr>
        <w:tab/>
      </w:r>
      <w:bookmarkStart w:id="1" w:name="_GoBack"/>
      <w:r w:rsidR="00DC10D6" w:rsidRPr="00DC10D6">
        <w:rPr>
          <w:bCs/>
          <w:noProof w:val="0"/>
          <w:sz w:val="24"/>
          <w:szCs w:val="24"/>
        </w:rPr>
        <w:t>R2-163534</w:t>
      </w:r>
      <w:bookmarkEnd w:id="1"/>
    </w:p>
    <w:p w14:paraId="1366C5D1" w14:textId="77777777" w:rsidR="00CD4C7B" w:rsidRPr="00B266B0" w:rsidRDefault="000C522B" w:rsidP="00CD4C7B">
      <w:pPr>
        <w:pStyle w:val="Header"/>
        <w:tabs>
          <w:tab w:val="right" w:pos="9639"/>
        </w:tabs>
        <w:rPr>
          <w:bCs/>
          <w:noProof w:val="0"/>
          <w:sz w:val="24"/>
          <w:szCs w:val="24"/>
        </w:rPr>
      </w:pPr>
      <w:r>
        <w:rPr>
          <w:rFonts w:eastAsia="SimSun"/>
          <w:noProof w:val="0"/>
          <w:sz w:val="24"/>
          <w:szCs w:val="24"/>
          <w:lang w:eastAsia="zh-CN"/>
        </w:rPr>
        <w:t>Nanjing</w:t>
      </w:r>
      <w:r w:rsidR="00477455">
        <w:rPr>
          <w:rFonts w:eastAsia="SimSun"/>
          <w:noProof w:val="0"/>
          <w:sz w:val="24"/>
          <w:szCs w:val="24"/>
          <w:lang w:eastAsia="zh-CN"/>
        </w:rPr>
        <w:t xml:space="preserve">, </w:t>
      </w:r>
      <w:r>
        <w:rPr>
          <w:rFonts w:eastAsia="SimSun"/>
          <w:noProof w:val="0"/>
          <w:sz w:val="24"/>
          <w:szCs w:val="24"/>
          <w:lang w:eastAsia="zh-CN"/>
        </w:rPr>
        <w:t>China</w:t>
      </w:r>
      <w:r w:rsidR="009B07CD" w:rsidRPr="009B07CD">
        <w:rPr>
          <w:rFonts w:eastAsia="SimSun"/>
          <w:noProof w:val="0"/>
          <w:sz w:val="24"/>
          <w:szCs w:val="24"/>
          <w:lang w:eastAsia="zh-CN"/>
        </w:rPr>
        <w:t xml:space="preserve">, </w:t>
      </w:r>
      <w:r>
        <w:rPr>
          <w:rFonts w:eastAsia="SimSun"/>
          <w:noProof w:val="0"/>
          <w:sz w:val="24"/>
          <w:szCs w:val="24"/>
          <w:lang w:eastAsia="zh-CN"/>
        </w:rPr>
        <w:t>23</w:t>
      </w:r>
      <w:r w:rsidR="009B07CD" w:rsidRPr="009B07CD">
        <w:rPr>
          <w:rFonts w:eastAsia="SimSun"/>
          <w:noProof w:val="0"/>
          <w:sz w:val="24"/>
          <w:szCs w:val="24"/>
          <w:lang w:eastAsia="zh-CN"/>
        </w:rPr>
        <w:t xml:space="preserve"> - </w:t>
      </w:r>
      <w:r>
        <w:rPr>
          <w:rFonts w:eastAsia="SimSun"/>
          <w:noProof w:val="0"/>
          <w:sz w:val="24"/>
          <w:szCs w:val="24"/>
          <w:lang w:eastAsia="zh-CN"/>
        </w:rPr>
        <w:t>27</w:t>
      </w:r>
      <w:r w:rsidR="009B07CD" w:rsidRPr="009B07CD">
        <w:rPr>
          <w:rFonts w:eastAsia="SimSun"/>
          <w:noProof w:val="0"/>
          <w:sz w:val="24"/>
          <w:szCs w:val="24"/>
          <w:lang w:eastAsia="zh-CN"/>
        </w:rPr>
        <w:t xml:space="preserve"> </w:t>
      </w:r>
      <w:r>
        <w:rPr>
          <w:rFonts w:eastAsia="SimSun"/>
          <w:noProof w:val="0"/>
          <w:sz w:val="24"/>
          <w:szCs w:val="24"/>
          <w:lang w:eastAsia="zh-CN"/>
        </w:rPr>
        <w:t xml:space="preserve">May </w:t>
      </w:r>
      <w:r w:rsidR="009B07CD" w:rsidRPr="009B07CD">
        <w:rPr>
          <w:rFonts w:eastAsia="SimSun"/>
          <w:noProof w:val="0"/>
          <w:sz w:val="24"/>
          <w:szCs w:val="24"/>
          <w:lang w:eastAsia="zh-CN"/>
        </w:rPr>
        <w:t>2016</w:t>
      </w:r>
    </w:p>
    <w:p w14:paraId="68BFA8AF" w14:textId="77777777" w:rsidR="00CD4C7B" w:rsidRPr="00B266B0" w:rsidRDefault="00CD4C7B" w:rsidP="00CD4C7B">
      <w:pPr>
        <w:pStyle w:val="Header"/>
        <w:rPr>
          <w:bCs/>
          <w:noProof w:val="0"/>
          <w:sz w:val="24"/>
        </w:rPr>
      </w:pPr>
    </w:p>
    <w:p w14:paraId="1BB71F89" w14:textId="77777777" w:rsidR="00CD4C7B" w:rsidRPr="00B266B0" w:rsidRDefault="00CD4C7B" w:rsidP="00CD4C7B">
      <w:pPr>
        <w:pStyle w:val="Header"/>
        <w:rPr>
          <w:bCs/>
          <w:noProof w:val="0"/>
          <w:sz w:val="24"/>
        </w:rPr>
      </w:pPr>
    </w:p>
    <w:p w14:paraId="5B419C11" w14:textId="3324118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D3245">
        <w:rPr>
          <w:rFonts w:cs="Arial"/>
          <w:b/>
          <w:bCs/>
          <w:sz w:val="24"/>
          <w:lang w:eastAsia="ja-JP"/>
        </w:rPr>
        <w:t>8</w:t>
      </w:r>
      <w:r w:rsidR="002747EC">
        <w:rPr>
          <w:rFonts w:cs="Arial"/>
          <w:b/>
          <w:bCs/>
          <w:sz w:val="24"/>
          <w:lang w:eastAsia="ja-JP"/>
        </w:rPr>
        <w:t>.</w:t>
      </w:r>
      <w:r w:rsidR="00E9502B">
        <w:rPr>
          <w:rFonts w:cs="Arial"/>
          <w:b/>
          <w:bCs/>
          <w:sz w:val="24"/>
          <w:lang w:eastAsia="ja-JP"/>
        </w:rPr>
        <w:t>1</w:t>
      </w:r>
      <w:r w:rsidR="00BD3245">
        <w:rPr>
          <w:rFonts w:cs="Arial"/>
          <w:b/>
          <w:bCs/>
          <w:sz w:val="24"/>
          <w:lang w:eastAsia="ja-JP"/>
        </w:rPr>
        <w:t>2</w:t>
      </w:r>
      <w:r w:rsidR="002747EC">
        <w:rPr>
          <w:rFonts w:cs="Arial"/>
          <w:b/>
          <w:bCs/>
          <w:sz w:val="24"/>
          <w:lang w:eastAsia="ja-JP"/>
        </w:rPr>
        <w:t>.</w:t>
      </w:r>
      <w:r w:rsidR="00B0273F">
        <w:rPr>
          <w:rFonts w:cs="Arial"/>
          <w:b/>
          <w:bCs/>
          <w:sz w:val="24"/>
          <w:lang w:eastAsia="ja-JP"/>
        </w:rPr>
        <w:t>4</w:t>
      </w:r>
    </w:p>
    <w:p w14:paraId="7F0D1515"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3EECFD3" w14:textId="4775C9D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0273F">
        <w:rPr>
          <w:rFonts w:ascii="Arial" w:hAnsi="Arial" w:cs="Arial"/>
          <w:b/>
          <w:bCs/>
          <w:sz w:val="24"/>
        </w:rPr>
        <w:t>Non-authenticated UEs support</w:t>
      </w:r>
    </w:p>
    <w:p w14:paraId="6BA79B9B" w14:textId="1521B6D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D3245" w:rsidRPr="00BD3245">
        <w:rPr>
          <w:rFonts w:ascii="Arial" w:hAnsi="Arial" w:cs="Arial"/>
          <w:b/>
          <w:bCs/>
          <w:sz w:val="24"/>
        </w:rPr>
        <w:t>MBMS_LTE_enh2</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14:paraId="18096DD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CC88822" w14:textId="77777777" w:rsidR="00CD4C7B" w:rsidRPr="006E13D1" w:rsidRDefault="00CD4C7B" w:rsidP="00CD4C7B">
      <w:pPr>
        <w:pStyle w:val="Heading1"/>
      </w:pPr>
      <w:r w:rsidRPr="006E13D1">
        <w:t>1</w:t>
      </w:r>
      <w:r w:rsidRPr="006E13D1">
        <w:tab/>
      </w:r>
      <w:r w:rsidR="0056573F">
        <w:t>Introduction</w:t>
      </w:r>
    </w:p>
    <w:p w14:paraId="4885720A" w14:textId="790D3416" w:rsidR="0005161B" w:rsidRDefault="009F4BCE" w:rsidP="0005161B">
      <w:pPr>
        <w:rPr>
          <w:lang w:val="en-US"/>
        </w:rPr>
      </w:pPr>
      <w:r>
        <w:rPr>
          <w:lang w:val="en-US"/>
        </w:rPr>
        <w:t>One of the objectives of the newly agreed eMBMS WI</w:t>
      </w:r>
      <w:r w:rsidR="00265A31">
        <w:rPr>
          <w:lang w:val="en-US"/>
        </w:rPr>
        <w:t xml:space="preserve"> [1]</w:t>
      </w:r>
      <w:r>
        <w:rPr>
          <w:lang w:val="en-US"/>
        </w:rPr>
        <w:t xml:space="preserve"> is to study:</w:t>
      </w:r>
    </w:p>
    <w:p w14:paraId="2785C5E8" w14:textId="6C202DDC" w:rsidR="009F4BCE" w:rsidRDefault="009F4BCE" w:rsidP="0005161B">
      <w:pPr>
        <w:rPr>
          <w:i/>
          <w:lang w:val="en-US"/>
        </w:rPr>
      </w:pPr>
      <w:r>
        <w:rPr>
          <w:i/>
          <w:lang w:val="en-US"/>
        </w:rPr>
        <w:t>“</w:t>
      </w:r>
      <w:r w:rsidRPr="009F4BCE">
        <w:rPr>
          <w:i/>
          <w:lang w:val="en-US"/>
        </w:rPr>
        <w:t>f.</w:t>
      </w:r>
      <w:r w:rsidRPr="009F4BCE">
        <w:rPr>
          <w:i/>
          <w:lang w:val="en-US"/>
        </w:rPr>
        <w:tab/>
        <w:t>Solutions where a UE can receive the TV transport service without being authenticated (RAN1, RAN2, RAN3)</w:t>
      </w:r>
      <w:r>
        <w:rPr>
          <w:i/>
          <w:lang w:val="en-US"/>
        </w:rPr>
        <w:t>”</w:t>
      </w:r>
    </w:p>
    <w:p w14:paraId="298C42AA" w14:textId="6EA24355" w:rsidR="009F4BCE" w:rsidRPr="009F4BCE" w:rsidRDefault="009F4BCE" w:rsidP="0005161B">
      <w:pPr>
        <w:rPr>
          <w:lang w:val="en-US"/>
        </w:rPr>
      </w:pPr>
      <w:r>
        <w:rPr>
          <w:lang w:val="en-US"/>
        </w:rPr>
        <w:t>RAN1 and RAN3 during their last meetings agreed that this objective has no impact on their work. In this contribution we shortly discuss whether there is an impact on RAN</w:t>
      </w:r>
      <w:r w:rsidR="008502DD">
        <w:rPr>
          <w:lang w:val="en-US"/>
        </w:rPr>
        <w:t>2</w:t>
      </w:r>
      <w:r>
        <w:rPr>
          <w:lang w:val="en-US"/>
        </w:rPr>
        <w:t xml:space="preserve"> of introducing non-authenticated UEs support for MBMS.</w:t>
      </w:r>
    </w:p>
    <w:p w14:paraId="148FDD55" w14:textId="56519548" w:rsidR="00CD4C7B" w:rsidRPr="00DD3E7A" w:rsidRDefault="00CD4C7B" w:rsidP="00F316A3">
      <w:pPr>
        <w:rPr>
          <w:lang w:val="en-US"/>
        </w:rPr>
      </w:pPr>
    </w:p>
    <w:p w14:paraId="6E2AC74A" w14:textId="70CFA6F4" w:rsidR="00CD4C7B" w:rsidRPr="0005161B" w:rsidRDefault="00265A31" w:rsidP="00CD4C7B">
      <w:pPr>
        <w:pStyle w:val="Heading1"/>
        <w:rPr>
          <w:lang w:val="en-US"/>
        </w:rPr>
      </w:pPr>
      <w:r>
        <w:rPr>
          <w:lang w:val="en-US"/>
        </w:rPr>
        <w:t>2</w:t>
      </w:r>
      <w:r w:rsidR="00CD4C7B" w:rsidRPr="0005161B">
        <w:rPr>
          <w:lang w:val="en-US"/>
        </w:rPr>
        <w:tab/>
      </w:r>
      <w:r w:rsidR="00105AEE" w:rsidRPr="0005161B">
        <w:rPr>
          <w:lang w:val="en-US"/>
        </w:rPr>
        <w:t>Non-authenticated UEs support</w:t>
      </w:r>
    </w:p>
    <w:p w14:paraId="7A2C5D2D" w14:textId="6127A9BA" w:rsidR="0005161B" w:rsidRDefault="001A5D60" w:rsidP="0005161B">
      <w:pPr>
        <w:rPr>
          <w:lang w:val="en-US"/>
        </w:rPr>
      </w:pPr>
      <w:r>
        <w:rPr>
          <w:lang w:val="en-US"/>
        </w:rPr>
        <w:t>In [1] the necessity of support</w:t>
      </w:r>
      <w:r w:rsidR="00174657">
        <w:rPr>
          <w:lang w:val="en-US"/>
        </w:rPr>
        <w:t>ing</w:t>
      </w:r>
      <w:r>
        <w:rPr>
          <w:lang w:val="en-US"/>
        </w:rPr>
        <w:t xml:space="preserve"> non-authenticated UEs </w:t>
      </w:r>
      <w:r w:rsidR="00174657">
        <w:rPr>
          <w:lang w:val="en-US"/>
        </w:rPr>
        <w:t>is justified in the following way:</w:t>
      </w:r>
    </w:p>
    <w:p w14:paraId="0ACF87AA" w14:textId="2923D9AF" w:rsidR="00E55225" w:rsidRPr="00D709B6" w:rsidRDefault="00174657" w:rsidP="009E75AF">
      <w:pPr>
        <w:pStyle w:val="BodyText"/>
        <w:rPr>
          <w:rFonts w:ascii="Times New Roman" w:hAnsi="Times New Roman" w:cs="Times New Roman"/>
          <w:i/>
          <w:lang w:val="en-GB"/>
        </w:rPr>
      </w:pPr>
      <w:r w:rsidRPr="00D709B6">
        <w:rPr>
          <w:rFonts w:ascii="Times New Roman" w:hAnsi="Times New Roman" w:cs="Times New Roman"/>
          <w:i/>
        </w:rPr>
        <w:t>“</w:t>
      </w:r>
      <w:r w:rsidR="009E75AF" w:rsidRPr="00D709B6">
        <w:rPr>
          <w:rFonts w:ascii="Times New Roman" w:hAnsi="Times New Roman" w:cs="Times New Roman"/>
          <w:i/>
        </w:rPr>
        <w:t xml:space="preserve">As identified by SA1, the 3GPP network shall provide the ability for an MNO to meet regulatory requirements for privacy and non-identification of a receiving user by entities outside of the MNO regardless of broadcast or unicast reception. </w:t>
      </w:r>
      <w:r w:rsidR="009E75AF" w:rsidRPr="00D709B6">
        <w:rPr>
          <w:rFonts w:ascii="Times New Roman" w:hAnsi="Times New Roman" w:cs="Times New Roman"/>
          <w:i/>
          <w:lang w:val="en-GB"/>
        </w:rPr>
        <w:t>Still it should remain possible for the network to count the number of service users within a given geographical granularity so that optimal switching between broadcast and unicast mode remains possible.</w:t>
      </w:r>
      <w:r w:rsidRPr="00D709B6">
        <w:rPr>
          <w:rFonts w:ascii="Times New Roman" w:hAnsi="Times New Roman" w:cs="Times New Roman"/>
          <w:i/>
          <w:lang w:val="en-GB"/>
        </w:rPr>
        <w:t>”</w:t>
      </w:r>
    </w:p>
    <w:p w14:paraId="125D4385" w14:textId="39CD20DD" w:rsidR="00E55225" w:rsidRPr="00D709B6" w:rsidRDefault="00D709B6" w:rsidP="00D709B6">
      <w:r>
        <w:t>This is as well linked with the objective of supporting multi-carrier reception of unicast and broadcast where UEs with subscription to one network can receive some eMBMS services provided by another network [1]:</w:t>
      </w:r>
    </w:p>
    <w:p w14:paraId="12FF702D" w14:textId="5F111566" w:rsidR="009E75AF" w:rsidRPr="00D709B6" w:rsidRDefault="00D709B6" w:rsidP="009E75AF">
      <w:pPr>
        <w:pStyle w:val="BodyText"/>
        <w:rPr>
          <w:rFonts w:ascii="Times New Roman" w:hAnsi="Times New Roman" w:cs="Times New Roman"/>
          <w:i/>
          <w:lang w:val="en-GB"/>
        </w:rPr>
      </w:pPr>
      <w:r w:rsidRPr="00D709B6">
        <w:rPr>
          <w:rFonts w:ascii="Times New Roman" w:hAnsi="Times New Roman" w:cs="Times New Roman"/>
          <w:i/>
        </w:rPr>
        <w:t>“</w:t>
      </w:r>
      <w:r w:rsidR="00E55225" w:rsidRPr="00D709B6">
        <w:rPr>
          <w:rFonts w:ascii="Times New Roman" w:hAnsi="Times New Roman" w:cs="Times New Roman"/>
          <w:i/>
        </w:rPr>
        <w:t>Another use case for such multi-carrier support is where Mobile Network Operators have agreed that UEs subscribed to one network shall be able to receive certain eMBMS service from another network. One scenario is eMBMS in a stadium where the stadium-related service should be received by UEs regardless to which network they are subscribed. Another scenario is a wide-area TV service provided over eMBMS that shall be accessible by</w:t>
      </w:r>
      <w:r w:rsidRPr="00D709B6">
        <w:rPr>
          <w:rFonts w:ascii="Times New Roman" w:hAnsi="Times New Roman" w:cs="Times New Roman"/>
          <w:i/>
        </w:rPr>
        <w:t xml:space="preserve"> UEs regardless of subscription.</w:t>
      </w:r>
      <w:r w:rsidRPr="00D709B6">
        <w:rPr>
          <w:rFonts w:ascii="Times New Roman" w:hAnsi="Times New Roman" w:cs="Times New Roman"/>
          <w:i/>
          <w:lang w:val="en-GB"/>
        </w:rPr>
        <w:t>“</w:t>
      </w:r>
    </w:p>
    <w:p w14:paraId="77F59EF0" w14:textId="77777777" w:rsidR="001E4071" w:rsidRDefault="00CE537A" w:rsidP="0005161B">
      <w:r>
        <w:t xml:space="preserve">In the first case mentioned above the main scenario is most likely </w:t>
      </w:r>
      <w:r w:rsidR="003B685D">
        <w:t xml:space="preserve">to allow </w:t>
      </w:r>
      <w:r w:rsidR="00B40F40">
        <w:t>“</w:t>
      </w:r>
      <w:r w:rsidR="003B685D">
        <w:t>broadcast-only UEs</w:t>
      </w:r>
      <w:r w:rsidR="00B40F40">
        <w:t>”</w:t>
      </w:r>
      <w:r w:rsidR="003B685D">
        <w:t xml:space="preserve"> support within LTE eMBMS network</w:t>
      </w:r>
      <w:r w:rsidR="00B40F40">
        <w:t xml:space="preserve">, i.e. when such UE is in the area, where </w:t>
      </w:r>
      <w:r w:rsidR="003C7B3C">
        <w:t>F</w:t>
      </w:r>
      <w:r w:rsidR="00B40F40">
        <w:t>ree-to-</w:t>
      </w:r>
      <w:r w:rsidR="003C7B3C">
        <w:t>A</w:t>
      </w:r>
      <w:r w:rsidR="00B40F40">
        <w:t xml:space="preserve">ir broadcast TV service is available it should be able to receive it without the need to </w:t>
      </w:r>
      <w:r w:rsidR="00B24E8F">
        <w:t>authenticate in the LTE network</w:t>
      </w:r>
      <w:r>
        <w:t xml:space="preserve"> and therefore stay anonymous</w:t>
      </w:r>
      <w:r w:rsidR="00B24E8F">
        <w:t>. This means that the UEs should be somehow preconfigured with the information required to receive the service of their interest (USD), so it need to be either pre-provisioned or delivered via e.g. h</w:t>
      </w:r>
      <w:r w:rsidR="00FD2123">
        <w:t>ome Internet connection or WiFi, which are separated from the network providing the MBMS service.</w:t>
      </w:r>
      <w:r w:rsidR="00B24E8F">
        <w:t xml:space="preserve"> In the latter case some kind of authentication would be probably performed by the higher layers between the UE and Application Server, but this is out of scope of RAN2 </w:t>
      </w:r>
      <w:r w:rsidR="00F332A8">
        <w:t>area of expertise.</w:t>
      </w:r>
      <w:r w:rsidR="001E0C11">
        <w:t xml:space="preserve"> </w:t>
      </w:r>
    </w:p>
    <w:p w14:paraId="494DDD39" w14:textId="572B151C" w:rsidR="003B685D" w:rsidRDefault="001E4071" w:rsidP="0005161B">
      <w:r>
        <w:t xml:space="preserve">In the second case the UE is both unicast and multicast capable, so it is possible to deliver it with MBMS service provisioning over the LTE network where it has an active subscription. However this would have to be done in a way, which allows for non-identification of the UE. In [2] the current authentication </w:t>
      </w:r>
      <w:r w:rsidR="004B7A11">
        <w:t>mechanism was summarized and it was concluded that</w:t>
      </w:r>
      <w:r w:rsidR="004B7A11">
        <w:rPr>
          <w:szCs w:val="19"/>
          <w:lang w:val="en-US" w:eastAsia="zh-CN"/>
        </w:rPr>
        <w:t xml:space="preserve"> </w:t>
      </w:r>
      <w:r w:rsidR="004B7A11" w:rsidRPr="00505F16">
        <w:rPr>
          <w:szCs w:val="19"/>
          <w:lang w:val="en-US" w:eastAsia="zh-CN"/>
        </w:rPr>
        <w:t>the UE authentication in MBMS is transparent to the eNB.</w:t>
      </w:r>
      <w:r w:rsidR="004B7A11">
        <w:rPr>
          <w:szCs w:val="19"/>
          <w:lang w:val="en-US" w:eastAsia="zh-CN"/>
        </w:rPr>
        <w:t xml:space="preserve"> </w:t>
      </w:r>
      <w:r w:rsidR="00672D27">
        <w:rPr>
          <w:szCs w:val="19"/>
          <w:lang w:val="en-US" w:eastAsia="zh-CN"/>
        </w:rPr>
        <w:t>We also believe that in both above-mentioned cases the mechanism should be RAN transparent and the solution should be provided on higher lay</w:t>
      </w:r>
      <w:r w:rsidR="00C002AA">
        <w:rPr>
          <w:szCs w:val="19"/>
          <w:lang w:val="en-US" w:eastAsia="zh-CN"/>
        </w:rPr>
        <w:t>ers. So far we have not identified any impact of objective f. of the WI on RAN2, so</w:t>
      </w:r>
      <w:r w:rsidR="001E0C11">
        <w:t xml:space="preserve"> similarly to the conclusions of RAN1 and RAN3 we propose to agree on the following proposal:</w:t>
      </w:r>
    </w:p>
    <w:p w14:paraId="6221EF01" w14:textId="3CE0F007" w:rsidR="001E0C11" w:rsidRDefault="00862C04" w:rsidP="0005161B">
      <w:pPr>
        <w:rPr>
          <w:b/>
        </w:rPr>
      </w:pPr>
      <w:r>
        <w:rPr>
          <w:b/>
        </w:rPr>
        <w:lastRenderedPageBreak/>
        <w:t>Proposal 1</w:t>
      </w:r>
      <w:r w:rsidR="001E0C11">
        <w:rPr>
          <w:b/>
        </w:rPr>
        <w:t>: There is no clear impact of objective f. on RAN2 specifications. The solutions for this objective can be developed in the higher layers by SA/CT WGs.</w:t>
      </w:r>
      <w:r w:rsidR="00034277">
        <w:rPr>
          <w:b/>
        </w:rPr>
        <w:t xml:space="preserve"> RAN2 should not continue</w:t>
      </w:r>
      <w:r w:rsidR="00CD6BB4">
        <w:rPr>
          <w:b/>
        </w:rPr>
        <w:t xml:space="preserve"> work</w:t>
      </w:r>
      <w:r w:rsidR="00034277">
        <w:rPr>
          <w:b/>
        </w:rPr>
        <w:t>ing</w:t>
      </w:r>
      <w:r w:rsidR="00CD6BB4">
        <w:rPr>
          <w:b/>
        </w:rPr>
        <w:t xml:space="preserve"> on this objective unless impact on RAN is identified in these WGs.</w:t>
      </w:r>
    </w:p>
    <w:p w14:paraId="2AD5BF4C" w14:textId="77777777" w:rsidR="00C002AA" w:rsidRPr="001E0C11" w:rsidRDefault="00C002AA" w:rsidP="0005161B">
      <w:pPr>
        <w:rPr>
          <w:b/>
        </w:rPr>
      </w:pPr>
    </w:p>
    <w:p w14:paraId="64EDE590" w14:textId="77AE888C" w:rsidR="00105AEE" w:rsidRPr="00D81EA2" w:rsidRDefault="00C002AA" w:rsidP="00105AEE">
      <w:pPr>
        <w:pStyle w:val="Heading1"/>
        <w:rPr>
          <w:lang w:val="en-US"/>
        </w:rPr>
      </w:pPr>
      <w:r w:rsidRPr="00D81EA2">
        <w:rPr>
          <w:lang w:val="en-US"/>
        </w:rPr>
        <w:t>3</w:t>
      </w:r>
      <w:r w:rsidR="00105AEE" w:rsidRPr="00D81EA2">
        <w:rPr>
          <w:lang w:val="en-US"/>
        </w:rPr>
        <w:tab/>
        <w:t>Summary</w:t>
      </w:r>
    </w:p>
    <w:p w14:paraId="158CB422" w14:textId="4C38DF1E" w:rsidR="00105AEE" w:rsidRDefault="00862C04" w:rsidP="00CD4C7B">
      <w:pPr>
        <w:rPr>
          <w:lang w:val="en-US"/>
        </w:rPr>
      </w:pPr>
      <w:r w:rsidRPr="00862C04">
        <w:rPr>
          <w:lang w:val="en-US"/>
        </w:rPr>
        <w:t xml:space="preserve">In this paper we shortly analyzed the impact of objective f. </w:t>
      </w:r>
      <w:r>
        <w:rPr>
          <w:lang w:val="en-US"/>
        </w:rPr>
        <w:t>on RAN2 and we concluded that at least at his stage there is no need for RAN2 to work on it. We believe that solutions should be developed by SA/CT WGs and we propose to agree the following proposal:</w:t>
      </w:r>
    </w:p>
    <w:p w14:paraId="30ABDC8D" w14:textId="5A41EABC" w:rsidR="00862C04" w:rsidRPr="00862C04" w:rsidRDefault="00862C04" w:rsidP="00CD4C7B">
      <w:pPr>
        <w:rPr>
          <w:lang w:val="en-US"/>
        </w:rPr>
      </w:pPr>
      <w:r>
        <w:rPr>
          <w:b/>
        </w:rPr>
        <w:t>Proposal 1: There is no clear impact of objective f. on RAN2 specifications. The solutions for this objective can be developed in the higher layers by SA/CT WGs. RAN2 should not continue working on this objective unless impact on RAN is identified in these WGs.</w:t>
      </w:r>
    </w:p>
    <w:p w14:paraId="51E748A1" w14:textId="77777777" w:rsidR="00CD4C7B" w:rsidRPr="006E13D1" w:rsidRDefault="00CD4C7B" w:rsidP="00CD4C7B">
      <w:pPr>
        <w:pStyle w:val="Heading1"/>
      </w:pPr>
      <w:r w:rsidRPr="006E13D1">
        <w:t>References</w:t>
      </w:r>
    </w:p>
    <w:p w14:paraId="78F65112" w14:textId="77777777" w:rsidR="001A5D60" w:rsidRPr="00D81EA2" w:rsidRDefault="001A5D60" w:rsidP="001A5D60">
      <w:pPr>
        <w:numPr>
          <w:ilvl w:val="0"/>
          <w:numId w:val="4"/>
        </w:numPr>
        <w:overflowPunct w:val="0"/>
        <w:autoSpaceDE w:val="0"/>
        <w:autoSpaceDN w:val="0"/>
        <w:adjustRightInd w:val="0"/>
        <w:textAlignment w:val="baseline"/>
      </w:pPr>
      <w:bookmarkStart w:id="2" w:name="_Ref75086397"/>
      <w:r w:rsidRPr="00D81EA2">
        <w:t xml:space="preserve">RP-160675, New WID: </w:t>
      </w:r>
      <w:r w:rsidRPr="00D81EA2">
        <w:rPr>
          <w:i/>
        </w:rPr>
        <w:t xml:space="preserve">eMBMS enhancements for LTE, </w:t>
      </w:r>
      <w:r w:rsidRPr="00D81EA2">
        <w:t>Ericsson, Qualcomm Inc., Nokia Networks, EBU</w:t>
      </w:r>
    </w:p>
    <w:p w14:paraId="43012DC6" w14:textId="5973F95A" w:rsidR="00080512" w:rsidRPr="00CD4C7B" w:rsidRDefault="001E4071" w:rsidP="001E4071">
      <w:pPr>
        <w:numPr>
          <w:ilvl w:val="0"/>
          <w:numId w:val="4"/>
        </w:numPr>
        <w:overflowPunct w:val="0"/>
        <w:autoSpaceDE w:val="0"/>
        <w:autoSpaceDN w:val="0"/>
        <w:adjustRightInd w:val="0"/>
        <w:textAlignment w:val="baseline"/>
      </w:pPr>
      <w:r w:rsidRPr="001E4071">
        <w:t>R3-160785</w:t>
      </w:r>
      <w:r w:rsidR="00CD4C7B" w:rsidRPr="006E13D1">
        <w:t xml:space="preserve">, </w:t>
      </w:r>
      <w:r w:rsidRPr="001E4071">
        <w:rPr>
          <w:i/>
          <w:iCs/>
        </w:rPr>
        <w:t>Discussion on the impact to RAN3 regarding the “eMBMS enhancements for LTE”</w:t>
      </w:r>
      <w:r w:rsidR="00CD4C7B" w:rsidRPr="006E13D1">
        <w:t xml:space="preserve">, </w:t>
      </w:r>
      <w:bookmarkEnd w:id="2"/>
      <w:r w:rsidRPr="001E4071">
        <w:t>Nokia, Alcatel-Lucent Shanghai Bell</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95E6FC" w14:textId="77777777" w:rsidR="00EE49D7" w:rsidRDefault="00EE49D7">
      <w:r>
        <w:separator/>
      </w:r>
    </w:p>
  </w:endnote>
  <w:endnote w:type="continuationSeparator" w:id="0">
    <w:p w14:paraId="574FD48C" w14:textId="77777777" w:rsidR="00EE49D7" w:rsidRDefault="00EE4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22503" w14:textId="77777777" w:rsidR="00EE49D7" w:rsidRDefault="00EE49D7">
      <w:r>
        <w:separator/>
      </w:r>
    </w:p>
  </w:footnote>
  <w:footnote w:type="continuationSeparator" w:id="0">
    <w:p w14:paraId="2286E2DD" w14:textId="77777777" w:rsidR="00EE49D7" w:rsidRDefault="00EE49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1217CC"/>
    <w:multiLevelType w:val="hybridMultilevel"/>
    <w:tmpl w:val="4CF49424"/>
    <w:lvl w:ilvl="0" w:tplc="F9AE238E">
      <w:start w:val="4"/>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4277"/>
    <w:rsid w:val="00040095"/>
    <w:rsid w:val="0005161B"/>
    <w:rsid w:val="00055AC2"/>
    <w:rsid w:val="00080512"/>
    <w:rsid w:val="00090468"/>
    <w:rsid w:val="000978BE"/>
    <w:rsid w:val="000B7BCF"/>
    <w:rsid w:val="000C3A8B"/>
    <w:rsid w:val="000C522B"/>
    <w:rsid w:val="000D58AB"/>
    <w:rsid w:val="000E4046"/>
    <w:rsid w:val="000F1F8B"/>
    <w:rsid w:val="00105AEE"/>
    <w:rsid w:val="00130903"/>
    <w:rsid w:val="0014513C"/>
    <w:rsid w:val="001741A0"/>
    <w:rsid w:val="00174657"/>
    <w:rsid w:val="001806CB"/>
    <w:rsid w:val="00180774"/>
    <w:rsid w:val="00194CD0"/>
    <w:rsid w:val="001A5D60"/>
    <w:rsid w:val="001B49C9"/>
    <w:rsid w:val="001D1004"/>
    <w:rsid w:val="001E0C11"/>
    <w:rsid w:val="001E4071"/>
    <w:rsid w:val="001F168B"/>
    <w:rsid w:val="001F7831"/>
    <w:rsid w:val="00204045"/>
    <w:rsid w:val="00210CD0"/>
    <w:rsid w:val="0022606D"/>
    <w:rsid w:val="0025059E"/>
    <w:rsid w:val="0026104A"/>
    <w:rsid w:val="00265A31"/>
    <w:rsid w:val="002747EC"/>
    <w:rsid w:val="002855BF"/>
    <w:rsid w:val="00297295"/>
    <w:rsid w:val="002A4F42"/>
    <w:rsid w:val="002A529C"/>
    <w:rsid w:val="002F0D22"/>
    <w:rsid w:val="003172DC"/>
    <w:rsid w:val="003204C1"/>
    <w:rsid w:val="00326069"/>
    <w:rsid w:val="0033789C"/>
    <w:rsid w:val="003451FF"/>
    <w:rsid w:val="003464E3"/>
    <w:rsid w:val="0035462D"/>
    <w:rsid w:val="00361663"/>
    <w:rsid w:val="003A357E"/>
    <w:rsid w:val="003B1AA6"/>
    <w:rsid w:val="003B685D"/>
    <w:rsid w:val="003C471D"/>
    <w:rsid w:val="003C4E37"/>
    <w:rsid w:val="003C7B3C"/>
    <w:rsid w:val="003E16BE"/>
    <w:rsid w:val="00401855"/>
    <w:rsid w:val="0041447E"/>
    <w:rsid w:val="00477455"/>
    <w:rsid w:val="004B0847"/>
    <w:rsid w:val="004B7A11"/>
    <w:rsid w:val="004C4E52"/>
    <w:rsid w:val="004D3578"/>
    <w:rsid w:val="004D380D"/>
    <w:rsid w:val="004D45CF"/>
    <w:rsid w:val="004E213A"/>
    <w:rsid w:val="004F1322"/>
    <w:rsid w:val="00503171"/>
    <w:rsid w:val="00534DA0"/>
    <w:rsid w:val="00541FC4"/>
    <w:rsid w:val="00543E6C"/>
    <w:rsid w:val="00562652"/>
    <w:rsid w:val="00565087"/>
    <w:rsid w:val="0056573F"/>
    <w:rsid w:val="0058311E"/>
    <w:rsid w:val="00583F1D"/>
    <w:rsid w:val="005D6CE9"/>
    <w:rsid w:val="00611566"/>
    <w:rsid w:val="00646D99"/>
    <w:rsid w:val="00656910"/>
    <w:rsid w:val="00657792"/>
    <w:rsid w:val="00672D27"/>
    <w:rsid w:val="006C66D8"/>
    <w:rsid w:val="006D1E24"/>
    <w:rsid w:val="006F6A2C"/>
    <w:rsid w:val="00707BBA"/>
    <w:rsid w:val="007177D5"/>
    <w:rsid w:val="00734A5B"/>
    <w:rsid w:val="00744E76"/>
    <w:rsid w:val="00757D40"/>
    <w:rsid w:val="00781F0F"/>
    <w:rsid w:val="0078727C"/>
    <w:rsid w:val="007B18D8"/>
    <w:rsid w:val="007C095F"/>
    <w:rsid w:val="007C29C1"/>
    <w:rsid w:val="007C4389"/>
    <w:rsid w:val="007E360E"/>
    <w:rsid w:val="008028A4"/>
    <w:rsid w:val="00814234"/>
    <w:rsid w:val="008502DD"/>
    <w:rsid w:val="00862C04"/>
    <w:rsid w:val="0087450E"/>
    <w:rsid w:val="008768CA"/>
    <w:rsid w:val="00880559"/>
    <w:rsid w:val="00895DB0"/>
    <w:rsid w:val="008B43CA"/>
    <w:rsid w:val="008F73D3"/>
    <w:rsid w:val="0090271F"/>
    <w:rsid w:val="00916F85"/>
    <w:rsid w:val="00942EC2"/>
    <w:rsid w:val="00961B32"/>
    <w:rsid w:val="0097270B"/>
    <w:rsid w:val="00974BB0"/>
    <w:rsid w:val="009B07CD"/>
    <w:rsid w:val="009C29BE"/>
    <w:rsid w:val="009E75AF"/>
    <w:rsid w:val="009F4BCE"/>
    <w:rsid w:val="00A10F02"/>
    <w:rsid w:val="00A11460"/>
    <w:rsid w:val="00A23C22"/>
    <w:rsid w:val="00A457B9"/>
    <w:rsid w:val="00A53724"/>
    <w:rsid w:val="00A82346"/>
    <w:rsid w:val="00A9671C"/>
    <w:rsid w:val="00AA64CC"/>
    <w:rsid w:val="00AB13DF"/>
    <w:rsid w:val="00B0273F"/>
    <w:rsid w:val="00B10A30"/>
    <w:rsid w:val="00B15449"/>
    <w:rsid w:val="00B24E8F"/>
    <w:rsid w:val="00B40F40"/>
    <w:rsid w:val="00B47FD1"/>
    <w:rsid w:val="00B75793"/>
    <w:rsid w:val="00BB3672"/>
    <w:rsid w:val="00BD3245"/>
    <w:rsid w:val="00C002AA"/>
    <w:rsid w:val="00C12B51"/>
    <w:rsid w:val="00C14608"/>
    <w:rsid w:val="00C33079"/>
    <w:rsid w:val="00C814A5"/>
    <w:rsid w:val="00C83A13"/>
    <w:rsid w:val="00C925D2"/>
    <w:rsid w:val="00CA3D0C"/>
    <w:rsid w:val="00CD4C7B"/>
    <w:rsid w:val="00CD6BB4"/>
    <w:rsid w:val="00CE537A"/>
    <w:rsid w:val="00D03281"/>
    <w:rsid w:val="00D1364C"/>
    <w:rsid w:val="00D13F20"/>
    <w:rsid w:val="00D709B6"/>
    <w:rsid w:val="00D738D6"/>
    <w:rsid w:val="00D80795"/>
    <w:rsid w:val="00D81EA2"/>
    <w:rsid w:val="00D87E00"/>
    <w:rsid w:val="00D9134D"/>
    <w:rsid w:val="00D96D11"/>
    <w:rsid w:val="00DA7A03"/>
    <w:rsid w:val="00DA7A18"/>
    <w:rsid w:val="00DB1818"/>
    <w:rsid w:val="00DB7F3A"/>
    <w:rsid w:val="00DC10D6"/>
    <w:rsid w:val="00DC309B"/>
    <w:rsid w:val="00DC45BF"/>
    <w:rsid w:val="00DC4DA2"/>
    <w:rsid w:val="00DD3E7A"/>
    <w:rsid w:val="00DE2AED"/>
    <w:rsid w:val="00DF080D"/>
    <w:rsid w:val="00DF1D05"/>
    <w:rsid w:val="00DF5A54"/>
    <w:rsid w:val="00E55225"/>
    <w:rsid w:val="00E62835"/>
    <w:rsid w:val="00E77645"/>
    <w:rsid w:val="00E9502B"/>
    <w:rsid w:val="00EC4A25"/>
    <w:rsid w:val="00EE49D7"/>
    <w:rsid w:val="00F025A2"/>
    <w:rsid w:val="00F07388"/>
    <w:rsid w:val="00F2026E"/>
    <w:rsid w:val="00F2210A"/>
    <w:rsid w:val="00F316A3"/>
    <w:rsid w:val="00F332A8"/>
    <w:rsid w:val="00F35FF2"/>
    <w:rsid w:val="00F37743"/>
    <w:rsid w:val="00F54A3D"/>
    <w:rsid w:val="00F653B8"/>
    <w:rsid w:val="00F75A05"/>
    <w:rsid w:val="00F76F8F"/>
    <w:rsid w:val="00F8539D"/>
    <w:rsid w:val="00FA1266"/>
    <w:rsid w:val="00FC1192"/>
    <w:rsid w:val="00FD0B95"/>
    <w:rsid w:val="00FD2123"/>
    <w:rsid w:val="00FD22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DB74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BodyText">
    <w:name w:val="Body Text"/>
    <w:basedOn w:val="Normal"/>
    <w:link w:val="BodyTextChar"/>
    <w:uiPriority w:val="99"/>
    <w:unhideWhenUsed/>
    <w:rsid w:val="009E75AF"/>
    <w:pPr>
      <w:overflowPunct w:val="0"/>
      <w:autoSpaceDE w:val="0"/>
      <w:autoSpaceDN w:val="0"/>
      <w:spacing w:after="120"/>
      <w:jc w:val="both"/>
    </w:pPr>
    <w:rPr>
      <w:rFonts w:ascii="Arial" w:eastAsiaTheme="minorHAnsi" w:hAnsi="Arial" w:cs="Arial"/>
      <w:lang w:val="en-US"/>
    </w:rPr>
  </w:style>
  <w:style w:type="character" w:customStyle="1" w:styleId="BodyTextChar">
    <w:name w:val="Body Text Char"/>
    <w:basedOn w:val="DefaultParagraphFont"/>
    <w:link w:val="BodyText"/>
    <w:uiPriority w:val="99"/>
    <w:rsid w:val="009E75AF"/>
    <w:rPr>
      <w:rFonts w:ascii="Arial" w:eastAsiaTheme="minorHAnsi" w:hAnsi="Arial" w:cs="Arial"/>
      <w:lang w:val="en-US" w:eastAsia="en-US"/>
    </w:rPr>
  </w:style>
  <w:style w:type="character" w:styleId="CommentReference">
    <w:name w:val="annotation reference"/>
    <w:basedOn w:val="DefaultParagraphFont"/>
    <w:rsid w:val="009E75AF"/>
    <w:rPr>
      <w:sz w:val="16"/>
      <w:szCs w:val="16"/>
    </w:rPr>
  </w:style>
  <w:style w:type="paragraph" w:styleId="CommentText">
    <w:name w:val="annotation text"/>
    <w:basedOn w:val="Normal"/>
    <w:link w:val="CommentTextChar"/>
    <w:rsid w:val="009E75AF"/>
  </w:style>
  <w:style w:type="character" w:customStyle="1" w:styleId="CommentTextChar">
    <w:name w:val="Comment Text Char"/>
    <w:basedOn w:val="DefaultParagraphFont"/>
    <w:link w:val="CommentText"/>
    <w:rsid w:val="009E75AF"/>
    <w:rPr>
      <w:lang w:eastAsia="en-US"/>
    </w:rPr>
  </w:style>
  <w:style w:type="paragraph" w:styleId="CommentSubject">
    <w:name w:val="annotation subject"/>
    <w:basedOn w:val="CommentText"/>
    <w:next w:val="CommentText"/>
    <w:link w:val="CommentSubjectChar"/>
    <w:rsid w:val="009E75AF"/>
    <w:rPr>
      <w:b/>
      <w:bCs/>
    </w:rPr>
  </w:style>
  <w:style w:type="character" w:customStyle="1" w:styleId="CommentSubjectChar">
    <w:name w:val="Comment Subject Char"/>
    <w:basedOn w:val="CommentTextChar"/>
    <w:link w:val="CommentSubject"/>
    <w:rsid w:val="009E75AF"/>
    <w:rPr>
      <w:b/>
      <w:bCs/>
      <w:lang w:eastAsia="en-US"/>
    </w:rPr>
  </w:style>
  <w:style w:type="paragraph" w:styleId="BalloonText">
    <w:name w:val="Balloon Text"/>
    <w:basedOn w:val="Normal"/>
    <w:link w:val="BalloonTextChar"/>
    <w:rsid w:val="009E75AF"/>
    <w:pPr>
      <w:spacing w:after="0"/>
    </w:pPr>
    <w:rPr>
      <w:rFonts w:ascii="Segoe UI" w:hAnsi="Segoe UI" w:cs="Segoe UI"/>
      <w:sz w:val="18"/>
      <w:szCs w:val="18"/>
    </w:rPr>
  </w:style>
  <w:style w:type="character" w:customStyle="1" w:styleId="BalloonTextChar">
    <w:name w:val="Balloon Text Char"/>
    <w:basedOn w:val="DefaultParagraphFont"/>
    <w:link w:val="BalloonText"/>
    <w:rsid w:val="009E75AF"/>
    <w:rPr>
      <w:rFonts w:ascii="Segoe UI" w:hAnsi="Segoe UI" w:cs="Segoe UI"/>
      <w:sz w:val="18"/>
      <w:szCs w:val="18"/>
      <w:lang w:eastAsia="en-US"/>
    </w:rPr>
  </w:style>
  <w:style w:type="paragraph" w:styleId="ListParagraph">
    <w:name w:val="List Paragraph"/>
    <w:basedOn w:val="Normal"/>
    <w:uiPriority w:val="34"/>
    <w:qFormat/>
    <w:rsid w:val="008F73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0848115">
      <w:bodyDiv w:val="1"/>
      <w:marLeft w:val="0"/>
      <w:marRight w:val="0"/>
      <w:marTop w:val="0"/>
      <w:marBottom w:val="0"/>
      <w:divBdr>
        <w:top w:val="none" w:sz="0" w:space="0" w:color="auto"/>
        <w:left w:val="none" w:sz="0" w:space="0" w:color="auto"/>
        <w:bottom w:val="none" w:sz="0" w:space="0" w:color="auto"/>
        <w:right w:val="none" w:sz="0" w:space="0" w:color="auto"/>
      </w:divBdr>
    </w:div>
    <w:div w:id="972560024">
      <w:bodyDiv w:val="1"/>
      <w:marLeft w:val="0"/>
      <w:marRight w:val="0"/>
      <w:marTop w:val="0"/>
      <w:marBottom w:val="0"/>
      <w:divBdr>
        <w:top w:val="none" w:sz="0" w:space="0" w:color="auto"/>
        <w:left w:val="none" w:sz="0" w:space="0" w:color="auto"/>
        <w:bottom w:val="none" w:sz="0" w:space="0" w:color="auto"/>
        <w:right w:val="none" w:sz="0" w:space="0" w:color="auto"/>
      </w:divBdr>
      <w:divsChild>
        <w:div w:id="7033347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2</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4487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Koziol, Dawid (Nokia - PL/Wroclaw)</cp:lastModifiedBy>
  <cp:revision>2</cp:revision>
  <dcterms:created xsi:type="dcterms:W3CDTF">2016-05-12T14:42:00Z</dcterms:created>
  <dcterms:modified xsi:type="dcterms:W3CDTF">2016-05-12T14:42:00Z</dcterms:modified>
</cp:coreProperties>
</file>