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E63A2" w14:textId="3B10870D" w:rsidR="00BB5B47" w:rsidRPr="005A5862" w:rsidRDefault="00BB5B47" w:rsidP="00BB5B47">
      <w:pPr>
        <w:pStyle w:val="Header"/>
        <w:tabs>
          <w:tab w:val="right" w:pos="9639"/>
        </w:tabs>
        <w:rPr>
          <w:bCs/>
          <w:i/>
          <w:noProof w:val="0"/>
          <w:sz w:val="24"/>
          <w:szCs w:val="24"/>
        </w:rPr>
      </w:pPr>
      <w:r w:rsidRPr="005A5862">
        <w:rPr>
          <w:bCs/>
          <w:noProof w:val="0"/>
          <w:sz w:val="24"/>
          <w:szCs w:val="24"/>
        </w:rPr>
        <w:t>3GPP TSG-RAN WG2 Meeting #1</w:t>
      </w:r>
      <w:r>
        <w:rPr>
          <w:bCs/>
          <w:noProof w:val="0"/>
          <w:sz w:val="24"/>
          <w:szCs w:val="24"/>
        </w:rPr>
        <w:t>3</w:t>
      </w:r>
      <w:r w:rsidR="00B859D3">
        <w:rPr>
          <w:bCs/>
          <w:noProof w:val="0"/>
          <w:sz w:val="24"/>
          <w:szCs w:val="24"/>
        </w:rPr>
        <w:t>1</w:t>
      </w:r>
      <w:r w:rsidRPr="005A5862">
        <w:rPr>
          <w:bCs/>
          <w:noProof w:val="0"/>
          <w:sz w:val="24"/>
          <w:szCs w:val="24"/>
        </w:rPr>
        <w:tab/>
        <w:t>R2-2</w:t>
      </w:r>
      <w:r>
        <w:rPr>
          <w:bCs/>
          <w:noProof w:val="0"/>
          <w:sz w:val="24"/>
          <w:szCs w:val="24"/>
        </w:rPr>
        <w:t>5</w:t>
      </w:r>
      <w:r w:rsidR="00263EB6">
        <w:rPr>
          <w:bCs/>
          <w:noProof w:val="0"/>
          <w:sz w:val="24"/>
          <w:szCs w:val="24"/>
        </w:rPr>
        <w:t>0</w:t>
      </w:r>
      <w:r w:rsidR="00363FAE">
        <w:rPr>
          <w:bCs/>
          <w:noProof w:val="0"/>
          <w:sz w:val="24"/>
          <w:szCs w:val="24"/>
        </w:rPr>
        <w:t>5</w:t>
      </w:r>
      <w:r w:rsidR="00263EB6">
        <w:rPr>
          <w:bCs/>
          <w:noProof w:val="0"/>
          <w:sz w:val="24"/>
          <w:szCs w:val="24"/>
        </w:rPr>
        <w:t>912</w:t>
      </w:r>
    </w:p>
    <w:p w14:paraId="3723E1D3" w14:textId="33042DA6" w:rsidR="005432D9" w:rsidRPr="005A5862" w:rsidRDefault="00B859D3" w:rsidP="00541A65">
      <w:pPr>
        <w:pStyle w:val="Header"/>
        <w:tabs>
          <w:tab w:val="right" w:pos="9641"/>
        </w:tabs>
        <w:rPr>
          <w:rFonts w:eastAsia="SimSun"/>
          <w:bCs/>
          <w:sz w:val="24"/>
          <w:szCs w:val="24"/>
          <w:lang w:eastAsia="zh-CN"/>
        </w:rPr>
      </w:pPr>
      <w:r>
        <w:rPr>
          <w:sz w:val="24"/>
        </w:rPr>
        <w:t>Bengaluru, India</w:t>
      </w:r>
      <w:r w:rsidR="00BB5B47" w:rsidRPr="009C57AF">
        <w:rPr>
          <w:sz w:val="24"/>
        </w:rPr>
        <w:t xml:space="preserve">, </w:t>
      </w:r>
      <w:r>
        <w:rPr>
          <w:sz w:val="24"/>
        </w:rPr>
        <w:t>2</w:t>
      </w:r>
      <w:r w:rsidR="008473E8">
        <w:rPr>
          <w:sz w:val="24"/>
        </w:rPr>
        <w:t>5</w:t>
      </w:r>
      <w:r w:rsidR="00BB5B47" w:rsidRPr="009C57AF">
        <w:rPr>
          <w:sz w:val="24"/>
        </w:rPr>
        <w:t xml:space="preserve"> – </w:t>
      </w:r>
      <w:r w:rsidR="00BB5B47">
        <w:rPr>
          <w:sz w:val="24"/>
        </w:rPr>
        <w:t>2</w:t>
      </w:r>
      <w:r w:rsidR="008473E8">
        <w:rPr>
          <w:sz w:val="24"/>
        </w:rPr>
        <w:t>9</w:t>
      </w:r>
      <w:r w:rsidR="00BB5B47" w:rsidRPr="009C57AF">
        <w:rPr>
          <w:sz w:val="24"/>
        </w:rPr>
        <w:t xml:space="preserve"> </w:t>
      </w:r>
      <w:r w:rsidR="008473E8">
        <w:rPr>
          <w:sz w:val="24"/>
        </w:rPr>
        <w:t>August</w:t>
      </w:r>
      <w:r w:rsidR="00BB5B47" w:rsidRPr="009C57AF">
        <w:rPr>
          <w:sz w:val="24"/>
        </w:rPr>
        <w:t xml:space="preserve"> 2025</w:t>
      </w:r>
      <w:r w:rsidR="00BB5B47">
        <w:rPr>
          <w:sz w:val="24"/>
        </w:rPr>
        <w:tab/>
      </w:r>
      <w:r w:rsidR="00541A65" w:rsidRPr="005A5862">
        <w:rPr>
          <w:sz w:val="24"/>
        </w:rPr>
        <w:tab/>
      </w:r>
    </w:p>
    <w:p w14:paraId="403CB9C0" w14:textId="77777777" w:rsidR="00A209D6" w:rsidRDefault="00A209D6" w:rsidP="00A209D6">
      <w:pPr>
        <w:pStyle w:val="Header"/>
        <w:rPr>
          <w:bCs/>
          <w:noProof w:val="0"/>
          <w:sz w:val="24"/>
        </w:rPr>
      </w:pPr>
    </w:p>
    <w:p w14:paraId="0D04DE0E" w14:textId="24971DC7" w:rsidR="008B549E" w:rsidRPr="00B266B0" w:rsidRDefault="008B549E" w:rsidP="008B549E">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061B7">
        <w:rPr>
          <w:rFonts w:cs="Arial"/>
          <w:b/>
          <w:bCs/>
          <w:sz w:val="24"/>
          <w:lang w:eastAsia="ja-JP"/>
        </w:rPr>
        <w:t>8.1.2.2</w:t>
      </w:r>
    </w:p>
    <w:p w14:paraId="0EC781B3" w14:textId="2C893220" w:rsidR="008B549E" w:rsidRPr="00B266B0" w:rsidRDefault="008B549E" w:rsidP="008B549E">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E819F4">
        <w:rPr>
          <w:rFonts w:ascii="Arial" w:hAnsi="Arial" w:cs="Arial"/>
          <w:b/>
          <w:bCs/>
          <w:sz w:val="24"/>
        </w:rPr>
        <w:t xml:space="preserve">, Qualcomm, Ericsson, </w:t>
      </w:r>
      <w:r w:rsidR="00E819F4" w:rsidRPr="00E819F4">
        <w:rPr>
          <w:rFonts w:ascii="Arial" w:hAnsi="Arial" w:cs="Arial"/>
          <w:b/>
          <w:bCs/>
          <w:sz w:val="24"/>
        </w:rPr>
        <w:t>T-Mobile</w:t>
      </w:r>
    </w:p>
    <w:p w14:paraId="16C775DD" w14:textId="70A76B56" w:rsidR="008B549E" w:rsidRDefault="008B549E" w:rsidP="008B549E">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061B7">
        <w:rPr>
          <w:rFonts w:ascii="Arial" w:hAnsi="Arial" w:cs="Arial"/>
          <w:b/>
          <w:bCs/>
          <w:sz w:val="24"/>
        </w:rPr>
        <w:t>On Unifying and Simplifying ASN.1 and Procedures for AI/ML</w:t>
      </w:r>
    </w:p>
    <w:p w14:paraId="7D015DD9" w14:textId="6AEEDFB7" w:rsidR="008B549E" w:rsidRPr="00B266B0" w:rsidRDefault="008B549E" w:rsidP="008B549E">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5C0631">
        <w:rPr>
          <w:rFonts w:ascii="Arial" w:hAnsi="Arial" w:cs="Arial"/>
          <w:b/>
          <w:bCs/>
          <w:sz w:val="24"/>
        </w:rPr>
        <w:t>NR_</w:t>
      </w:r>
      <w:r w:rsidR="00466822">
        <w:rPr>
          <w:rFonts w:ascii="Arial" w:hAnsi="Arial" w:cs="Arial"/>
          <w:b/>
          <w:bCs/>
          <w:sz w:val="24"/>
        </w:rPr>
        <w:t>AIML_air-</w:t>
      </w:r>
      <w:r w:rsidR="005C0631">
        <w:rPr>
          <w:rFonts w:ascii="Arial" w:hAnsi="Arial" w:cs="Arial"/>
          <w:b/>
          <w:bCs/>
          <w:sz w:val="24"/>
        </w:rPr>
        <w:t>C</w:t>
      </w:r>
      <w:r w:rsidR="00466822">
        <w:rPr>
          <w:rFonts w:ascii="Arial" w:hAnsi="Arial" w:cs="Arial"/>
          <w:b/>
          <w:bCs/>
          <w:sz w:val="24"/>
        </w:rPr>
        <w:t>ore</w:t>
      </w:r>
      <w:r w:rsidRPr="00112F1A">
        <w:rPr>
          <w:rFonts w:ascii="Arial" w:hAnsi="Arial" w:cs="Arial"/>
          <w:b/>
          <w:bCs/>
          <w:sz w:val="24"/>
        </w:rPr>
        <w:t xml:space="preserve"> </w:t>
      </w:r>
      <w:r>
        <w:rPr>
          <w:rFonts w:ascii="Arial" w:hAnsi="Arial" w:cs="Arial"/>
          <w:b/>
          <w:bCs/>
          <w:sz w:val="24"/>
        </w:rPr>
        <w:t xml:space="preserve">- Release </w:t>
      </w:r>
      <w:r w:rsidR="00466822">
        <w:rPr>
          <w:rFonts w:ascii="Arial" w:hAnsi="Arial" w:cs="Arial"/>
          <w:b/>
          <w:bCs/>
          <w:sz w:val="24"/>
        </w:rPr>
        <w:t>19</w:t>
      </w:r>
    </w:p>
    <w:p w14:paraId="387A415F" w14:textId="77777777" w:rsidR="008B549E" w:rsidRPr="00B266B0" w:rsidRDefault="008B549E" w:rsidP="008B549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52AB6CC" w14:textId="77777777" w:rsidR="008B549E" w:rsidRPr="006E13D1" w:rsidRDefault="008B549E" w:rsidP="008B549E">
      <w:pPr>
        <w:pStyle w:val="Heading1"/>
      </w:pPr>
      <w:r w:rsidRPr="006E13D1">
        <w:t>1</w:t>
      </w:r>
      <w:r w:rsidRPr="006E13D1">
        <w:tab/>
      </w:r>
      <w:r>
        <w:t>Introduction</w:t>
      </w:r>
    </w:p>
    <w:p w14:paraId="0C744B79" w14:textId="23DC04F2" w:rsidR="001C229F" w:rsidRDefault="005061B7" w:rsidP="008B549E">
      <w:r>
        <w:t xml:space="preserve">This paper discusses the unification and simplification of data structures and procedures related to the configuration of inference, applicability determination based on sets of inference-related parameters, and </w:t>
      </w:r>
      <w:r w:rsidR="001C229F">
        <w:t xml:space="preserve">the provision of </w:t>
      </w:r>
      <w:r>
        <w:t>candidates for UE-side data collection.</w:t>
      </w:r>
      <w:r w:rsidR="001C229F">
        <w:t xml:space="preserve"> The first aspect to be discussed is the relationship between the configuration for inference, and inference-related parameters and candidates for UE-side data collection. Then, we discuss how to write a universal procedure, applicable to all RRC-configured use cases, for handling the configuration and reporting of applicability based on inference-related parameters.</w:t>
      </w:r>
    </w:p>
    <w:p w14:paraId="16385A4A" w14:textId="59FBF619" w:rsidR="005061B7" w:rsidRDefault="005061B7" w:rsidP="008B549E">
      <w:r>
        <w:t>While the only RRC-configured use case supported in Release 19 is beam management (BM), Release 20 will introduce CSI prediction, CSI compression, and mobility. Ideally, we will not need to redefine behaviours to implement CSI prediction and CSI compression and introducing AI/ML mobility should reuse as much of the work we have already done as is possible.</w:t>
      </w:r>
    </w:p>
    <w:p w14:paraId="0D91D783" w14:textId="7EF7B3C7" w:rsidR="008B549E" w:rsidRDefault="005061B7" w:rsidP="008B549E">
      <w:r>
        <w:t>In this paper, we propose to unify data structures based on the configuration IE used for a use case and to unify procedures for providing data collection configuration candidates for UE-side data collection and</w:t>
      </w:r>
      <w:r w:rsidR="000659E2">
        <w:t xml:space="preserve"> reporting of applicability based on inference-related parameters.</w:t>
      </w:r>
    </w:p>
    <w:p w14:paraId="2F0575B0" w14:textId="0B0CAE80" w:rsidR="008B549E" w:rsidRPr="006E13D1" w:rsidRDefault="008B549E" w:rsidP="008B549E">
      <w:pPr>
        <w:pStyle w:val="Heading1"/>
      </w:pPr>
      <w:r w:rsidRPr="006E13D1">
        <w:t>2</w:t>
      </w:r>
      <w:r w:rsidRPr="006E13D1">
        <w:tab/>
      </w:r>
      <w:r w:rsidR="001C229F">
        <w:t>Discussion</w:t>
      </w:r>
    </w:p>
    <w:p w14:paraId="7F80A425" w14:textId="68C5BAE2" w:rsidR="008B549E" w:rsidRDefault="008B549E" w:rsidP="008B549E">
      <w:pPr>
        <w:pStyle w:val="Heading2"/>
      </w:pPr>
      <w:r>
        <w:t>2</w:t>
      </w:r>
      <w:r w:rsidRPr="006E13D1">
        <w:t>.1</w:t>
      </w:r>
      <w:r w:rsidRPr="006E13D1">
        <w:tab/>
      </w:r>
      <w:r w:rsidR="001C229F">
        <w:t>Relationship between inference, inference-related parameters and candidates for UE-side data collection</w:t>
      </w:r>
    </w:p>
    <w:p w14:paraId="61B9EC07" w14:textId="77777777" w:rsidR="001C229F" w:rsidRDefault="001C229F" w:rsidP="001C229F">
      <w:r>
        <w:t>Inference, applicability determination and UE-side data collection are inherently related to one another and the configuration of each uses the same collection of parameters. Therefore, we would like to avoid the replication of parameters across the three functions by reusing the inference configuration container for sets of inference-related parameters and for the provision of options for UE-side data collection both for specification efficiency and to reduce the significant chance for error, e.g., inconsistent field descriptions in copied parameters, omission of a parameter which is to be copied from one IE to another, or the redefinition of a parameter with a different data format.</w:t>
      </w:r>
    </w:p>
    <w:p w14:paraId="34A0A0CF" w14:textId="3542685D" w:rsidR="001C229F" w:rsidRPr="004E3EE4" w:rsidRDefault="001C229F" w:rsidP="001C229F">
      <w:pPr>
        <w:rPr>
          <w:b/>
          <w:bCs/>
        </w:rPr>
      </w:pPr>
      <w:r w:rsidRPr="004E3EE4">
        <w:rPr>
          <w:b/>
          <w:bCs/>
        </w:rPr>
        <w:t>Observation</w:t>
      </w:r>
      <w:r w:rsidR="00003F91">
        <w:rPr>
          <w:b/>
          <w:bCs/>
        </w:rPr>
        <w:t xml:space="preserve"> 1</w:t>
      </w:r>
      <w:r w:rsidRPr="004E3EE4">
        <w:rPr>
          <w:b/>
          <w:bCs/>
        </w:rPr>
        <w:t xml:space="preserve">: Configurations for inference, sets of inference-related parameters and UE-side data collection options are inherently related, and all of the parameters necessary for inference-related parameters and UE-side data collection options are wholly contained inside the configuration </w:t>
      </w:r>
      <w:r>
        <w:rPr>
          <w:b/>
          <w:bCs/>
        </w:rPr>
        <w:t>IE f</w:t>
      </w:r>
      <w:r w:rsidRPr="004E3EE4">
        <w:rPr>
          <w:b/>
          <w:bCs/>
        </w:rPr>
        <w:t>or inference</w:t>
      </w:r>
      <w:r w:rsidR="00A42C23">
        <w:rPr>
          <w:b/>
          <w:bCs/>
        </w:rPr>
        <w:t xml:space="preserve">, e.g., </w:t>
      </w:r>
      <w:r w:rsidR="00A42C23">
        <w:rPr>
          <w:b/>
          <w:bCs/>
          <w:i/>
          <w:iCs/>
        </w:rPr>
        <w:t>CSI-ReportConfig</w:t>
      </w:r>
      <w:r w:rsidRPr="004E3EE4">
        <w:rPr>
          <w:b/>
          <w:bCs/>
        </w:rPr>
        <w:t>.</w:t>
      </w:r>
    </w:p>
    <w:p w14:paraId="2581AA8E" w14:textId="6407087D" w:rsidR="00502538" w:rsidRDefault="00502538" w:rsidP="001C229F">
      <w:r>
        <w:t xml:space="preserve">The topic of which container to use has been discussed previously. </w:t>
      </w:r>
      <w:r w:rsidR="002779AB">
        <w:t xml:space="preserve">For the provision of sets of inference-related parameters, </w:t>
      </w:r>
      <w:r w:rsidR="002779AB" w:rsidRPr="008F74E7">
        <w:rPr>
          <w:b/>
          <w:bCs/>
        </w:rPr>
        <w:t>RAN2#129</w:t>
      </w:r>
      <w:r w:rsidR="002779AB">
        <w:t xml:space="preserve"> </w:t>
      </w:r>
      <w:r w:rsidR="00DA585D">
        <w:t xml:space="preserve">[1] </w:t>
      </w:r>
      <w:r w:rsidR="002779AB">
        <w:t>reached the following agreement</w:t>
      </w:r>
      <w:r w:rsidR="00EA3FAC">
        <w:t xml:space="preserve"> to “reconsider </w:t>
      </w:r>
      <w:r w:rsidR="00EA3FAC">
        <w:rPr>
          <w:i/>
          <w:iCs/>
        </w:rPr>
        <w:t>CSI-ReportConfig</w:t>
      </w:r>
      <w:r w:rsidR="00EA3FAC">
        <w:t xml:space="preserve"> for option B, for example if the list of inference related parameters is fully contained within existing </w:t>
      </w:r>
      <w:r w:rsidR="00EA3FAC">
        <w:rPr>
          <w:i/>
          <w:iCs/>
        </w:rPr>
        <w:t>CSI-ReportConfig</w:t>
      </w:r>
      <w:r w:rsidR="00EA3FAC">
        <w:t>,</w:t>
      </w:r>
      <w:r w:rsidR="00EA3FAC">
        <w:rPr>
          <w:i/>
          <w:iCs/>
        </w:rPr>
        <w:t>”</w:t>
      </w:r>
      <w:r w:rsidR="002779AB">
        <w:t xml:space="preserve"> where </w:t>
      </w:r>
      <w:r w:rsidR="00133D91">
        <w:t>“Option B” refers to applicability determination based on sets of inference-related parameters.</w:t>
      </w:r>
    </w:p>
    <w:p w14:paraId="1380ED78" w14:textId="77777777" w:rsidR="002779AB" w:rsidRDefault="002779AB" w:rsidP="002779AB">
      <w:pPr>
        <w:pBdr>
          <w:top w:val="single" w:sz="4" w:space="1" w:color="auto"/>
          <w:left w:val="single" w:sz="4" w:space="4" w:color="auto"/>
          <w:bottom w:val="single" w:sz="4" w:space="1" w:color="auto"/>
          <w:right w:val="single" w:sz="4" w:space="4" w:color="auto"/>
        </w:pBdr>
      </w:pPr>
      <w:r>
        <w:t>RAN2 assumes UE receives RRCReconfiguration message including one set or multiple sets of inference related parameters via OtherConfig for option B. This assumption can be confirmed (i.e., whether to reconsider CSI-ReportConfig) after receiving Option B inference related parameters (e.g., in RAN1 RRC parameters list).</w:t>
      </w:r>
    </w:p>
    <w:p w14:paraId="5422E0A5" w14:textId="77777777" w:rsidR="002779AB" w:rsidRDefault="002779AB" w:rsidP="002779AB">
      <w:pPr>
        <w:pBdr>
          <w:top w:val="single" w:sz="4" w:space="1" w:color="auto"/>
          <w:left w:val="single" w:sz="4" w:space="4" w:color="auto"/>
          <w:bottom w:val="single" w:sz="4" w:space="1" w:color="auto"/>
          <w:right w:val="single" w:sz="4" w:space="4" w:color="auto"/>
        </w:pBdr>
      </w:pPr>
      <w:r>
        <w:t xml:space="preserve">    Potential aspects to consider if RAN2 revisit:</w:t>
      </w:r>
    </w:p>
    <w:p w14:paraId="591101CA" w14:textId="77777777" w:rsidR="002779AB" w:rsidRDefault="002779AB" w:rsidP="002779AB">
      <w:pPr>
        <w:pBdr>
          <w:top w:val="single" w:sz="4" w:space="1" w:color="auto"/>
          <w:left w:val="single" w:sz="4" w:space="4" w:color="auto"/>
          <w:bottom w:val="single" w:sz="4" w:space="1" w:color="auto"/>
          <w:right w:val="single" w:sz="4" w:space="4" w:color="auto"/>
        </w:pBdr>
      </w:pPr>
      <w:r w:rsidRPr="004E3EE4">
        <w:rPr>
          <w:highlight w:val="yellow"/>
        </w:rPr>
        <w:lastRenderedPageBreak/>
        <w:t>-    To reconsider CSI-ReportConfig for option B, for example, if the list of inference related parameters is fully contained within existing CSI-ReportConfig.</w:t>
      </w:r>
    </w:p>
    <w:p w14:paraId="7C7E9924" w14:textId="77777777" w:rsidR="002779AB" w:rsidRDefault="002779AB" w:rsidP="002779AB">
      <w:pPr>
        <w:pBdr>
          <w:top w:val="single" w:sz="4" w:space="1" w:color="auto"/>
          <w:left w:val="single" w:sz="4" w:space="4" w:color="auto"/>
          <w:bottom w:val="single" w:sz="4" w:space="1" w:color="auto"/>
          <w:right w:val="single" w:sz="4" w:space="4" w:color="auto"/>
        </w:pBdr>
      </w:pPr>
      <w:r>
        <w:t>-    to take into accounts UE behaviour when confirming the assumption e.g., whether option A and option B result in different UE behavior</w:t>
      </w:r>
    </w:p>
    <w:p w14:paraId="5AAAD9D4" w14:textId="5B54C6F5" w:rsidR="00107657" w:rsidRPr="00107657" w:rsidRDefault="00107657" w:rsidP="00107657">
      <w:r>
        <w:t xml:space="preserve">During </w:t>
      </w:r>
      <w:r w:rsidRPr="008F74E7">
        <w:rPr>
          <w:b/>
          <w:bCs/>
        </w:rPr>
        <w:t>RAN1#12</w:t>
      </w:r>
      <w:r w:rsidR="00556FE4">
        <w:rPr>
          <w:b/>
          <w:bCs/>
        </w:rPr>
        <w:t>1</w:t>
      </w:r>
      <w:r>
        <w:t xml:space="preserve"> </w:t>
      </w:r>
      <w:r w:rsidR="00DA585D">
        <w:t xml:space="preserve">[2] </w:t>
      </w:r>
      <w:r>
        <w:t>the following was agreed regarding the sets of inference-related parameters</w:t>
      </w:r>
      <w:r w:rsidR="004B7CDC">
        <w:t>, the parameters of which have been underlined in the agreement below</w:t>
      </w:r>
      <w:r>
        <w:t>.</w:t>
      </w:r>
    </w:p>
    <w:p w14:paraId="6773785A" w14:textId="77777777" w:rsidR="00107657" w:rsidRPr="00A964DC" w:rsidRDefault="00107657" w:rsidP="00107657">
      <w:pPr>
        <w:pBdr>
          <w:top w:val="single" w:sz="4" w:space="1" w:color="auto"/>
          <w:left w:val="single" w:sz="4" w:space="4" w:color="auto"/>
          <w:bottom w:val="single" w:sz="4" w:space="1" w:color="auto"/>
          <w:right w:val="single" w:sz="4" w:space="4" w:color="auto"/>
        </w:pBdr>
        <w:rPr>
          <w:lang w:val="en-US"/>
        </w:rPr>
      </w:pPr>
      <w:r w:rsidRPr="00AB4DD6">
        <w:t xml:space="preserve">For option B of applicability check, RAN 1 assumes that at least the following RRC parameters are to be reused: </w:t>
      </w:r>
    </w:p>
    <w:p w14:paraId="53DCF979" w14:textId="77777777" w:rsidR="00107657" w:rsidRPr="00A964DC" w:rsidRDefault="00107657" w:rsidP="00107657">
      <w:pPr>
        <w:numPr>
          <w:ilvl w:val="0"/>
          <w:numId w:val="19"/>
        </w:numPr>
        <w:pBdr>
          <w:top w:val="single" w:sz="4" w:space="1" w:color="auto"/>
          <w:left w:val="single" w:sz="4" w:space="4" w:color="auto"/>
          <w:bottom w:val="single" w:sz="4" w:space="1" w:color="auto"/>
          <w:right w:val="single" w:sz="4" w:space="4" w:color="auto"/>
        </w:pBdr>
        <w:rPr>
          <w:lang w:val="en-US"/>
        </w:rPr>
      </w:pPr>
      <w:r w:rsidRPr="00AB4DD6">
        <w:t>For both BM-Case 1 and BM-Case 2:</w:t>
      </w:r>
      <w:r w:rsidRPr="00AB4DD6">
        <w:rPr>
          <w:i/>
          <w:iCs/>
        </w:rPr>
        <w:t xml:space="preserve"> </w:t>
      </w:r>
    </w:p>
    <w:p w14:paraId="5F5B7C8F" w14:textId="77777777" w:rsidR="00107657" w:rsidRPr="00A964DC" w:rsidRDefault="00107657" w:rsidP="00107657">
      <w:pPr>
        <w:numPr>
          <w:ilvl w:val="0"/>
          <w:numId w:val="19"/>
        </w:numPr>
        <w:pBdr>
          <w:top w:val="single" w:sz="4" w:space="1" w:color="auto"/>
          <w:left w:val="single" w:sz="4" w:space="4" w:color="auto"/>
          <w:bottom w:val="single" w:sz="4" w:space="1" w:color="auto"/>
          <w:right w:val="single" w:sz="4" w:space="4" w:color="auto"/>
        </w:pBdr>
        <w:rPr>
          <w:lang w:val="en-US"/>
        </w:rPr>
      </w:pPr>
      <w:r w:rsidRPr="00BB4878">
        <w:rPr>
          <w:i/>
          <w:iCs/>
          <w:u w:val="single"/>
        </w:rPr>
        <w:t>associatedIDforSetA-r19</w:t>
      </w:r>
      <w:r w:rsidRPr="00AB4DD6">
        <w:rPr>
          <w:i/>
          <w:iCs/>
        </w:rPr>
        <w:t xml:space="preserve">, </w:t>
      </w:r>
      <w:r w:rsidRPr="00BB4878">
        <w:rPr>
          <w:i/>
          <w:iCs/>
          <w:u w:val="single"/>
        </w:rPr>
        <w:t>resourcesForSetA-r19</w:t>
      </w:r>
      <w:r w:rsidRPr="00AB4DD6">
        <w:rPr>
          <w:i/>
          <w:iCs/>
        </w:rPr>
        <w:t xml:space="preserve">, </w:t>
      </w:r>
      <w:r w:rsidRPr="00BB4878">
        <w:rPr>
          <w:i/>
          <w:iCs/>
          <w:u w:val="single"/>
        </w:rPr>
        <w:t>resourcesForChannelMeasurement</w:t>
      </w:r>
      <w:r w:rsidRPr="00AB4DD6">
        <w:rPr>
          <w:i/>
          <w:iCs/>
        </w:rPr>
        <w:t xml:space="preserve">, </w:t>
      </w:r>
      <w:r w:rsidRPr="00BB4878">
        <w:rPr>
          <w:i/>
          <w:iCs/>
          <w:u w:val="single"/>
        </w:rPr>
        <w:t>associatedIDforSetB-r19</w:t>
      </w:r>
      <w:r w:rsidRPr="00AB4DD6">
        <w:rPr>
          <w:i/>
          <w:iCs/>
        </w:rPr>
        <w:t xml:space="preserve">, </w:t>
      </w:r>
      <w:r w:rsidRPr="00BB4878">
        <w:rPr>
          <w:i/>
          <w:iCs/>
          <w:u w:val="single"/>
        </w:rPr>
        <w:t>reportQuantity-r19</w:t>
      </w:r>
      <w:r w:rsidRPr="00AB4DD6">
        <w:rPr>
          <w:i/>
          <w:iCs/>
        </w:rPr>
        <w:t xml:space="preserve">, </w:t>
      </w:r>
      <w:r w:rsidRPr="00BB4878">
        <w:rPr>
          <w:i/>
          <w:iCs/>
          <w:u w:val="single"/>
        </w:rPr>
        <w:t>reportConfigType</w:t>
      </w:r>
      <w:r w:rsidRPr="00AB4DD6">
        <w:rPr>
          <w:i/>
          <w:iCs/>
        </w:rPr>
        <w:t xml:space="preserve">, </w:t>
      </w:r>
      <w:r w:rsidRPr="00BB4878">
        <w:rPr>
          <w:i/>
          <w:iCs/>
          <w:u w:val="single"/>
        </w:rPr>
        <w:t>nrofreportedpredictedrs-r19</w:t>
      </w:r>
    </w:p>
    <w:p w14:paraId="53C65F7A" w14:textId="77777777" w:rsidR="00107657" w:rsidRPr="00AB4DD6" w:rsidRDefault="00107657" w:rsidP="00107657">
      <w:pPr>
        <w:numPr>
          <w:ilvl w:val="0"/>
          <w:numId w:val="19"/>
        </w:numPr>
        <w:pBdr>
          <w:top w:val="single" w:sz="4" w:space="1" w:color="auto"/>
          <w:left w:val="single" w:sz="4" w:space="4" w:color="auto"/>
          <w:bottom w:val="single" w:sz="4" w:space="1" w:color="auto"/>
          <w:right w:val="single" w:sz="4" w:space="4" w:color="auto"/>
        </w:pBdr>
        <w:rPr>
          <w:lang w:val="de-DE"/>
        </w:rPr>
      </w:pPr>
      <w:r w:rsidRPr="00AB4DD6">
        <w:t>For BM-Case 2:</w:t>
      </w:r>
      <w:r w:rsidRPr="00AB4DD6">
        <w:rPr>
          <w:i/>
          <w:iCs/>
        </w:rPr>
        <w:t xml:space="preserve"> </w:t>
      </w:r>
    </w:p>
    <w:p w14:paraId="7C49A9E0" w14:textId="77777777" w:rsidR="00107657" w:rsidRPr="00AB4DD6" w:rsidRDefault="00107657" w:rsidP="00BB4878">
      <w:pPr>
        <w:numPr>
          <w:ilvl w:val="0"/>
          <w:numId w:val="19"/>
        </w:numPr>
        <w:pBdr>
          <w:top w:val="single" w:sz="4" w:space="1" w:color="auto"/>
          <w:left w:val="single" w:sz="4" w:space="4" w:color="auto"/>
          <w:bottom w:val="single" w:sz="4" w:space="1" w:color="auto"/>
          <w:right w:val="single" w:sz="4" w:space="4" w:color="auto"/>
        </w:pBdr>
        <w:rPr>
          <w:lang w:val="de-DE"/>
        </w:rPr>
      </w:pPr>
      <w:r w:rsidRPr="00BB4878">
        <w:rPr>
          <w:i/>
          <w:iCs/>
          <w:u w:val="single"/>
        </w:rPr>
        <w:t>TimeGap-r19</w:t>
      </w:r>
      <w:r w:rsidRPr="00AB4DD6">
        <w:rPr>
          <w:i/>
          <w:iCs/>
        </w:rPr>
        <w:t xml:space="preserve">, </w:t>
      </w:r>
      <w:r w:rsidRPr="00BB4878">
        <w:rPr>
          <w:i/>
          <w:iCs/>
          <w:u w:val="single"/>
        </w:rPr>
        <w:t>nroftimeinstance-r19</w:t>
      </w:r>
      <w:r w:rsidRPr="00AB4DD6">
        <w:rPr>
          <w:i/>
          <w:iCs/>
        </w:rPr>
        <w:t>,</w:t>
      </w:r>
    </w:p>
    <w:p w14:paraId="3106FF6C" w14:textId="77777777" w:rsidR="00107657" w:rsidRPr="00A964DC" w:rsidRDefault="00107657" w:rsidP="00107657">
      <w:pPr>
        <w:numPr>
          <w:ilvl w:val="0"/>
          <w:numId w:val="19"/>
        </w:numPr>
        <w:pBdr>
          <w:top w:val="single" w:sz="4" w:space="1" w:color="auto"/>
          <w:left w:val="single" w:sz="4" w:space="4" w:color="auto"/>
          <w:bottom w:val="single" w:sz="4" w:space="1" w:color="auto"/>
          <w:right w:val="single" w:sz="4" w:space="4" w:color="auto"/>
        </w:pBdr>
        <w:rPr>
          <w:lang w:val="en-US"/>
        </w:rPr>
      </w:pPr>
      <w:r w:rsidRPr="00AB4DD6">
        <w:t xml:space="preserve">  Note: this doesn’t imply the associated ID is always present</w:t>
      </w:r>
    </w:p>
    <w:p w14:paraId="034073E5" w14:textId="40C4E61C" w:rsidR="00107657" w:rsidRDefault="00AC2F11" w:rsidP="001C229F">
      <w:pPr>
        <w:rPr>
          <w:lang w:val="en-US"/>
        </w:rPr>
      </w:pPr>
      <w:r>
        <w:rPr>
          <w:lang w:val="en-US"/>
        </w:rPr>
        <w:t xml:space="preserve">Lastly, the parameter list provided after </w:t>
      </w:r>
      <w:r w:rsidRPr="00C862F8">
        <w:rPr>
          <w:b/>
          <w:bCs/>
          <w:lang w:val="en-US"/>
        </w:rPr>
        <w:t>RAN1#121</w:t>
      </w:r>
      <w:r>
        <w:rPr>
          <w:lang w:val="en-US"/>
        </w:rPr>
        <w:t xml:space="preserve">, contributed in </w:t>
      </w:r>
      <w:hyperlink r:id="rId12" w:history="1">
        <w:r w:rsidRPr="00DB31D3">
          <w:rPr>
            <w:rStyle w:val="Hyperlink"/>
            <w:lang w:val="en-US"/>
          </w:rPr>
          <w:t>R1-2503243</w:t>
        </w:r>
      </w:hyperlink>
      <w:r w:rsidR="00DA585D">
        <w:t xml:space="preserve"> [</w:t>
      </w:r>
      <w:r w:rsidR="00D75D60">
        <w:t>3</w:t>
      </w:r>
      <w:r w:rsidR="00DA585D">
        <w:t>]</w:t>
      </w:r>
      <w:r>
        <w:rPr>
          <w:lang w:val="en-US"/>
        </w:rPr>
        <w:t>,</w:t>
      </w:r>
      <w:r w:rsidR="007B7FF6">
        <w:rPr>
          <w:lang w:val="en-US"/>
        </w:rPr>
        <w:t xml:space="preserve"> shown in Table 2.1-1,</w:t>
      </w:r>
      <w:r>
        <w:rPr>
          <w:lang w:val="en-US"/>
        </w:rPr>
        <w:t xml:space="preserve"> indicates that all of these parameters </w:t>
      </w:r>
      <w:r w:rsidR="00173191">
        <w:rPr>
          <w:lang w:val="en-US"/>
        </w:rPr>
        <w:t xml:space="preserve">will be present inside of </w:t>
      </w:r>
      <w:r w:rsidR="00173191">
        <w:rPr>
          <w:i/>
          <w:iCs/>
          <w:lang w:val="en-US"/>
        </w:rPr>
        <w:t>CSI-ReportConfig</w:t>
      </w:r>
      <w:r w:rsidR="00173191">
        <w:rPr>
          <w:lang w:val="en-US"/>
        </w:rPr>
        <w:t>.</w:t>
      </w:r>
      <w:r w:rsidR="003B47FC">
        <w:rPr>
          <w:lang w:val="en-US"/>
        </w:rPr>
        <w:t xml:space="preserve"> An abbreviated version of the spreadsheet, containing only the relevant fields has been reproduced below for reference.</w:t>
      </w:r>
      <w:r w:rsidR="00B65481">
        <w:rPr>
          <w:lang w:val="en-US"/>
        </w:rPr>
        <w:t xml:space="preserve"> The leftmost column repeats the field names from the RAN2#120 agreement copied above</w:t>
      </w:r>
      <w:r w:rsidR="00031BEF">
        <w:rPr>
          <w:lang w:val="en-US"/>
        </w:rPr>
        <w:t xml:space="preserve"> to check for presence.</w:t>
      </w:r>
    </w:p>
    <w:p w14:paraId="7C5C148B" w14:textId="6019AB77" w:rsidR="004E0DD0" w:rsidRDefault="004E0DD0" w:rsidP="004E0DD0">
      <w:pPr>
        <w:jc w:val="center"/>
        <w:rPr>
          <w:lang w:val="en-US"/>
        </w:rPr>
      </w:pPr>
      <w:r>
        <w:rPr>
          <w:lang w:val="en-US"/>
        </w:rPr>
        <w:t xml:space="preserve">Table 2.1-1: </w:t>
      </w:r>
      <w:r w:rsidR="00731D42">
        <w:rPr>
          <w:lang w:val="en-US"/>
        </w:rPr>
        <w:t xml:space="preserve">Parameters selected as inference-related parameters for beam management compared to the higher </w:t>
      </w:r>
      <w:proofErr w:type="gramStart"/>
      <w:r w:rsidR="00731D42">
        <w:rPr>
          <w:lang w:val="en-US"/>
        </w:rPr>
        <w:t>layers</w:t>
      </w:r>
      <w:proofErr w:type="gramEnd"/>
      <w:r w:rsidR="00731D42">
        <w:rPr>
          <w:lang w:val="en-US"/>
        </w:rPr>
        <w:t xml:space="preserve"> parameters list from RAN2#121</w:t>
      </w:r>
      <w:r w:rsidR="00D75D60">
        <w:rPr>
          <w:lang w:val="en-US"/>
        </w:rPr>
        <w:t xml:space="preserve"> [3]</w:t>
      </w:r>
    </w:p>
    <w:tbl>
      <w:tblPr>
        <w:tblStyle w:val="TableGrid"/>
        <w:tblW w:w="0" w:type="auto"/>
        <w:tblLook w:val="04A0" w:firstRow="1" w:lastRow="0" w:firstColumn="1" w:lastColumn="0" w:noHBand="0" w:noVBand="1"/>
      </w:tblPr>
      <w:tblGrid>
        <w:gridCol w:w="3004"/>
        <w:gridCol w:w="1697"/>
        <w:gridCol w:w="1926"/>
        <w:gridCol w:w="3004"/>
      </w:tblGrid>
      <w:tr w:rsidR="005E7BFD" w14:paraId="594114EB" w14:textId="77777777" w:rsidTr="00AE3102">
        <w:trPr>
          <w:trHeight w:val="211"/>
        </w:trPr>
        <w:tc>
          <w:tcPr>
            <w:tcW w:w="3004" w:type="dxa"/>
          </w:tcPr>
          <w:p w14:paraId="65CF5027" w14:textId="75EF0C30" w:rsidR="005E7BFD" w:rsidRDefault="005E7BFD" w:rsidP="005E7BFD">
            <w:pPr>
              <w:jc w:val="center"/>
              <w:rPr>
                <w:lang w:val="en-US"/>
              </w:rPr>
            </w:pPr>
            <w:r>
              <w:rPr>
                <w:lang w:val="en-US"/>
              </w:rPr>
              <w:t>RAN</w:t>
            </w:r>
            <w:r w:rsidR="00DD165E">
              <w:rPr>
                <w:lang w:val="en-US"/>
              </w:rPr>
              <w:t>1#12</w:t>
            </w:r>
            <w:r w:rsidR="00B1243E">
              <w:rPr>
                <w:lang w:val="en-US"/>
              </w:rPr>
              <w:t>1</w:t>
            </w:r>
            <w:r>
              <w:rPr>
                <w:lang w:val="en-US"/>
              </w:rPr>
              <w:t xml:space="preserve"> Parameter</w:t>
            </w:r>
          </w:p>
        </w:tc>
        <w:tc>
          <w:tcPr>
            <w:tcW w:w="6627" w:type="dxa"/>
            <w:gridSpan w:val="3"/>
          </w:tcPr>
          <w:p w14:paraId="0F8415B2" w14:textId="468CE3B7" w:rsidR="005E7BFD" w:rsidRDefault="005E7BFD" w:rsidP="005E7BFD">
            <w:pPr>
              <w:jc w:val="center"/>
              <w:rPr>
                <w:lang w:val="en-US"/>
              </w:rPr>
            </w:pPr>
            <w:r>
              <w:rPr>
                <w:lang w:val="en-US"/>
              </w:rPr>
              <w:t>Parameters List</w:t>
            </w:r>
            <w:r w:rsidR="00F0668C">
              <w:rPr>
                <w:lang w:val="en-US"/>
              </w:rPr>
              <w:t xml:space="preserve"> </w:t>
            </w:r>
            <w:r w:rsidR="00D275B9">
              <w:rPr>
                <w:lang w:val="en-US"/>
              </w:rPr>
              <w:t>after RAN1#121</w:t>
            </w:r>
          </w:p>
        </w:tc>
      </w:tr>
      <w:tr w:rsidR="00031BEF" w14:paraId="4F4D72A2" w14:textId="77777777" w:rsidTr="00AE3102">
        <w:tc>
          <w:tcPr>
            <w:tcW w:w="3004" w:type="dxa"/>
          </w:tcPr>
          <w:p w14:paraId="30CC719C" w14:textId="4639E70E" w:rsidR="00031BEF" w:rsidRDefault="005E7BFD" w:rsidP="00031BEF">
            <w:pPr>
              <w:rPr>
                <w:lang w:val="en-US"/>
              </w:rPr>
            </w:pPr>
            <w:r>
              <w:rPr>
                <w:lang w:val="en-US"/>
              </w:rPr>
              <w:t>Inference-Related Parameter</w:t>
            </w:r>
          </w:p>
        </w:tc>
        <w:tc>
          <w:tcPr>
            <w:tcW w:w="2106" w:type="dxa"/>
          </w:tcPr>
          <w:p w14:paraId="2E2F3947" w14:textId="7BB3D440" w:rsidR="00031BEF" w:rsidRDefault="00031BEF" w:rsidP="00031BEF">
            <w:pPr>
              <w:rPr>
                <w:lang w:val="en-US"/>
              </w:rPr>
            </w:pPr>
            <w:r>
              <w:rPr>
                <w:lang w:val="en-US"/>
              </w:rPr>
              <w:t>Sub-feature group</w:t>
            </w:r>
          </w:p>
        </w:tc>
        <w:tc>
          <w:tcPr>
            <w:tcW w:w="2206" w:type="dxa"/>
          </w:tcPr>
          <w:p w14:paraId="64B516D5" w14:textId="5AB21710" w:rsidR="00031BEF" w:rsidRDefault="00031BEF" w:rsidP="00031BEF">
            <w:pPr>
              <w:rPr>
                <w:lang w:val="en-US"/>
              </w:rPr>
            </w:pPr>
            <w:r>
              <w:rPr>
                <w:lang w:val="en-US"/>
              </w:rPr>
              <w:t>RAN2 Parent IE</w:t>
            </w:r>
          </w:p>
        </w:tc>
        <w:tc>
          <w:tcPr>
            <w:tcW w:w="2315" w:type="dxa"/>
          </w:tcPr>
          <w:p w14:paraId="1239D282" w14:textId="7D2B97E0" w:rsidR="00031BEF" w:rsidRDefault="00031BEF" w:rsidP="00031BEF">
            <w:pPr>
              <w:rPr>
                <w:lang w:val="en-US"/>
              </w:rPr>
            </w:pPr>
            <w:r>
              <w:rPr>
                <w:lang w:val="en-US"/>
              </w:rPr>
              <w:t>Parameter name in the spec</w:t>
            </w:r>
          </w:p>
        </w:tc>
      </w:tr>
      <w:tr w:rsidR="00031BEF" w14:paraId="02B89819" w14:textId="77777777" w:rsidTr="00AE3102">
        <w:tc>
          <w:tcPr>
            <w:tcW w:w="3004" w:type="dxa"/>
          </w:tcPr>
          <w:p w14:paraId="69338D89" w14:textId="5DA2E137" w:rsidR="00031BEF" w:rsidRDefault="001173E2" w:rsidP="00031BEF">
            <w:pPr>
              <w:rPr>
                <w:lang w:val="en-US"/>
              </w:rPr>
            </w:pPr>
            <w:r w:rsidRPr="001173E2">
              <w:rPr>
                <w:lang w:val="en-US"/>
              </w:rPr>
              <w:t>associatedIDforSetA-r19</w:t>
            </w:r>
          </w:p>
        </w:tc>
        <w:tc>
          <w:tcPr>
            <w:tcW w:w="2106" w:type="dxa"/>
          </w:tcPr>
          <w:p w14:paraId="79C9B50E" w14:textId="03A9F71F" w:rsidR="00031BEF" w:rsidRDefault="00031BEF" w:rsidP="00031BEF">
            <w:pPr>
              <w:rPr>
                <w:lang w:val="en-US"/>
              </w:rPr>
            </w:pPr>
            <w:r>
              <w:rPr>
                <w:lang w:val="en-US"/>
              </w:rPr>
              <w:t>BM-UE side</w:t>
            </w:r>
          </w:p>
        </w:tc>
        <w:tc>
          <w:tcPr>
            <w:tcW w:w="2206" w:type="dxa"/>
          </w:tcPr>
          <w:p w14:paraId="4A33D6B1" w14:textId="258E0B47" w:rsidR="00031BEF" w:rsidRDefault="00031BEF" w:rsidP="00031BEF">
            <w:pPr>
              <w:rPr>
                <w:lang w:val="en-US"/>
              </w:rPr>
            </w:pPr>
            <w:r>
              <w:rPr>
                <w:lang w:val="en-US"/>
              </w:rPr>
              <w:t>CSI-ReportConfig</w:t>
            </w:r>
          </w:p>
        </w:tc>
        <w:tc>
          <w:tcPr>
            <w:tcW w:w="2315" w:type="dxa"/>
          </w:tcPr>
          <w:p w14:paraId="41C020D6" w14:textId="55536A46" w:rsidR="00031BEF" w:rsidRDefault="00031BEF" w:rsidP="00031BEF">
            <w:pPr>
              <w:rPr>
                <w:lang w:val="en-US"/>
              </w:rPr>
            </w:pPr>
            <w:r>
              <w:rPr>
                <w:lang w:val="en-US"/>
              </w:rPr>
              <w:t>associatedIdforSetA-r19</w:t>
            </w:r>
          </w:p>
        </w:tc>
      </w:tr>
      <w:tr w:rsidR="00031BEF" w14:paraId="0469A5A6" w14:textId="77777777" w:rsidTr="00AE3102">
        <w:tc>
          <w:tcPr>
            <w:tcW w:w="3004" w:type="dxa"/>
          </w:tcPr>
          <w:p w14:paraId="7EAFAF33" w14:textId="1C1A91E7" w:rsidR="00031BEF" w:rsidRDefault="001173E2" w:rsidP="00031BEF">
            <w:pPr>
              <w:rPr>
                <w:lang w:val="en-US"/>
              </w:rPr>
            </w:pPr>
            <w:r w:rsidRPr="001173E2">
              <w:rPr>
                <w:lang w:val="en-US"/>
              </w:rPr>
              <w:t>resourcesForSetA-r19</w:t>
            </w:r>
          </w:p>
        </w:tc>
        <w:tc>
          <w:tcPr>
            <w:tcW w:w="2106" w:type="dxa"/>
          </w:tcPr>
          <w:p w14:paraId="34E1399B" w14:textId="0F3FE49A" w:rsidR="00031BEF" w:rsidRDefault="003C3C37" w:rsidP="00031BEF">
            <w:pPr>
              <w:rPr>
                <w:lang w:val="en-US"/>
              </w:rPr>
            </w:pPr>
            <w:r>
              <w:rPr>
                <w:lang w:val="en-US"/>
              </w:rPr>
              <w:t>BM-UE side</w:t>
            </w:r>
          </w:p>
        </w:tc>
        <w:tc>
          <w:tcPr>
            <w:tcW w:w="2206" w:type="dxa"/>
          </w:tcPr>
          <w:p w14:paraId="3F6BC673" w14:textId="4518225D" w:rsidR="00031BEF" w:rsidRDefault="003C3C37" w:rsidP="00031BEF">
            <w:pPr>
              <w:rPr>
                <w:lang w:val="en-US"/>
              </w:rPr>
            </w:pPr>
            <w:r>
              <w:rPr>
                <w:lang w:val="en-US"/>
              </w:rPr>
              <w:t>CSI-ReportConfig</w:t>
            </w:r>
          </w:p>
        </w:tc>
        <w:tc>
          <w:tcPr>
            <w:tcW w:w="2315" w:type="dxa"/>
          </w:tcPr>
          <w:p w14:paraId="24A90D22" w14:textId="60AB6A74" w:rsidR="00031BEF" w:rsidRDefault="003C3C37" w:rsidP="00031BEF">
            <w:pPr>
              <w:rPr>
                <w:lang w:val="en-US"/>
              </w:rPr>
            </w:pPr>
            <w:r>
              <w:rPr>
                <w:lang w:val="en-US"/>
              </w:rPr>
              <w:t>resourcesForSetA-r19</w:t>
            </w:r>
          </w:p>
        </w:tc>
      </w:tr>
      <w:tr w:rsidR="0062401A" w14:paraId="1A4749CA" w14:textId="77777777" w:rsidTr="00B368C5">
        <w:tc>
          <w:tcPr>
            <w:tcW w:w="3004" w:type="dxa"/>
          </w:tcPr>
          <w:p w14:paraId="40B7ADCE" w14:textId="4829276E" w:rsidR="0062401A" w:rsidRDefault="001173E2" w:rsidP="0062401A">
            <w:pPr>
              <w:rPr>
                <w:lang w:val="en-US"/>
              </w:rPr>
            </w:pPr>
            <w:r w:rsidRPr="001173E2">
              <w:rPr>
                <w:lang w:val="en-US"/>
              </w:rPr>
              <w:t>resourcesForChannelMeasurement</w:t>
            </w:r>
          </w:p>
        </w:tc>
        <w:tc>
          <w:tcPr>
            <w:tcW w:w="2106" w:type="dxa"/>
            <w:shd w:val="clear" w:color="auto" w:fill="D9D9D9" w:themeFill="background1" w:themeFillShade="D9"/>
            <w:vAlign w:val="center"/>
          </w:tcPr>
          <w:p w14:paraId="61939CB0" w14:textId="7375D8A1" w:rsidR="0062401A" w:rsidRDefault="00390153" w:rsidP="00390153">
            <w:pPr>
              <w:jc w:val="center"/>
              <w:rPr>
                <w:lang w:val="en-US"/>
              </w:rPr>
            </w:pPr>
            <w:r>
              <w:rPr>
                <w:lang w:val="en-US"/>
              </w:rPr>
              <w:t>Legacy</w:t>
            </w:r>
          </w:p>
        </w:tc>
        <w:tc>
          <w:tcPr>
            <w:tcW w:w="2206" w:type="dxa"/>
          </w:tcPr>
          <w:p w14:paraId="76EEF881" w14:textId="65AF7AC4" w:rsidR="0062401A" w:rsidRDefault="00390153" w:rsidP="0062401A">
            <w:pPr>
              <w:rPr>
                <w:lang w:val="en-US"/>
              </w:rPr>
            </w:pPr>
            <w:r>
              <w:rPr>
                <w:lang w:val="en-US"/>
              </w:rPr>
              <w:t>CSI-ReportConfig</w:t>
            </w:r>
          </w:p>
        </w:tc>
        <w:tc>
          <w:tcPr>
            <w:tcW w:w="2315" w:type="dxa"/>
          </w:tcPr>
          <w:p w14:paraId="48C074A2" w14:textId="68AACF83" w:rsidR="0062401A" w:rsidRDefault="00390153" w:rsidP="0062401A">
            <w:pPr>
              <w:rPr>
                <w:lang w:val="en-US"/>
              </w:rPr>
            </w:pPr>
            <w:r>
              <w:rPr>
                <w:lang w:val="en-US"/>
              </w:rPr>
              <w:t>resourcesForChannelMeasurement</w:t>
            </w:r>
          </w:p>
        </w:tc>
      </w:tr>
      <w:tr w:rsidR="00DD165E" w14:paraId="3B71476E" w14:textId="77777777" w:rsidTr="00AE3102">
        <w:tc>
          <w:tcPr>
            <w:tcW w:w="3004" w:type="dxa"/>
          </w:tcPr>
          <w:p w14:paraId="64404E81" w14:textId="0B31F273" w:rsidR="00DD165E" w:rsidRDefault="00DD165E" w:rsidP="00DD165E">
            <w:pPr>
              <w:rPr>
                <w:lang w:val="en-US"/>
              </w:rPr>
            </w:pPr>
            <w:r w:rsidRPr="001173E2">
              <w:rPr>
                <w:lang w:val="en-US"/>
              </w:rPr>
              <w:t>associatedIDforSetB-r19</w:t>
            </w:r>
          </w:p>
        </w:tc>
        <w:tc>
          <w:tcPr>
            <w:tcW w:w="2106" w:type="dxa"/>
          </w:tcPr>
          <w:p w14:paraId="12109809" w14:textId="1B4B7E81" w:rsidR="00DD165E" w:rsidRDefault="00DD165E" w:rsidP="00DD165E">
            <w:pPr>
              <w:rPr>
                <w:lang w:val="en-US"/>
              </w:rPr>
            </w:pPr>
            <w:r>
              <w:rPr>
                <w:lang w:val="en-US"/>
              </w:rPr>
              <w:t>BM-UE side</w:t>
            </w:r>
          </w:p>
        </w:tc>
        <w:tc>
          <w:tcPr>
            <w:tcW w:w="2206" w:type="dxa"/>
          </w:tcPr>
          <w:p w14:paraId="21A55DB3" w14:textId="3A40EA37" w:rsidR="00DD165E" w:rsidRDefault="00DD165E" w:rsidP="00DD165E">
            <w:pPr>
              <w:rPr>
                <w:lang w:val="en-US"/>
              </w:rPr>
            </w:pPr>
            <w:r>
              <w:rPr>
                <w:lang w:val="en-US"/>
              </w:rPr>
              <w:t>CSI-ReportConfig</w:t>
            </w:r>
          </w:p>
        </w:tc>
        <w:tc>
          <w:tcPr>
            <w:tcW w:w="2315" w:type="dxa"/>
          </w:tcPr>
          <w:p w14:paraId="600859FE" w14:textId="6766012A" w:rsidR="00DD165E" w:rsidRDefault="00DD165E" w:rsidP="00DD165E">
            <w:pPr>
              <w:rPr>
                <w:lang w:val="en-US"/>
              </w:rPr>
            </w:pPr>
            <w:r>
              <w:rPr>
                <w:lang w:val="en-US"/>
              </w:rPr>
              <w:t>associatedIdforSetB-r19</w:t>
            </w:r>
          </w:p>
        </w:tc>
      </w:tr>
      <w:tr w:rsidR="00DD165E" w14:paraId="7F3006C1" w14:textId="77777777" w:rsidTr="00AE3102">
        <w:tc>
          <w:tcPr>
            <w:tcW w:w="3004" w:type="dxa"/>
          </w:tcPr>
          <w:p w14:paraId="3699B178" w14:textId="6AABDCBB" w:rsidR="00DD165E" w:rsidRDefault="00DD165E" w:rsidP="00DD165E">
            <w:pPr>
              <w:rPr>
                <w:lang w:val="en-US"/>
              </w:rPr>
            </w:pPr>
            <w:r w:rsidRPr="001173E2">
              <w:rPr>
                <w:lang w:val="en-US"/>
              </w:rPr>
              <w:t>reportQuantity-r19</w:t>
            </w:r>
          </w:p>
        </w:tc>
        <w:tc>
          <w:tcPr>
            <w:tcW w:w="2106" w:type="dxa"/>
          </w:tcPr>
          <w:p w14:paraId="413A1339" w14:textId="38618CF3" w:rsidR="00DD165E" w:rsidRDefault="003C3C37" w:rsidP="00DD165E">
            <w:pPr>
              <w:rPr>
                <w:lang w:val="en-US"/>
              </w:rPr>
            </w:pPr>
            <w:r>
              <w:rPr>
                <w:lang w:val="en-US"/>
              </w:rPr>
              <w:t>BM-UE side</w:t>
            </w:r>
          </w:p>
        </w:tc>
        <w:tc>
          <w:tcPr>
            <w:tcW w:w="2206" w:type="dxa"/>
          </w:tcPr>
          <w:p w14:paraId="6C00483F" w14:textId="0406C72A" w:rsidR="00DD165E" w:rsidRDefault="003C3C37" w:rsidP="00DD165E">
            <w:pPr>
              <w:rPr>
                <w:lang w:val="en-US"/>
              </w:rPr>
            </w:pPr>
            <w:r>
              <w:rPr>
                <w:lang w:val="en-US"/>
              </w:rPr>
              <w:t>CSI-ReportConfig</w:t>
            </w:r>
          </w:p>
        </w:tc>
        <w:tc>
          <w:tcPr>
            <w:tcW w:w="2315" w:type="dxa"/>
          </w:tcPr>
          <w:p w14:paraId="61E09138" w14:textId="66CD419C" w:rsidR="00DD165E" w:rsidRDefault="003C3C37" w:rsidP="00DD165E">
            <w:pPr>
              <w:rPr>
                <w:lang w:val="en-US"/>
              </w:rPr>
            </w:pPr>
            <w:r>
              <w:rPr>
                <w:lang w:val="en-US"/>
              </w:rPr>
              <w:t>reportQuantity-r19</w:t>
            </w:r>
          </w:p>
        </w:tc>
      </w:tr>
      <w:tr w:rsidR="00DD165E" w14:paraId="403A6E33" w14:textId="77777777" w:rsidTr="00B368C5">
        <w:trPr>
          <w:trHeight w:val="112"/>
        </w:trPr>
        <w:tc>
          <w:tcPr>
            <w:tcW w:w="3004" w:type="dxa"/>
          </w:tcPr>
          <w:p w14:paraId="15490E59" w14:textId="0C0FE811" w:rsidR="00DD165E" w:rsidRPr="001173E2" w:rsidRDefault="00DD165E" w:rsidP="00DD165E">
            <w:pPr>
              <w:rPr>
                <w:lang w:val="en-US"/>
              </w:rPr>
            </w:pPr>
            <w:r w:rsidRPr="00DD165E">
              <w:rPr>
                <w:lang w:val="en-US"/>
              </w:rPr>
              <w:t>reportConfigType</w:t>
            </w:r>
          </w:p>
        </w:tc>
        <w:tc>
          <w:tcPr>
            <w:tcW w:w="2106" w:type="dxa"/>
            <w:shd w:val="clear" w:color="auto" w:fill="D9D9D9" w:themeFill="background1" w:themeFillShade="D9"/>
            <w:vAlign w:val="center"/>
          </w:tcPr>
          <w:p w14:paraId="2EB82414" w14:textId="4A48B149" w:rsidR="00DD165E" w:rsidRDefault="00B368C5" w:rsidP="00B368C5">
            <w:pPr>
              <w:jc w:val="center"/>
              <w:rPr>
                <w:lang w:val="en-US"/>
              </w:rPr>
            </w:pPr>
            <w:r>
              <w:rPr>
                <w:lang w:val="en-US"/>
              </w:rPr>
              <w:t>Legacy</w:t>
            </w:r>
          </w:p>
        </w:tc>
        <w:tc>
          <w:tcPr>
            <w:tcW w:w="2206" w:type="dxa"/>
          </w:tcPr>
          <w:p w14:paraId="694CF27F" w14:textId="12154F58" w:rsidR="00DD165E" w:rsidRDefault="00B368C5" w:rsidP="00DD165E">
            <w:pPr>
              <w:rPr>
                <w:lang w:val="en-US"/>
              </w:rPr>
            </w:pPr>
            <w:r>
              <w:rPr>
                <w:lang w:val="en-US"/>
              </w:rPr>
              <w:t>CSI-ReportConfig</w:t>
            </w:r>
          </w:p>
        </w:tc>
        <w:tc>
          <w:tcPr>
            <w:tcW w:w="2315" w:type="dxa"/>
          </w:tcPr>
          <w:p w14:paraId="47FFED2B" w14:textId="3E2FA20F" w:rsidR="00DD165E" w:rsidRDefault="00B368C5" w:rsidP="00DD165E">
            <w:pPr>
              <w:rPr>
                <w:lang w:val="en-US"/>
              </w:rPr>
            </w:pPr>
            <w:r>
              <w:rPr>
                <w:lang w:val="en-US"/>
              </w:rPr>
              <w:t>reportConfigType</w:t>
            </w:r>
          </w:p>
        </w:tc>
      </w:tr>
      <w:tr w:rsidR="005A16B5" w14:paraId="5B774818" w14:textId="77777777" w:rsidTr="00AE3102">
        <w:tc>
          <w:tcPr>
            <w:tcW w:w="3004" w:type="dxa"/>
          </w:tcPr>
          <w:p w14:paraId="37539816" w14:textId="42D797A8" w:rsidR="005A16B5" w:rsidRPr="001173E2" w:rsidRDefault="005A16B5" w:rsidP="005A16B5">
            <w:pPr>
              <w:rPr>
                <w:lang w:val="en-US"/>
              </w:rPr>
            </w:pPr>
            <w:r w:rsidRPr="00DD165E">
              <w:rPr>
                <w:lang w:val="en-US"/>
              </w:rPr>
              <w:t>nrofreportedpredictedrs-r19</w:t>
            </w:r>
          </w:p>
        </w:tc>
        <w:tc>
          <w:tcPr>
            <w:tcW w:w="2106" w:type="dxa"/>
          </w:tcPr>
          <w:p w14:paraId="1CFE4BDA" w14:textId="38D6670A" w:rsidR="005A16B5" w:rsidRDefault="005A16B5" w:rsidP="005A16B5">
            <w:pPr>
              <w:rPr>
                <w:lang w:val="en-US"/>
              </w:rPr>
            </w:pPr>
            <w:r>
              <w:rPr>
                <w:lang w:val="en-US"/>
              </w:rPr>
              <w:t>BM-UE side</w:t>
            </w:r>
          </w:p>
        </w:tc>
        <w:tc>
          <w:tcPr>
            <w:tcW w:w="2206" w:type="dxa"/>
          </w:tcPr>
          <w:p w14:paraId="62B0A516" w14:textId="331A5212" w:rsidR="005A16B5" w:rsidRDefault="005A16B5" w:rsidP="005A16B5">
            <w:pPr>
              <w:rPr>
                <w:lang w:val="en-US"/>
              </w:rPr>
            </w:pPr>
            <w:r>
              <w:rPr>
                <w:lang w:val="en-US"/>
              </w:rPr>
              <w:t>CSI-ReportConfig</w:t>
            </w:r>
          </w:p>
        </w:tc>
        <w:tc>
          <w:tcPr>
            <w:tcW w:w="2315" w:type="dxa"/>
          </w:tcPr>
          <w:p w14:paraId="2DBA345B" w14:textId="5B4C5D26" w:rsidR="005A16B5" w:rsidRDefault="005A16B5" w:rsidP="005A16B5">
            <w:pPr>
              <w:rPr>
                <w:lang w:val="en-US"/>
              </w:rPr>
            </w:pPr>
            <w:r w:rsidRPr="00DD165E">
              <w:rPr>
                <w:lang w:val="en-US"/>
              </w:rPr>
              <w:t>nrofreportedpredictedrs-r19</w:t>
            </w:r>
          </w:p>
        </w:tc>
      </w:tr>
      <w:tr w:rsidR="003C3C37" w14:paraId="30882D88" w14:textId="77777777" w:rsidTr="00AE3102">
        <w:tc>
          <w:tcPr>
            <w:tcW w:w="3004" w:type="dxa"/>
          </w:tcPr>
          <w:p w14:paraId="5C27EFC6" w14:textId="21C58675" w:rsidR="003C3C37" w:rsidRPr="001173E2" w:rsidRDefault="003C3C37" w:rsidP="003C3C37">
            <w:pPr>
              <w:rPr>
                <w:lang w:val="en-US"/>
              </w:rPr>
            </w:pPr>
            <w:r>
              <w:rPr>
                <w:lang w:val="en-US"/>
              </w:rPr>
              <w:t>T</w:t>
            </w:r>
            <w:r w:rsidRPr="00DD165E">
              <w:rPr>
                <w:lang w:val="en-US"/>
              </w:rPr>
              <w:t>imeGap-r19</w:t>
            </w:r>
          </w:p>
        </w:tc>
        <w:tc>
          <w:tcPr>
            <w:tcW w:w="2106" w:type="dxa"/>
          </w:tcPr>
          <w:p w14:paraId="0326557A" w14:textId="38CC5753" w:rsidR="003C3C37" w:rsidRDefault="003C3C37" w:rsidP="003C3C37">
            <w:pPr>
              <w:rPr>
                <w:lang w:val="en-US"/>
              </w:rPr>
            </w:pPr>
            <w:r>
              <w:rPr>
                <w:lang w:val="en-US"/>
              </w:rPr>
              <w:t>BM-UE side</w:t>
            </w:r>
          </w:p>
        </w:tc>
        <w:tc>
          <w:tcPr>
            <w:tcW w:w="2206" w:type="dxa"/>
          </w:tcPr>
          <w:p w14:paraId="70A9D4ED" w14:textId="51E49146" w:rsidR="003C3C37" w:rsidRDefault="003C3C37" w:rsidP="003C3C37">
            <w:pPr>
              <w:rPr>
                <w:lang w:val="en-US"/>
              </w:rPr>
            </w:pPr>
            <w:r>
              <w:rPr>
                <w:lang w:val="en-US"/>
              </w:rPr>
              <w:t>CSI-ReportConfig</w:t>
            </w:r>
          </w:p>
        </w:tc>
        <w:tc>
          <w:tcPr>
            <w:tcW w:w="2315" w:type="dxa"/>
          </w:tcPr>
          <w:p w14:paraId="3E5A7D5D" w14:textId="42D003A7" w:rsidR="003C3C37" w:rsidRDefault="003C3C37" w:rsidP="003C3C37">
            <w:pPr>
              <w:rPr>
                <w:lang w:val="en-US"/>
              </w:rPr>
            </w:pPr>
            <w:r>
              <w:rPr>
                <w:lang w:val="en-US"/>
              </w:rPr>
              <w:t>TimeGap-r19</w:t>
            </w:r>
          </w:p>
        </w:tc>
      </w:tr>
      <w:tr w:rsidR="003C3C37" w14:paraId="5F2888D8" w14:textId="77777777" w:rsidTr="00AE3102">
        <w:tc>
          <w:tcPr>
            <w:tcW w:w="3004" w:type="dxa"/>
          </w:tcPr>
          <w:p w14:paraId="36E8772D" w14:textId="41C63E7B" w:rsidR="003C3C37" w:rsidRPr="00DD165E" w:rsidRDefault="003C3C37" w:rsidP="003C3C37">
            <w:pPr>
              <w:rPr>
                <w:lang w:val="en-US"/>
              </w:rPr>
            </w:pPr>
            <w:r w:rsidRPr="00DD165E">
              <w:rPr>
                <w:lang w:val="en-US"/>
              </w:rPr>
              <w:t>nroftimeinstance-r1</w:t>
            </w:r>
            <w:r>
              <w:rPr>
                <w:lang w:val="en-US"/>
              </w:rPr>
              <w:t>9</w:t>
            </w:r>
          </w:p>
        </w:tc>
        <w:tc>
          <w:tcPr>
            <w:tcW w:w="2106" w:type="dxa"/>
          </w:tcPr>
          <w:p w14:paraId="0F30C075" w14:textId="1C230264" w:rsidR="003C3C37" w:rsidRDefault="003C3C37" w:rsidP="003C3C37">
            <w:pPr>
              <w:rPr>
                <w:lang w:val="en-US"/>
              </w:rPr>
            </w:pPr>
            <w:r>
              <w:rPr>
                <w:lang w:val="en-US"/>
              </w:rPr>
              <w:t>BM-UE side</w:t>
            </w:r>
          </w:p>
        </w:tc>
        <w:tc>
          <w:tcPr>
            <w:tcW w:w="2206" w:type="dxa"/>
          </w:tcPr>
          <w:p w14:paraId="5C540A70" w14:textId="547612D9" w:rsidR="003C3C37" w:rsidRDefault="003C3C37" w:rsidP="003C3C37">
            <w:pPr>
              <w:rPr>
                <w:lang w:val="en-US"/>
              </w:rPr>
            </w:pPr>
            <w:r>
              <w:rPr>
                <w:lang w:val="en-US"/>
              </w:rPr>
              <w:t>CSI-ReportConfig</w:t>
            </w:r>
          </w:p>
        </w:tc>
        <w:tc>
          <w:tcPr>
            <w:tcW w:w="2315" w:type="dxa"/>
          </w:tcPr>
          <w:p w14:paraId="1F2164E6" w14:textId="70C8E6DB" w:rsidR="003C3C37" w:rsidRDefault="003C3C37" w:rsidP="003C3C37">
            <w:pPr>
              <w:rPr>
                <w:lang w:val="en-US"/>
              </w:rPr>
            </w:pPr>
            <w:r>
              <w:rPr>
                <w:lang w:val="en-US"/>
              </w:rPr>
              <w:t>nroftimeinstance-r19</w:t>
            </w:r>
          </w:p>
        </w:tc>
      </w:tr>
    </w:tbl>
    <w:p w14:paraId="321D8C10" w14:textId="77777777" w:rsidR="00173191" w:rsidRPr="00173191" w:rsidRDefault="00173191" w:rsidP="004E0DD0">
      <w:pPr>
        <w:spacing w:after="0"/>
        <w:rPr>
          <w:lang w:val="en-US"/>
        </w:rPr>
      </w:pPr>
    </w:p>
    <w:p w14:paraId="11A0B7AF" w14:textId="2D581A85" w:rsidR="00AB3FAE" w:rsidRDefault="008F74E7" w:rsidP="001C229F">
      <w:pPr>
        <w:rPr>
          <w:b/>
          <w:bCs/>
          <w:lang w:val="en-US"/>
        </w:rPr>
      </w:pPr>
      <w:r w:rsidRPr="00AB3FAE">
        <w:rPr>
          <w:b/>
          <w:bCs/>
          <w:lang w:val="en-US"/>
        </w:rPr>
        <w:t>Observation</w:t>
      </w:r>
      <w:r w:rsidR="00003F91">
        <w:rPr>
          <w:b/>
          <w:bCs/>
          <w:lang w:val="en-US"/>
        </w:rPr>
        <w:t xml:space="preserve"> 2</w:t>
      </w:r>
      <w:r w:rsidRPr="00AB3FAE">
        <w:rPr>
          <w:b/>
          <w:bCs/>
          <w:lang w:val="en-US"/>
        </w:rPr>
        <w:t xml:space="preserve">: RAN2#129 agreed to reconsider the use of </w:t>
      </w:r>
      <w:r w:rsidRPr="00AB3FAE">
        <w:rPr>
          <w:b/>
          <w:bCs/>
          <w:i/>
          <w:iCs/>
          <w:lang w:val="en-US"/>
        </w:rPr>
        <w:t>CSI-ReportConfig</w:t>
      </w:r>
      <w:r w:rsidRPr="00AB3FAE">
        <w:rPr>
          <w:b/>
          <w:bCs/>
          <w:lang w:val="en-US"/>
        </w:rPr>
        <w:t xml:space="preserve"> for option B if all of the infere</w:t>
      </w:r>
      <w:r w:rsidR="00EC48E1" w:rsidRPr="00AB3FAE">
        <w:rPr>
          <w:b/>
          <w:bCs/>
          <w:lang w:val="en-US"/>
        </w:rPr>
        <w:t xml:space="preserve">nce-related parameters are contained in </w:t>
      </w:r>
      <w:r w:rsidR="00EC48E1" w:rsidRPr="00AB3FAE">
        <w:rPr>
          <w:b/>
          <w:bCs/>
          <w:i/>
          <w:iCs/>
          <w:lang w:val="en-US"/>
        </w:rPr>
        <w:t>CSI-ReportConfig</w:t>
      </w:r>
      <w:r w:rsidR="00EC48E1" w:rsidRPr="00AB3FAE">
        <w:rPr>
          <w:b/>
          <w:bCs/>
          <w:lang w:val="en-US"/>
        </w:rPr>
        <w:t>.</w:t>
      </w:r>
    </w:p>
    <w:p w14:paraId="36D770CE" w14:textId="5EA82699" w:rsidR="008F74E7" w:rsidRDefault="00AB3FAE" w:rsidP="001C229F">
      <w:pPr>
        <w:rPr>
          <w:b/>
          <w:bCs/>
          <w:iCs/>
          <w:lang w:val="en-US"/>
        </w:rPr>
      </w:pPr>
      <w:r>
        <w:rPr>
          <w:b/>
          <w:bCs/>
          <w:lang w:val="en-US"/>
        </w:rPr>
        <w:t>Observation</w:t>
      </w:r>
      <w:r w:rsidR="00003F91">
        <w:rPr>
          <w:b/>
          <w:bCs/>
          <w:lang w:val="en-US"/>
        </w:rPr>
        <w:t xml:space="preserve"> 3</w:t>
      </w:r>
      <w:r>
        <w:rPr>
          <w:b/>
          <w:bCs/>
          <w:lang w:val="en-US"/>
        </w:rPr>
        <w:t xml:space="preserve">: </w:t>
      </w:r>
      <w:r w:rsidR="00EC48E1" w:rsidRPr="00AB3FAE">
        <w:rPr>
          <w:b/>
          <w:bCs/>
          <w:lang w:val="en-US"/>
        </w:rPr>
        <w:t>RAN1#12</w:t>
      </w:r>
      <w:r w:rsidR="00331FB6">
        <w:rPr>
          <w:b/>
          <w:bCs/>
          <w:lang w:val="en-US"/>
        </w:rPr>
        <w:t>1</w:t>
      </w:r>
      <w:r w:rsidR="00EC48E1" w:rsidRPr="00AB3FAE">
        <w:rPr>
          <w:b/>
          <w:bCs/>
          <w:lang w:val="en-US"/>
        </w:rPr>
        <w:t xml:space="preserve"> agreed to the following list of parameters </w:t>
      </w:r>
      <w:r w:rsidR="009B2B0C" w:rsidRPr="00AB3FAE">
        <w:rPr>
          <w:b/>
          <w:bCs/>
          <w:lang w:val="en-US"/>
        </w:rPr>
        <w:t xml:space="preserve">to be reused for signaling sets of inference-related parameters: </w:t>
      </w:r>
      <w:r w:rsidR="009B2B0C" w:rsidRPr="00AB3FAE">
        <w:rPr>
          <w:b/>
          <w:bCs/>
          <w:i/>
          <w:iCs/>
          <w:lang w:val="en-US"/>
        </w:rPr>
        <w:t>associatedIDforSetA-r19</w:t>
      </w:r>
      <w:r w:rsidR="009B2B0C" w:rsidRPr="00AB3FAE">
        <w:rPr>
          <w:b/>
          <w:bCs/>
          <w:lang w:val="en-US"/>
        </w:rPr>
        <w:t xml:space="preserve">, </w:t>
      </w:r>
      <w:r w:rsidR="009B2B0C" w:rsidRPr="00AB3FAE">
        <w:rPr>
          <w:b/>
          <w:bCs/>
          <w:i/>
          <w:iCs/>
          <w:lang w:val="en-US"/>
        </w:rPr>
        <w:t>resorucesForSetA-r19</w:t>
      </w:r>
      <w:r w:rsidR="009B2B0C" w:rsidRPr="00AB3FAE">
        <w:rPr>
          <w:b/>
          <w:bCs/>
          <w:lang w:val="en-US"/>
        </w:rPr>
        <w:t xml:space="preserve">, </w:t>
      </w:r>
      <w:r w:rsidR="009B2B0C" w:rsidRPr="00AB3FAE">
        <w:rPr>
          <w:b/>
          <w:bCs/>
          <w:i/>
          <w:iCs/>
          <w:lang w:val="en-US"/>
        </w:rPr>
        <w:t>resourcesForChannelMeasurement</w:t>
      </w:r>
      <w:r w:rsidR="009B2B0C" w:rsidRPr="00AB3FAE">
        <w:rPr>
          <w:b/>
          <w:bCs/>
          <w:lang w:val="en-US"/>
        </w:rPr>
        <w:t xml:space="preserve">, </w:t>
      </w:r>
      <w:r w:rsidR="009B2B0C" w:rsidRPr="00AB3FAE">
        <w:rPr>
          <w:b/>
          <w:bCs/>
          <w:i/>
          <w:iCs/>
          <w:lang w:val="en-US"/>
        </w:rPr>
        <w:t>associatedIDforSetB</w:t>
      </w:r>
      <w:r w:rsidR="00FB34E4" w:rsidRPr="00AB3FAE">
        <w:rPr>
          <w:b/>
          <w:bCs/>
          <w:i/>
          <w:iCs/>
          <w:lang w:val="en-US"/>
        </w:rPr>
        <w:t>-r19</w:t>
      </w:r>
      <w:r w:rsidR="00FB34E4" w:rsidRPr="00AB3FAE">
        <w:rPr>
          <w:b/>
          <w:bCs/>
          <w:lang w:val="en-US"/>
        </w:rPr>
        <w:t xml:space="preserve">, </w:t>
      </w:r>
      <w:r w:rsidR="00FB34E4" w:rsidRPr="00AB3FAE">
        <w:rPr>
          <w:b/>
          <w:bCs/>
          <w:i/>
          <w:iCs/>
          <w:lang w:val="en-US"/>
        </w:rPr>
        <w:t>reportQuantity-r19</w:t>
      </w:r>
      <w:r w:rsidR="00FB34E4" w:rsidRPr="00AB3FAE">
        <w:rPr>
          <w:b/>
          <w:bCs/>
          <w:lang w:val="en-US"/>
        </w:rPr>
        <w:t xml:space="preserve">, </w:t>
      </w:r>
      <w:r w:rsidR="00FB34E4" w:rsidRPr="00AB3FAE">
        <w:rPr>
          <w:b/>
          <w:bCs/>
          <w:i/>
          <w:iCs/>
          <w:lang w:val="en-US"/>
        </w:rPr>
        <w:t>reportConfigType</w:t>
      </w:r>
      <w:r w:rsidR="00FB34E4" w:rsidRPr="00AB3FAE">
        <w:rPr>
          <w:b/>
          <w:bCs/>
          <w:lang w:val="en-US"/>
        </w:rPr>
        <w:t xml:space="preserve">, </w:t>
      </w:r>
      <w:r w:rsidR="00FB34E4" w:rsidRPr="00AB3FAE">
        <w:rPr>
          <w:b/>
          <w:bCs/>
          <w:i/>
          <w:iCs/>
          <w:lang w:val="en-US"/>
        </w:rPr>
        <w:t>nrofreportedpredictedrs-r19</w:t>
      </w:r>
      <w:r w:rsidR="00FB34E4" w:rsidRPr="00AB3FAE">
        <w:rPr>
          <w:b/>
          <w:bCs/>
          <w:lang w:val="en-US"/>
        </w:rPr>
        <w:t xml:space="preserve">, </w:t>
      </w:r>
      <w:r w:rsidR="00FB34E4" w:rsidRPr="00AB3FAE">
        <w:rPr>
          <w:b/>
          <w:bCs/>
          <w:i/>
          <w:iCs/>
          <w:lang w:val="en-US"/>
        </w:rPr>
        <w:t>TimeGap-r19</w:t>
      </w:r>
      <w:r w:rsidR="00FB34E4" w:rsidRPr="00AB3FAE">
        <w:rPr>
          <w:b/>
          <w:bCs/>
          <w:iCs/>
          <w:lang w:val="en-US"/>
        </w:rPr>
        <w:t xml:space="preserve">, and </w:t>
      </w:r>
      <w:r w:rsidR="00FB34E4" w:rsidRPr="00AB3FAE">
        <w:rPr>
          <w:b/>
          <w:bCs/>
          <w:i/>
          <w:lang w:val="en-US"/>
        </w:rPr>
        <w:t>nroftimeinstance-r19</w:t>
      </w:r>
      <w:r w:rsidR="00FB34E4" w:rsidRPr="00AB3FAE">
        <w:rPr>
          <w:b/>
          <w:bCs/>
          <w:iCs/>
          <w:lang w:val="en-US"/>
        </w:rPr>
        <w:t>, w</w:t>
      </w:r>
      <w:r w:rsidRPr="00AB3FAE">
        <w:rPr>
          <w:b/>
          <w:bCs/>
          <w:iCs/>
          <w:lang w:val="en-US"/>
        </w:rPr>
        <w:t xml:space="preserve">hose presence in </w:t>
      </w:r>
      <w:r w:rsidRPr="00AB3FAE">
        <w:rPr>
          <w:b/>
          <w:bCs/>
          <w:i/>
          <w:lang w:val="en-US"/>
        </w:rPr>
        <w:t>CSI-ReportConfig</w:t>
      </w:r>
      <w:r w:rsidRPr="00AB3FAE">
        <w:rPr>
          <w:b/>
          <w:bCs/>
          <w:iCs/>
          <w:lang w:val="en-US"/>
        </w:rPr>
        <w:t xml:space="preserve"> has been confirmed in the parameters list provided after RAN</w:t>
      </w:r>
      <w:r w:rsidR="00B50476">
        <w:rPr>
          <w:b/>
          <w:bCs/>
          <w:iCs/>
          <w:lang w:val="en-US"/>
        </w:rPr>
        <w:t>1</w:t>
      </w:r>
      <w:r w:rsidRPr="00AB3FAE">
        <w:rPr>
          <w:b/>
          <w:bCs/>
          <w:iCs/>
          <w:lang w:val="en-US"/>
        </w:rPr>
        <w:t>#121.</w:t>
      </w:r>
    </w:p>
    <w:p w14:paraId="7FFF3024" w14:textId="77777777" w:rsidR="001E7070" w:rsidRDefault="001E7070" w:rsidP="001E7070">
      <w:r>
        <w:t xml:space="preserve">We recognize that the presence of extension markers and irrelevant optional parameters in some large IEs such as </w:t>
      </w:r>
      <w:r>
        <w:rPr>
          <w:i/>
          <w:iCs/>
        </w:rPr>
        <w:t>CSI-ReportConfig</w:t>
      </w:r>
      <w:r>
        <w:t xml:space="preserve"> introduces some overhead, but in our analysis that overhead was limited to an additional 8 bytes in the case of </w:t>
      </w:r>
      <w:r>
        <w:rPr>
          <w:i/>
          <w:iCs/>
        </w:rPr>
        <w:t>CSI-ReportConfig</w:t>
      </w:r>
      <w:r>
        <w:t xml:space="preserve">: 2 bytes of optional parameters and 6 bytes of extension markers. We do not envision that the UE will be provided so many sets of inference-related parameters and UE-side data collection options such that the 8 </w:t>
      </w:r>
      <w:r>
        <w:lastRenderedPageBreak/>
        <w:t>bytes of overhead would accumulate to a level comparable to the maximum size of an RRC message, which is 9000 bytes.</w:t>
      </w:r>
    </w:p>
    <w:p w14:paraId="518BEC90" w14:textId="21494129" w:rsidR="001E7070" w:rsidRPr="001E7070" w:rsidRDefault="001E7070" w:rsidP="001C229F">
      <w:pPr>
        <w:rPr>
          <w:b/>
          <w:bCs/>
        </w:rPr>
      </w:pPr>
      <w:r w:rsidRPr="004E3EE4">
        <w:rPr>
          <w:b/>
          <w:bCs/>
        </w:rPr>
        <w:t>Observation</w:t>
      </w:r>
      <w:r w:rsidR="00003F91">
        <w:rPr>
          <w:b/>
          <w:bCs/>
        </w:rPr>
        <w:t xml:space="preserve"> 4</w:t>
      </w:r>
      <w:r w:rsidRPr="004E3EE4">
        <w:rPr>
          <w:b/>
          <w:bCs/>
        </w:rPr>
        <w:t xml:space="preserve">: The overhead incurred by reusing </w:t>
      </w:r>
      <w:r w:rsidRPr="004E3EE4">
        <w:rPr>
          <w:b/>
          <w:bCs/>
          <w:i/>
          <w:iCs/>
        </w:rPr>
        <w:t xml:space="preserve">CSI-ReportConfig </w:t>
      </w:r>
      <w:r w:rsidRPr="004E3EE4">
        <w:rPr>
          <w:b/>
          <w:bCs/>
        </w:rPr>
        <w:t>for signaling sets of inference-related parameters and UE-side data collection options is 8 bytes.</w:t>
      </w:r>
    </w:p>
    <w:p w14:paraId="028B6426" w14:textId="58034F5E" w:rsidR="00AB3FAE" w:rsidRPr="00AB3FAE" w:rsidRDefault="00AB3FAE" w:rsidP="001C229F">
      <w:pPr>
        <w:rPr>
          <w:b/>
          <w:bCs/>
          <w:iCs/>
          <w:lang w:val="en-US"/>
        </w:rPr>
      </w:pPr>
      <w:r w:rsidRPr="00AB3FAE">
        <w:rPr>
          <w:b/>
          <w:bCs/>
          <w:iCs/>
          <w:lang w:val="en-US"/>
        </w:rPr>
        <w:t>Proposa</w:t>
      </w:r>
      <w:r w:rsidR="00003F91">
        <w:rPr>
          <w:b/>
          <w:bCs/>
          <w:iCs/>
          <w:lang w:val="en-US"/>
        </w:rPr>
        <w:t xml:space="preserve">1 </w:t>
      </w:r>
      <w:r w:rsidRPr="00AB3FAE">
        <w:rPr>
          <w:b/>
          <w:bCs/>
          <w:iCs/>
          <w:lang w:val="en-US"/>
        </w:rPr>
        <w:t xml:space="preserve">l: Use </w:t>
      </w:r>
      <w:r w:rsidRPr="00AB3FAE">
        <w:rPr>
          <w:b/>
          <w:bCs/>
          <w:i/>
          <w:lang w:val="en-US"/>
        </w:rPr>
        <w:t>CSI-ReportConfig</w:t>
      </w:r>
      <w:r w:rsidRPr="00AB3FAE">
        <w:rPr>
          <w:b/>
          <w:bCs/>
          <w:iCs/>
          <w:lang w:val="en-US"/>
        </w:rPr>
        <w:t xml:space="preserve"> as the IE to configure the UE with sets of inference-related parameters, each </w:t>
      </w:r>
      <w:r w:rsidRPr="00AB3FAE">
        <w:rPr>
          <w:b/>
          <w:bCs/>
          <w:i/>
          <w:lang w:val="en-US"/>
        </w:rPr>
        <w:t>CSI-ReportConfig</w:t>
      </w:r>
      <w:r w:rsidRPr="00AB3FAE">
        <w:rPr>
          <w:b/>
          <w:bCs/>
          <w:iCs/>
          <w:lang w:val="en-US"/>
        </w:rPr>
        <w:t xml:space="preserve"> representing one set of inference-related parameters.</w:t>
      </w:r>
    </w:p>
    <w:p w14:paraId="75621CC3" w14:textId="662AE7A1" w:rsidR="00133D91" w:rsidRDefault="001E7070" w:rsidP="001C229F">
      <w:r>
        <w:t xml:space="preserve">Next, we will address the candidates for UE-side data collection. During </w:t>
      </w:r>
      <w:r w:rsidRPr="006A26DB">
        <w:rPr>
          <w:b/>
          <w:bCs/>
        </w:rPr>
        <w:t>RAN2#</w:t>
      </w:r>
      <w:r w:rsidR="00BC1469" w:rsidRPr="006A26DB">
        <w:rPr>
          <w:b/>
          <w:bCs/>
        </w:rPr>
        <w:t>130</w:t>
      </w:r>
      <w:r w:rsidR="00D75D60">
        <w:rPr>
          <w:b/>
          <w:bCs/>
        </w:rPr>
        <w:t xml:space="preserve"> </w:t>
      </w:r>
      <w:r w:rsidR="00D75D60" w:rsidRPr="00D75D60">
        <w:t>[4]</w:t>
      </w:r>
      <w:r w:rsidR="00BC1469">
        <w:t xml:space="preserve">, the following agreement was reached </w:t>
      </w:r>
      <w:r w:rsidR="008E38D5">
        <w:t>regarding candidate data collection configurations.</w:t>
      </w:r>
    </w:p>
    <w:p w14:paraId="6478D849" w14:textId="77777777" w:rsidR="001E7070" w:rsidRPr="004E3EE4" w:rsidRDefault="001E7070" w:rsidP="001E7070">
      <w:pPr>
        <w:pBdr>
          <w:top w:val="single" w:sz="4" w:space="1" w:color="auto"/>
          <w:left w:val="single" w:sz="4" w:space="4" w:color="auto"/>
          <w:bottom w:val="single" w:sz="4" w:space="1" w:color="auto"/>
          <w:right w:val="single" w:sz="4" w:space="4" w:color="auto"/>
        </w:pBdr>
        <w:spacing w:after="0"/>
        <w:rPr>
          <w:rFonts w:ascii="Arial" w:hAnsi="Arial" w:cs="Arial"/>
          <w:noProof/>
          <w:lang w:val="en-US"/>
        </w:rPr>
      </w:pPr>
      <w:r w:rsidRPr="004E3EE4">
        <w:rPr>
          <w:rFonts w:ascii="Arial" w:hAnsi="Arial" w:cs="Arial"/>
          <w:noProof/>
          <w:lang w:val="en-US"/>
        </w:rPr>
        <w:t>For beam management, candidate data collection configuration includes at least:</w:t>
      </w:r>
    </w:p>
    <w:p w14:paraId="0B0E4822" w14:textId="77777777" w:rsidR="001E7070" w:rsidRPr="00A95EAC" w:rsidRDefault="001E7070" w:rsidP="001E7070">
      <w:pPr>
        <w:pStyle w:val="ListParagraph"/>
        <w:numPr>
          <w:ilvl w:val="0"/>
          <w:numId w:val="18"/>
        </w:numPr>
        <w:pBdr>
          <w:top w:val="single" w:sz="4" w:space="1" w:color="auto"/>
          <w:left w:val="single" w:sz="4" w:space="4" w:color="auto"/>
          <w:bottom w:val="single" w:sz="4" w:space="1" w:color="auto"/>
          <w:right w:val="single" w:sz="4" w:space="4" w:color="auto"/>
        </w:pBdr>
        <w:spacing w:after="0"/>
        <w:rPr>
          <w:rFonts w:ascii="Arial" w:hAnsi="Arial" w:cs="Arial"/>
          <w:noProof/>
          <w:lang w:val="en-US"/>
        </w:rPr>
      </w:pPr>
      <w:r w:rsidRPr="00A95EAC">
        <w:rPr>
          <w:rFonts w:ascii="Arial" w:hAnsi="Arial" w:cs="Arial"/>
          <w:noProof/>
          <w:lang w:val="en-US"/>
        </w:rPr>
        <w:t>CSI-ResourceConfigId of Set A</w:t>
      </w:r>
    </w:p>
    <w:p w14:paraId="3DF1EB23" w14:textId="77777777" w:rsidR="001E7070" w:rsidRDefault="001E7070" w:rsidP="001E7070">
      <w:pPr>
        <w:pStyle w:val="ListParagraph"/>
        <w:numPr>
          <w:ilvl w:val="0"/>
          <w:numId w:val="18"/>
        </w:numPr>
        <w:pBdr>
          <w:top w:val="single" w:sz="4" w:space="1" w:color="auto"/>
          <w:left w:val="single" w:sz="4" w:space="4" w:color="auto"/>
          <w:bottom w:val="single" w:sz="4" w:space="1" w:color="auto"/>
          <w:right w:val="single" w:sz="4" w:space="4" w:color="auto"/>
        </w:pBdr>
        <w:spacing w:after="0"/>
        <w:rPr>
          <w:rFonts w:ascii="Arial" w:hAnsi="Arial" w:cs="Arial"/>
          <w:noProof/>
          <w:lang w:val="en-US"/>
        </w:rPr>
      </w:pPr>
      <w:r>
        <w:rPr>
          <w:rFonts w:ascii="Arial" w:hAnsi="Arial" w:cs="Arial"/>
          <w:noProof/>
          <w:lang w:val="en-US"/>
        </w:rPr>
        <w:t>CSi-ResourceConfigId of Set B</w:t>
      </w:r>
    </w:p>
    <w:p w14:paraId="04D66CB1" w14:textId="77777777" w:rsidR="001E7070" w:rsidRDefault="001E7070" w:rsidP="001E7070">
      <w:pPr>
        <w:pStyle w:val="ListParagraph"/>
        <w:numPr>
          <w:ilvl w:val="0"/>
          <w:numId w:val="18"/>
        </w:numPr>
        <w:pBdr>
          <w:top w:val="single" w:sz="4" w:space="1" w:color="auto"/>
          <w:left w:val="single" w:sz="4" w:space="4" w:color="auto"/>
          <w:bottom w:val="single" w:sz="4" w:space="1" w:color="auto"/>
          <w:right w:val="single" w:sz="4" w:space="4" w:color="auto"/>
        </w:pBdr>
        <w:spacing w:after="0"/>
        <w:rPr>
          <w:rFonts w:ascii="Arial" w:hAnsi="Arial" w:cs="Arial"/>
          <w:noProof/>
          <w:lang w:val="en-US"/>
        </w:rPr>
      </w:pPr>
      <w:r>
        <w:rPr>
          <w:rFonts w:ascii="Arial" w:hAnsi="Arial" w:cs="Arial"/>
          <w:noProof/>
          <w:lang w:val="en-US"/>
        </w:rPr>
        <w:t>One/two associated IDs (up to whether Set B is equal/subset of Set A or not) according to RAN1 agreements</w:t>
      </w:r>
    </w:p>
    <w:p w14:paraId="7B8C4737" w14:textId="77777777" w:rsidR="001E7070" w:rsidRPr="0052397A" w:rsidRDefault="001E7070" w:rsidP="001E7070">
      <w:pPr>
        <w:pBdr>
          <w:top w:val="single" w:sz="4" w:space="1" w:color="auto"/>
          <w:left w:val="single" w:sz="4" w:space="4" w:color="auto"/>
          <w:bottom w:val="single" w:sz="4" w:space="1" w:color="auto"/>
          <w:right w:val="single" w:sz="4" w:space="4" w:color="auto"/>
        </w:pBdr>
        <w:rPr>
          <w:rFonts w:ascii="Arial" w:hAnsi="Arial" w:cs="Arial"/>
          <w:noProof/>
          <w:lang w:val="en-US"/>
        </w:rPr>
      </w:pPr>
      <w:r w:rsidRPr="004E3EE4">
        <w:rPr>
          <w:rFonts w:ascii="Arial" w:hAnsi="Arial" w:cs="Arial"/>
          <w:noProof/>
          <w:highlight w:val="yellow"/>
          <w:lang w:val="en-US"/>
        </w:rPr>
        <w:t>FFS the details of how this is signalled (e.g. CSIReport config or simplified signaling)</w:t>
      </w:r>
    </w:p>
    <w:p w14:paraId="2987DB2F" w14:textId="7E629FA1" w:rsidR="001C229F" w:rsidRPr="000333F5" w:rsidRDefault="006E33F4" w:rsidP="001C229F">
      <w:pPr>
        <w:rPr>
          <w:b/>
          <w:bCs/>
          <w:lang w:val="en-US"/>
        </w:rPr>
      </w:pPr>
      <w:r w:rsidRPr="000333F5">
        <w:rPr>
          <w:b/>
          <w:bCs/>
          <w:lang w:val="en-US"/>
        </w:rPr>
        <w:t>Observation</w:t>
      </w:r>
      <w:r w:rsidR="00003F91">
        <w:rPr>
          <w:b/>
          <w:bCs/>
          <w:lang w:val="en-US"/>
        </w:rPr>
        <w:t xml:space="preserve"> 5</w:t>
      </w:r>
      <w:r w:rsidRPr="000333F5">
        <w:rPr>
          <w:b/>
          <w:bCs/>
          <w:lang w:val="en-US"/>
        </w:rPr>
        <w:t xml:space="preserve">: During RAN2#130, it was agreed that the following parameters are included in candidate data collection configurations: </w:t>
      </w:r>
      <w:r w:rsidRPr="000333F5">
        <w:rPr>
          <w:b/>
          <w:bCs/>
          <w:i/>
          <w:iCs/>
          <w:lang w:val="en-US"/>
        </w:rPr>
        <w:t>CSI-ResourceConfigId</w:t>
      </w:r>
      <w:r w:rsidRPr="000333F5">
        <w:rPr>
          <w:b/>
          <w:bCs/>
          <w:lang w:val="en-US"/>
        </w:rPr>
        <w:t xml:space="preserve"> of Set A, </w:t>
      </w:r>
      <w:r w:rsidRPr="000333F5">
        <w:rPr>
          <w:b/>
          <w:bCs/>
          <w:i/>
          <w:iCs/>
          <w:lang w:val="en-US"/>
        </w:rPr>
        <w:t>CSI-</w:t>
      </w:r>
      <w:r w:rsidR="00A65177" w:rsidRPr="000333F5">
        <w:rPr>
          <w:b/>
          <w:bCs/>
          <w:i/>
          <w:iCs/>
          <w:lang w:val="en-US"/>
        </w:rPr>
        <w:t>ResourceConfigId</w:t>
      </w:r>
      <w:r w:rsidRPr="000333F5">
        <w:rPr>
          <w:b/>
          <w:bCs/>
          <w:lang w:val="en-US"/>
        </w:rPr>
        <w:t xml:space="preserve"> of Set B, </w:t>
      </w:r>
      <w:r w:rsidR="00A65177" w:rsidRPr="000333F5">
        <w:rPr>
          <w:b/>
          <w:bCs/>
          <w:lang w:val="en-US"/>
        </w:rPr>
        <w:t xml:space="preserve">and one or two associated IDs, e.g., </w:t>
      </w:r>
      <w:r w:rsidR="00A65177" w:rsidRPr="000333F5">
        <w:rPr>
          <w:b/>
          <w:bCs/>
          <w:i/>
          <w:iCs/>
          <w:lang w:val="en-US"/>
        </w:rPr>
        <w:t>associatedIdforSetB-r19</w:t>
      </w:r>
      <w:r w:rsidR="00A65177" w:rsidRPr="000333F5">
        <w:rPr>
          <w:b/>
          <w:bCs/>
          <w:lang w:val="en-US"/>
        </w:rPr>
        <w:t xml:space="preserve"> and </w:t>
      </w:r>
      <w:r w:rsidR="00A65177" w:rsidRPr="000333F5">
        <w:rPr>
          <w:b/>
          <w:bCs/>
          <w:i/>
          <w:iCs/>
          <w:lang w:val="en-US"/>
        </w:rPr>
        <w:t>associatedIdforSetB-r19</w:t>
      </w:r>
      <w:r w:rsidR="00A65177" w:rsidRPr="000333F5">
        <w:rPr>
          <w:b/>
          <w:bCs/>
          <w:lang w:val="en-US"/>
        </w:rPr>
        <w:t>.</w:t>
      </w:r>
    </w:p>
    <w:p w14:paraId="243ECD84" w14:textId="4DB7C3AC" w:rsidR="006A26DB" w:rsidRDefault="000333F5" w:rsidP="001C229F">
      <w:pPr>
        <w:rPr>
          <w:lang w:val="en-US"/>
        </w:rPr>
      </w:pPr>
      <w:r>
        <w:rPr>
          <w:lang w:val="en-US"/>
        </w:rPr>
        <w:t xml:space="preserve">All of the parameters agreed in RAN2#130 are also present in the </w:t>
      </w:r>
      <w:r w:rsidR="0014116C">
        <w:rPr>
          <w:lang w:val="en-US"/>
        </w:rPr>
        <w:t xml:space="preserve">list of parameters provided in Table 2.1-1, which means that all of the parameters for candidate data collection configurations are present in </w:t>
      </w:r>
      <w:r w:rsidR="0014116C">
        <w:rPr>
          <w:i/>
          <w:iCs/>
          <w:lang w:val="en-US"/>
        </w:rPr>
        <w:t>CSI-ReportConfig</w:t>
      </w:r>
      <w:r w:rsidR="0014116C">
        <w:rPr>
          <w:lang w:val="en-US"/>
        </w:rPr>
        <w:t>.</w:t>
      </w:r>
    </w:p>
    <w:p w14:paraId="64BB334F" w14:textId="22F71480" w:rsidR="0014116C" w:rsidRPr="0014116C" w:rsidRDefault="0014116C" w:rsidP="001C229F">
      <w:pPr>
        <w:rPr>
          <w:b/>
          <w:bCs/>
          <w:lang w:val="en-US"/>
        </w:rPr>
      </w:pPr>
      <w:r w:rsidRPr="0014116C">
        <w:rPr>
          <w:b/>
          <w:bCs/>
          <w:lang w:val="en-US"/>
        </w:rPr>
        <w:t>Observation</w:t>
      </w:r>
      <w:r w:rsidR="00003F91">
        <w:rPr>
          <w:b/>
          <w:bCs/>
          <w:lang w:val="en-US"/>
        </w:rPr>
        <w:t xml:space="preserve"> 6</w:t>
      </w:r>
      <w:r w:rsidRPr="0014116C">
        <w:rPr>
          <w:b/>
          <w:bCs/>
          <w:lang w:val="en-US"/>
        </w:rPr>
        <w:t>: Every parameter of</w:t>
      </w:r>
      <w:r w:rsidR="005F74F1">
        <w:rPr>
          <w:b/>
          <w:bCs/>
          <w:lang w:val="en-US"/>
        </w:rPr>
        <w:t xml:space="preserve"> UE-side</w:t>
      </w:r>
      <w:r w:rsidRPr="0014116C">
        <w:rPr>
          <w:b/>
          <w:bCs/>
          <w:lang w:val="en-US"/>
        </w:rPr>
        <w:t xml:space="preserve"> candidate data collection configurations exists in </w:t>
      </w:r>
      <w:r w:rsidRPr="0014116C">
        <w:rPr>
          <w:b/>
          <w:bCs/>
          <w:i/>
          <w:iCs/>
          <w:lang w:val="en-US"/>
        </w:rPr>
        <w:t>CSI-ReportConfig</w:t>
      </w:r>
      <w:r w:rsidRPr="0014116C">
        <w:rPr>
          <w:b/>
          <w:bCs/>
          <w:lang w:val="en-US"/>
        </w:rPr>
        <w:t>.</w:t>
      </w:r>
    </w:p>
    <w:p w14:paraId="18CC4EE6" w14:textId="3E69157E" w:rsidR="0014116C" w:rsidRDefault="00ED2703" w:rsidP="001C229F">
      <w:r>
        <w:rPr>
          <w:lang w:val="en-US"/>
        </w:rPr>
        <w:t xml:space="preserve">Therefore, using the same reasoning as was used to reuse </w:t>
      </w:r>
      <w:r>
        <w:rPr>
          <w:i/>
          <w:iCs/>
          <w:lang w:val="en-US"/>
        </w:rPr>
        <w:t>CSI-ReportConfig</w:t>
      </w:r>
      <w:r>
        <w:t xml:space="preserve"> as the configuration IE for sets of inference-related parameters, we can propose to use </w:t>
      </w:r>
      <w:r>
        <w:rPr>
          <w:i/>
          <w:iCs/>
        </w:rPr>
        <w:t>CSI-ReportConfig</w:t>
      </w:r>
      <w:r>
        <w:t xml:space="preserve"> as the container to configure the UE with </w:t>
      </w:r>
      <w:r w:rsidR="0016361F">
        <w:t>candidate data collection configurations.</w:t>
      </w:r>
    </w:p>
    <w:p w14:paraId="13FBF250" w14:textId="76BD536A" w:rsidR="0016361F" w:rsidRPr="00AB3FAE" w:rsidRDefault="0016361F" w:rsidP="0016361F">
      <w:pPr>
        <w:rPr>
          <w:b/>
          <w:bCs/>
          <w:iCs/>
          <w:lang w:val="en-US"/>
        </w:rPr>
      </w:pPr>
      <w:r w:rsidRPr="00AB3FAE">
        <w:rPr>
          <w:b/>
          <w:bCs/>
          <w:iCs/>
          <w:lang w:val="en-US"/>
        </w:rPr>
        <w:t>Proposal</w:t>
      </w:r>
      <w:r w:rsidR="00003F91">
        <w:rPr>
          <w:b/>
          <w:bCs/>
          <w:iCs/>
          <w:lang w:val="en-US"/>
        </w:rPr>
        <w:t xml:space="preserve"> 2</w:t>
      </w:r>
      <w:r w:rsidRPr="00AB3FAE">
        <w:rPr>
          <w:b/>
          <w:bCs/>
          <w:iCs/>
          <w:lang w:val="en-US"/>
        </w:rPr>
        <w:t xml:space="preserve">: Use </w:t>
      </w:r>
      <w:r w:rsidRPr="00AB3FAE">
        <w:rPr>
          <w:b/>
          <w:bCs/>
          <w:i/>
          <w:lang w:val="en-US"/>
        </w:rPr>
        <w:t>CSI-ReportConfig</w:t>
      </w:r>
      <w:r w:rsidRPr="00AB3FAE">
        <w:rPr>
          <w:b/>
          <w:bCs/>
          <w:iCs/>
          <w:lang w:val="en-US"/>
        </w:rPr>
        <w:t xml:space="preserve"> as the IE to configure the UE with </w:t>
      </w:r>
      <w:r>
        <w:rPr>
          <w:b/>
          <w:bCs/>
          <w:iCs/>
          <w:lang w:val="en-US"/>
        </w:rPr>
        <w:t>UE-side candidate data collection configurations</w:t>
      </w:r>
      <w:r w:rsidRPr="00AB3FAE">
        <w:rPr>
          <w:b/>
          <w:bCs/>
          <w:iCs/>
          <w:lang w:val="en-US"/>
        </w:rPr>
        <w:t xml:space="preserve">, each </w:t>
      </w:r>
      <w:r w:rsidRPr="00AB3FAE">
        <w:rPr>
          <w:b/>
          <w:bCs/>
          <w:i/>
          <w:lang w:val="en-US"/>
        </w:rPr>
        <w:t>CSI-ReportConfig</w:t>
      </w:r>
      <w:r w:rsidRPr="00AB3FAE">
        <w:rPr>
          <w:b/>
          <w:bCs/>
          <w:iCs/>
          <w:lang w:val="en-US"/>
        </w:rPr>
        <w:t xml:space="preserve"> representing one </w:t>
      </w:r>
      <w:r>
        <w:rPr>
          <w:b/>
          <w:bCs/>
          <w:iCs/>
          <w:lang w:val="en-US"/>
        </w:rPr>
        <w:t>UE-side candidate data collection configuration</w:t>
      </w:r>
      <w:r w:rsidRPr="00AB3FAE">
        <w:rPr>
          <w:b/>
          <w:bCs/>
          <w:iCs/>
          <w:lang w:val="en-US"/>
        </w:rPr>
        <w:t>.</w:t>
      </w:r>
    </w:p>
    <w:p w14:paraId="6F3A84D5" w14:textId="52FF4F13" w:rsidR="001C229F" w:rsidRDefault="001C229F" w:rsidP="001C229F">
      <w:pPr>
        <w:pStyle w:val="Heading2"/>
      </w:pPr>
      <w:r>
        <w:t>2.2</w:t>
      </w:r>
      <w:r>
        <w:tab/>
        <w:t>Universal procedure for configuring and reporting applicability</w:t>
      </w:r>
      <w:r w:rsidR="00B868C5">
        <w:t xml:space="preserve">, including </w:t>
      </w:r>
      <w:r>
        <w:t xml:space="preserve">sets of inference-related </w:t>
      </w:r>
      <w:r w:rsidR="00B868C5">
        <w:t>para</w:t>
      </w:r>
      <w:r>
        <w:t>meters</w:t>
      </w:r>
    </w:p>
    <w:p w14:paraId="1C489858" w14:textId="409E4365" w:rsidR="005F2A90" w:rsidRDefault="0093287D" w:rsidP="001C229F">
      <w:r>
        <w:t>During RAN2#130</w:t>
      </w:r>
      <w:r w:rsidR="00A63116">
        <w:t xml:space="preserve"> [4]</w:t>
      </w:r>
      <w:r>
        <w:t>, the following agreements were reached pertaining to applicability reporting.</w:t>
      </w:r>
      <w:r w:rsidR="00ED1312">
        <w:t xml:space="preserve"> The agreements </w:t>
      </w:r>
      <w:r w:rsidR="0086048C">
        <w:t>suggest unifying the behavior for</w:t>
      </w:r>
      <w:r w:rsidR="00067874">
        <w:t xml:space="preserve"> Option A – applicability determination based on full inference configuration and Option B – applicability determination based on a set of inference-related parameters</w:t>
      </w:r>
      <w:r w:rsidR="005F2A90">
        <w:t xml:space="preserve"> for the following functions.</w:t>
      </w:r>
    </w:p>
    <w:p w14:paraId="10F62840" w14:textId="32D2102B" w:rsidR="001C229F" w:rsidRDefault="005F2A90" w:rsidP="005F2A90">
      <w:pPr>
        <w:pStyle w:val="ListParagraph"/>
        <w:numPr>
          <w:ilvl w:val="0"/>
          <w:numId w:val="19"/>
        </w:numPr>
      </w:pPr>
      <w:r>
        <w:t>Enabling and disabling applicability reporting through UAI</w:t>
      </w:r>
    </w:p>
    <w:p w14:paraId="3C012408" w14:textId="0187D050" w:rsidR="005F2A90" w:rsidRDefault="00D95FEA" w:rsidP="005F2A90">
      <w:pPr>
        <w:pStyle w:val="ListParagraph"/>
        <w:numPr>
          <w:ilvl w:val="0"/>
          <w:numId w:val="19"/>
        </w:numPr>
      </w:pPr>
      <w:r>
        <w:t xml:space="preserve">Reporting applicability in </w:t>
      </w:r>
      <w:r>
        <w:rPr>
          <w:i/>
          <w:iCs/>
        </w:rPr>
        <w:t>RRCReconfigurationComplete</w:t>
      </w:r>
      <w:r>
        <w:t xml:space="preserve"> and UAI</w:t>
      </w:r>
    </w:p>
    <w:p w14:paraId="434F581F" w14:textId="0FCB6CFF" w:rsidR="00D95FEA" w:rsidRDefault="003367B2" w:rsidP="005F2A90">
      <w:pPr>
        <w:pStyle w:val="ListParagraph"/>
        <w:numPr>
          <w:ilvl w:val="0"/>
          <w:numId w:val="19"/>
        </w:numPr>
      </w:pPr>
      <w:r>
        <w:t xml:space="preserve">Configuring Option A and Option B simultaneously in the same </w:t>
      </w:r>
      <w:r>
        <w:rPr>
          <w:i/>
          <w:iCs/>
        </w:rPr>
        <w:t>RRCReconfiguration</w:t>
      </w:r>
      <w:r>
        <w:t xml:space="preserve"> message</w:t>
      </w:r>
    </w:p>
    <w:p w14:paraId="00FC0EBE" w14:textId="77777777" w:rsidR="003367B2" w:rsidRDefault="003367B2" w:rsidP="003367B2">
      <w:pPr>
        <w:pStyle w:val="ListParagraph"/>
        <w:ind w:left="360"/>
      </w:pPr>
    </w:p>
    <w:p w14:paraId="4AE236A6" w14:textId="78AF87DD" w:rsidR="009912A2" w:rsidRDefault="009912A2" w:rsidP="003367B2">
      <w:pPr>
        <w:pStyle w:val="ListParagraph"/>
        <w:numPr>
          <w:ilvl w:val="0"/>
          <w:numId w:val="19"/>
        </w:numPr>
        <w:pBdr>
          <w:top w:val="single" w:sz="4" w:space="1" w:color="auto"/>
          <w:left w:val="single" w:sz="4" w:space="4" w:color="auto"/>
          <w:bottom w:val="single" w:sz="4" w:space="1" w:color="auto"/>
          <w:right w:val="single" w:sz="4" w:space="4" w:color="auto"/>
        </w:pBdr>
      </w:pPr>
      <w:r w:rsidRPr="009912A2">
        <w:t>Introduce a flag in OtherConfig indicating whether applicability reporting via UAI is enabled or disabled.  Assume this applies to Option A and B, FFS if anything different needs to be done for option B (if specified)</w:t>
      </w:r>
    </w:p>
    <w:p w14:paraId="748A42D3" w14:textId="149FA0A3" w:rsidR="003C7385" w:rsidRDefault="003C7385" w:rsidP="003367B2">
      <w:pPr>
        <w:pStyle w:val="ListParagraph"/>
        <w:numPr>
          <w:ilvl w:val="0"/>
          <w:numId w:val="19"/>
        </w:numPr>
        <w:pBdr>
          <w:top w:val="single" w:sz="4" w:space="1" w:color="auto"/>
          <w:left w:val="single" w:sz="4" w:space="4" w:color="auto"/>
          <w:bottom w:val="single" w:sz="4" w:space="1" w:color="auto"/>
          <w:right w:val="single" w:sz="4" w:space="4" w:color="auto"/>
        </w:pBdr>
      </w:pPr>
      <w:r w:rsidRPr="003C7385">
        <w:t>(RRC 7) RAN2 assumes applicability report for Option B (sets of inference related parameters) can be included in both RRCReconfigurationComplete and UAI (i.e., same as Option A). This can be revisited based on RAN1 conclusions/final signaling design.</w:t>
      </w:r>
    </w:p>
    <w:p w14:paraId="052E8647" w14:textId="7B1F8B4F" w:rsidR="00ED1312" w:rsidRDefault="00ED1312" w:rsidP="003367B2">
      <w:pPr>
        <w:pStyle w:val="ListParagraph"/>
        <w:numPr>
          <w:ilvl w:val="0"/>
          <w:numId w:val="19"/>
        </w:numPr>
        <w:pBdr>
          <w:top w:val="single" w:sz="4" w:space="1" w:color="auto"/>
          <w:left w:val="single" w:sz="4" w:space="4" w:color="auto"/>
          <w:bottom w:val="single" w:sz="4" w:space="1" w:color="auto"/>
          <w:right w:val="single" w:sz="4" w:space="4" w:color="auto"/>
        </w:pBdr>
      </w:pPr>
      <w:r w:rsidRPr="00ED1312">
        <w:t>(RRC8) RAN2 confirm that option A and option B can be configured in the same RRCReconfiguration message with the unified applicability report procedure.</w:t>
      </w:r>
    </w:p>
    <w:p w14:paraId="4A4F2137" w14:textId="1592DC40" w:rsidR="00B71667" w:rsidRDefault="00E80DEA" w:rsidP="005061B7">
      <w:r>
        <w:t xml:space="preserve">Taking the </w:t>
      </w:r>
      <w:r w:rsidR="00AD4ACF">
        <w:t>identified functions, we will analyse the impact to the specification.</w:t>
      </w:r>
    </w:p>
    <w:p w14:paraId="4611800A" w14:textId="20874C2D" w:rsidR="00AD4ACF" w:rsidRDefault="00AD4ACF" w:rsidP="008D3904">
      <w:pPr>
        <w:pStyle w:val="ListParagraph"/>
        <w:numPr>
          <w:ilvl w:val="0"/>
          <w:numId w:val="19"/>
        </w:numPr>
      </w:pPr>
      <w:r>
        <w:t xml:space="preserve">Enabling and disabling applicability reporting through UAI – </w:t>
      </w:r>
      <w:r w:rsidR="008D3904">
        <w:t>Only</w:t>
      </w:r>
      <w:r>
        <w:t xml:space="preserve"> a single f</w:t>
      </w:r>
      <w:r w:rsidR="008D3904">
        <w:t>lag will be used</w:t>
      </w:r>
      <w:r w:rsidR="0073658B">
        <w:t xml:space="preserve"> in </w:t>
      </w:r>
      <w:r w:rsidR="0073658B">
        <w:rPr>
          <w:i/>
          <w:iCs/>
        </w:rPr>
        <w:t>OtherConfig</w:t>
      </w:r>
      <w:r w:rsidR="0073658B">
        <w:t>, applying to both Option A and Option B.</w:t>
      </w:r>
    </w:p>
    <w:p w14:paraId="40F21794" w14:textId="40D27F45" w:rsidR="008D3904" w:rsidRDefault="008D3904" w:rsidP="008D3904">
      <w:pPr>
        <w:pStyle w:val="ListParagraph"/>
        <w:numPr>
          <w:ilvl w:val="0"/>
          <w:numId w:val="19"/>
        </w:numPr>
      </w:pPr>
      <w:r>
        <w:t xml:space="preserve">Reporting applicability in </w:t>
      </w:r>
      <w:r>
        <w:rPr>
          <w:i/>
          <w:iCs/>
        </w:rPr>
        <w:t>RRCReconfigurationComplete</w:t>
      </w:r>
      <w:r>
        <w:t xml:space="preserve"> and UAI </w:t>
      </w:r>
      <w:r w:rsidR="00AB3665">
        <w:t>–</w:t>
      </w:r>
      <w:r>
        <w:t xml:space="preserve"> </w:t>
      </w:r>
      <w:r w:rsidR="00AB3665">
        <w:t>A single applicability report IE will be defined</w:t>
      </w:r>
      <w:r w:rsidR="00495A15">
        <w:t>, supporting reporting on Option A and Option B</w:t>
      </w:r>
      <w:r w:rsidR="00A94DEB">
        <w:t xml:space="preserve"> across all use cases.</w:t>
      </w:r>
    </w:p>
    <w:p w14:paraId="088EF8A9" w14:textId="169FFFCA" w:rsidR="00495A15" w:rsidRDefault="00495A15" w:rsidP="008D3904">
      <w:pPr>
        <w:pStyle w:val="ListParagraph"/>
        <w:numPr>
          <w:ilvl w:val="0"/>
          <w:numId w:val="19"/>
        </w:numPr>
      </w:pPr>
      <w:r>
        <w:t xml:space="preserve">Configuration Option A and Option B simultaneously in the same </w:t>
      </w:r>
      <w:r>
        <w:rPr>
          <w:i/>
          <w:iCs/>
        </w:rPr>
        <w:t>RRCReconfiguration</w:t>
      </w:r>
      <w:r>
        <w:t xml:space="preserve"> message </w:t>
      </w:r>
      <w:r w:rsidR="00944D7C">
        <w:t>–</w:t>
      </w:r>
      <w:r>
        <w:t xml:space="preserve"> </w:t>
      </w:r>
      <w:r w:rsidR="00944D7C">
        <w:t xml:space="preserve">An Option A configuration, such as a </w:t>
      </w:r>
      <w:r w:rsidR="00944D7C">
        <w:rPr>
          <w:i/>
          <w:iCs/>
        </w:rPr>
        <w:t>CSI-ReportConfig</w:t>
      </w:r>
      <w:r w:rsidR="00944D7C">
        <w:t xml:space="preserve"> </w:t>
      </w:r>
      <w:r w:rsidR="00FF3BBB">
        <w:t xml:space="preserve">would be </w:t>
      </w:r>
      <w:r w:rsidR="00944D7C">
        <w:t xml:space="preserve">provided in </w:t>
      </w:r>
      <w:r w:rsidR="00944D7C">
        <w:rPr>
          <w:i/>
          <w:iCs/>
        </w:rPr>
        <w:t>CSI-MeasConfig-&gt;csi-ReportConfigToAddModList</w:t>
      </w:r>
      <w:r w:rsidR="00944D7C">
        <w:t xml:space="preserve"> and an Option B configuration</w:t>
      </w:r>
      <w:r w:rsidR="00FF3BBB">
        <w:t xml:space="preserve">, reusing the </w:t>
      </w:r>
      <w:r w:rsidR="00FF3BBB">
        <w:rPr>
          <w:i/>
          <w:iCs/>
        </w:rPr>
        <w:t>CSI-ReportConfig</w:t>
      </w:r>
      <w:r w:rsidR="00FF3BBB">
        <w:t xml:space="preserve"> IE would be provided in </w:t>
      </w:r>
      <w:r w:rsidR="00173B3E">
        <w:t xml:space="preserve">a list of sets of inference-related parameters in </w:t>
      </w:r>
      <w:r w:rsidR="00173B3E">
        <w:rPr>
          <w:i/>
          <w:iCs/>
        </w:rPr>
        <w:t>OtherConfig-v19</w:t>
      </w:r>
      <w:r w:rsidR="002223F0">
        <w:rPr>
          <w:i/>
          <w:iCs/>
        </w:rPr>
        <w:t>-&gt;applicabilityReportConfig-r19</w:t>
      </w:r>
      <w:r w:rsidR="002223F0">
        <w:t xml:space="preserve"> in the same </w:t>
      </w:r>
      <w:r w:rsidR="002223F0">
        <w:rPr>
          <w:i/>
          <w:iCs/>
        </w:rPr>
        <w:t xml:space="preserve">RRCReconfiguration </w:t>
      </w:r>
      <w:r w:rsidR="002223F0">
        <w:t>message.</w:t>
      </w:r>
    </w:p>
    <w:p w14:paraId="6AF9E1E2" w14:textId="0EAA7D44" w:rsidR="001B0E99" w:rsidRDefault="00682408" w:rsidP="001B0E99">
      <w:r>
        <w:t xml:space="preserve">First, we will discuss how to </w:t>
      </w:r>
      <w:r w:rsidR="00EA2581">
        <w:t>unify the configuration of sets of inference-related parameters regardless of use case.</w:t>
      </w:r>
    </w:p>
    <w:p w14:paraId="7E49FC95" w14:textId="6033F0DD" w:rsidR="00760717" w:rsidRPr="00DD69C6" w:rsidRDefault="00760717" w:rsidP="00760717">
      <w:pPr>
        <w:rPr>
          <w:iCs/>
        </w:rPr>
      </w:pPr>
      <w:r>
        <w:rPr>
          <w:iCs/>
        </w:rPr>
        <w:t xml:space="preserve">The </w:t>
      </w:r>
      <w:r>
        <w:rPr>
          <w:i/>
        </w:rPr>
        <w:t>applicabliityReportConfig-r19</w:t>
      </w:r>
      <w:r w:rsidR="00535BFE">
        <w:rPr>
          <w:iCs/>
        </w:rPr>
        <w:t>, shown below,</w:t>
      </w:r>
      <w:r>
        <w:rPr>
          <w:iCs/>
        </w:rPr>
        <w:t xml:space="preserve"> will include two main fields: one field enabling or disabling applicability reporting, and a second including configurations of inference-related parameters, which can be provided for supported use cases. </w:t>
      </w:r>
      <w:r w:rsidR="0007508C">
        <w:rPr>
          <w:iCs/>
        </w:rPr>
        <w:t>We</w:t>
      </w:r>
      <w:r>
        <w:rPr>
          <w:iCs/>
        </w:rPr>
        <w:t xml:space="preserve"> </w:t>
      </w:r>
      <w:r w:rsidR="0007508C">
        <w:rPr>
          <w:iCs/>
        </w:rPr>
        <w:t>s</w:t>
      </w:r>
      <w:r>
        <w:rPr>
          <w:iCs/>
        </w:rPr>
        <w:t>how the addition of the list of sets of inference-related parameters.</w:t>
      </w:r>
    </w:p>
    <w:p w14:paraId="776BE473" w14:textId="77777777" w:rsidR="00760717" w:rsidRPr="00602E1E" w:rsidRDefault="00760717" w:rsidP="007607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602E1E">
        <w:rPr>
          <w:rFonts w:ascii="Courier New" w:hAnsi="Courier New"/>
          <w:noProof/>
          <w:sz w:val="16"/>
          <w:lang w:val="en-US" w:eastAsia="en-GB"/>
        </w:rPr>
        <w:t xml:space="preserve">ApplicabilityReportConfig-r19 ::=                   </w:t>
      </w:r>
      <w:r w:rsidRPr="00235DDC">
        <w:rPr>
          <w:rFonts w:ascii="Courier New" w:hAnsi="Courier New"/>
          <w:noProof/>
          <w:color w:val="993366"/>
          <w:sz w:val="16"/>
          <w:lang w:eastAsia="en-GB"/>
        </w:rPr>
        <w:t>SEQUENCE</w:t>
      </w:r>
      <w:r w:rsidRPr="00602E1E">
        <w:rPr>
          <w:rFonts w:ascii="Courier New" w:hAnsi="Courier New"/>
          <w:noProof/>
          <w:sz w:val="16"/>
          <w:lang w:val="en-US" w:eastAsia="en-GB"/>
        </w:rPr>
        <w:t xml:space="preserve"> {</w:t>
      </w:r>
    </w:p>
    <w:p w14:paraId="01280798" w14:textId="55C2F86E" w:rsidR="00760717" w:rsidRPr="00602E1E" w:rsidRDefault="00760717" w:rsidP="007607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602E1E">
        <w:rPr>
          <w:rFonts w:ascii="Courier New" w:hAnsi="Courier New"/>
          <w:noProof/>
          <w:sz w:val="16"/>
          <w:lang w:val="en-US" w:eastAsia="en-GB"/>
        </w:rPr>
        <w:t> </w:t>
      </w:r>
      <w:r>
        <w:rPr>
          <w:rFonts w:ascii="Courier New" w:hAnsi="Courier New"/>
          <w:noProof/>
          <w:sz w:val="16"/>
          <w:lang w:val="en-US" w:eastAsia="en-GB"/>
        </w:rPr>
        <w:t xml:space="preserve"> </w:t>
      </w:r>
      <w:r w:rsidR="00AC71EC">
        <w:rPr>
          <w:rFonts w:ascii="Courier New" w:hAnsi="Courier New"/>
          <w:noProof/>
          <w:sz w:val="16"/>
          <w:lang w:val="en-US" w:eastAsia="en-GB"/>
        </w:rPr>
        <w:t>applicabilityReportingEnabled</w:t>
      </w:r>
      <w:r w:rsidR="0007508C">
        <w:rPr>
          <w:rFonts w:ascii="Courier New" w:hAnsi="Courier New"/>
          <w:noProof/>
          <w:sz w:val="16"/>
          <w:lang w:val="en-US" w:eastAsia="en-GB"/>
        </w:rPr>
        <w:t xml:space="preserve">   </w:t>
      </w:r>
      <w:r w:rsidR="00003F91">
        <w:rPr>
          <w:rFonts w:ascii="Courier New" w:hAnsi="Courier New"/>
          <w:noProof/>
          <w:color w:val="993366"/>
          <w:sz w:val="16"/>
          <w:lang w:eastAsia="en-GB"/>
        </w:rPr>
        <w:t xml:space="preserve">ENUMERATED </w:t>
      </w:r>
      <w:r w:rsidR="00003F91" w:rsidRPr="00003F91">
        <w:rPr>
          <w:rFonts w:ascii="Courier New" w:hAnsi="Courier New"/>
          <w:noProof/>
          <w:color w:val="000000" w:themeColor="text1"/>
          <w:sz w:val="16"/>
          <w:lang w:eastAsia="en-GB"/>
        </w:rPr>
        <w:t>{enabled, disabled}</w:t>
      </w:r>
      <w:r w:rsidRPr="00602E1E">
        <w:rPr>
          <w:rFonts w:ascii="Courier New" w:hAnsi="Courier New"/>
          <w:noProof/>
          <w:sz w:val="16"/>
          <w:lang w:val="en-US" w:eastAsia="en-GB"/>
        </w:rPr>
        <w:t>,</w:t>
      </w:r>
    </w:p>
    <w:p w14:paraId="77B7F069" w14:textId="651E70FF" w:rsidR="00760717" w:rsidRPr="00602E1E" w:rsidRDefault="00760717" w:rsidP="007607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602E1E">
        <w:rPr>
          <w:rFonts w:ascii="Courier New" w:hAnsi="Courier New"/>
          <w:noProof/>
          <w:sz w:val="16"/>
          <w:lang w:val="en-US" w:eastAsia="en-GB"/>
        </w:rPr>
        <w:t>  inferenceRelatedSetList-r19</w:t>
      </w:r>
      <w:r>
        <w:rPr>
          <w:rFonts w:ascii="Courier New" w:hAnsi="Courier New"/>
          <w:noProof/>
          <w:sz w:val="16"/>
          <w:lang w:val="en-US" w:eastAsia="en-GB"/>
        </w:rPr>
        <w:t xml:space="preserve"> </w:t>
      </w:r>
      <w:r w:rsidR="0007508C">
        <w:rPr>
          <w:rFonts w:ascii="Courier New" w:hAnsi="Courier New"/>
          <w:noProof/>
          <w:sz w:val="16"/>
          <w:lang w:val="en-US" w:eastAsia="en-GB"/>
        </w:rPr>
        <w:t xml:space="preserve">    </w:t>
      </w:r>
      <w:r w:rsidRPr="00235DDC">
        <w:rPr>
          <w:rFonts w:ascii="Courier New" w:hAnsi="Courier New"/>
          <w:noProof/>
          <w:color w:val="993366"/>
          <w:sz w:val="16"/>
          <w:lang w:eastAsia="en-GB"/>
        </w:rPr>
        <w:t>SEQUENCE</w:t>
      </w:r>
      <w:r>
        <w:rPr>
          <w:rFonts w:ascii="Courier New" w:hAnsi="Courier New"/>
          <w:noProof/>
          <w:color w:val="993366"/>
          <w:sz w:val="16"/>
          <w:lang w:eastAsia="en-GB"/>
        </w:rPr>
        <w:t xml:space="preserve"> </w:t>
      </w:r>
      <w:r w:rsidRPr="00602E1E">
        <w:rPr>
          <w:rFonts w:ascii="Courier New" w:hAnsi="Courier New"/>
          <w:noProof/>
          <w:sz w:val="16"/>
          <w:lang w:val="en-US" w:eastAsia="en-GB"/>
        </w:rPr>
        <w:t>(</w:t>
      </w:r>
      <w:r w:rsidRPr="00235DDC">
        <w:rPr>
          <w:rFonts w:ascii="Courier New" w:hAnsi="Courier New"/>
          <w:noProof/>
          <w:color w:val="993366"/>
          <w:sz w:val="16"/>
          <w:lang w:eastAsia="en-GB"/>
        </w:rPr>
        <w:t>S</w:t>
      </w:r>
      <w:r>
        <w:rPr>
          <w:rFonts w:ascii="Courier New" w:hAnsi="Courier New"/>
          <w:noProof/>
          <w:color w:val="993366"/>
          <w:sz w:val="16"/>
          <w:lang w:eastAsia="en-GB"/>
        </w:rPr>
        <w:t>IZE</w:t>
      </w:r>
      <w:r w:rsidRPr="00602E1E">
        <w:rPr>
          <w:rFonts w:ascii="Courier New" w:hAnsi="Courier New"/>
          <w:noProof/>
          <w:sz w:val="16"/>
          <w:lang w:val="en-US" w:eastAsia="en-GB"/>
        </w:rPr>
        <w:t>(1..maxNrofInferenceRelatedSets)) OF InferenceRelatedSet</w:t>
      </w:r>
      <w:r w:rsidR="002D4934">
        <w:rPr>
          <w:rFonts w:ascii="Courier New" w:hAnsi="Courier New"/>
          <w:noProof/>
          <w:sz w:val="16"/>
          <w:lang w:val="en-US" w:eastAsia="en-GB"/>
        </w:rPr>
        <w:t>-r19</w:t>
      </w:r>
      <w:r>
        <w:rPr>
          <w:rFonts w:ascii="Courier New" w:hAnsi="Courier New"/>
          <w:noProof/>
          <w:sz w:val="16"/>
          <w:lang w:val="en-US" w:eastAsia="en-GB"/>
        </w:rPr>
        <w:t xml:space="preserve"> </w:t>
      </w:r>
      <w:r w:rsidRPr="004E3EE4">
        <w:rPr>
          <w:rFonts w:ascii="Courier New" w:hAnsi="Courier New"/>
          <w:noProof/>
          <w:color w:val="993366"/>
          <w:sz w:val="16"/>
          <w:lang w:val="en-US" w:eastAsia="en-GB"/>
        </w:rPr>
        <w:t>OPTIONAL</w:t>
      </w:r>
    </w:p>
    <w:p w14:paraId="668EF410" w14:textId="77777777" w:rsidR="00760717" w:rsidRPr="004E3EE4" w:rsidRDefault="00760717" w:rsidP="007607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602E1E">
        <w:rPr>
          <w:rFonts w:ascii="Courier New" w:hAnsi="Courier New"/>
          <w:noProof/>
          <w:sz w:val="16"/>
          <w:lang w:val="en-US" w:eastAsia="en-GB"/>
        </w:rPr>
        <w:t>}</w:t>
      </w:r>
    </w:p>
    <w:p w14:paraId="1CB51332" w14:textId="77777777" w:rsidR="00EA2581" w:rsidRDefault="00EA2581" w:rsidP="00A55701">
      <w:pPr>
        <w:spacing w:after="0"/>
      </w:pPr>
    </w:p>
    <w:p w14:paraId="393E9EF4" w14:textId="77777777" w:rsidR="000C169E" w:rsidRDefault="000C169E" w:rsidP="001B0E99">
      <w:r w:rsidRPr="000C169E">
        <w:t>Using a high-level container for sets of inference-related parameters, i.e., InferenceRelatedSet-r19, a single procedure can be defined to report applicability based on inference-related parameters for all current and future use cases and would reuse the same set of IDs identifying sets of inference-related parameters.</w:t>
      </w:r>
    </w:p>
    <w:p w14:paraId="130AD405" w14:textId="582D2B21" w:rsidR="001B0E99" w:rsidRDefault="00984BAD" w:rsidP="001B0E99">
      <w:pPr>
        <w:rPr>
          <w:b/>
          <w:bCs/>
        </w:rPr>
      </w:pPr>
      <w:r w:rsidRPr="00102E02">
        <w:rPr>
          <w:b/>
          <w:bCs/>
        </w:rPr>
        <w:t>Observation</w:t>
      </w:r>
      <w:r w:rsidR="00003F91">
        <w:rPr>
          <w:b/>
          <w:bCs/>
        </w:rPr>
        <w:t xml:space="preserve"> 7</w:t>
      </w:r>
      <w:r w:rsidRPr="00102E02">
        <w:rPr>
          <w:b/>
          <w:bCs/>
        </w:rPr>
        <w:t xml:space="preserve">: </w:t>
      </w:r>
      <w:r w:rsidR="002B7D4E">
        <w:rPr>
          <w:b/>
          <w:bCs/>
        </w:rPr>
        <w:t>Using a</w:t>
      </w:r>
      <w:r w:rsidRPr="00102E02">
        <w:rPr>
          <w:b/>
          <w:bCs/>
        </w:rPr>
        <w:t xml:space="preserve"> high-level container for sets of inference-related parameters, i.e., </w:t>
      </w:r>
      <w:r w:rsidRPr="00102E02">
        <w:rPr>
          <w:b/>
          <w:bCs/>
          <w:i/>
          <w:iCs/>
        </w:rPr>
        <w:t>InferenceRelatedSet-r19</w:t>
      </w:r>
      <w:r w:rsidRPr="00102E02">
        <w:rPr>
          <w:b/>
          <w:bCs/>
        </w:rPr>
        <w:t xml:space="preserve">, </w:t>
      </w:r>
      <w:r w:rsidR="00125531" w:rsidRPr="00102E02">
        <w:rPr>
          <w:b/>
          <w:bCs/>
        </w:rPr>
        <w:t>a single procedure can be defined to report applicability based on inference-related parameters for all</w:t>
      </w:r>
      <w:r w:rsidR="002B7D4E">
        <w:rPr>
          <w:b/>
          <w:bCs/>
        </w:rPr>
        <w:t xml:space="preserve"> current and</w:t>
      </w:r>
      <w:r w:rsidR="00125531" w:rsidRPr="00102E02">
        <w:rPr>
          <w:b/>
          <w:bCs/>
        </w:rPr>
        <w:t xml:space="preserve"> future use cases</w:t>
      </w:r>
      <w:r w:rsidR="002D4934" w:rsidRPr="00102E02">
        <w:rPr>
          <w:b/>
          <w:bCs/>
        </w:rPr>
        <w:t xml:space="preserve"> </w:t>
      </w:r>
      <w:r w:rsidR="00102E02" w:rsidRPr="00102E02">
        <w:rPr>
          <w:b/>
          <w:bCs/>
        </w:rPr>
        <w:t>and would reuse the same set of IDs identifying sets of inference-related parameters.</w:t>
      </w:r>
    </w:p>
    <w:p w14:paraId="32B7B29A" w14:textId="4F352E0D" w:rsidR="00AD1BEB" w:rsidRPr="00525B66" w:rsidRDefault="00535BFE" w:rsidP="001B0E99">
      <w:r>
        <w:t xml:space="preserve">The </w:t>
      </w:r>
      <w:r>
        <w:rPr>
          <w:i/>
          <w:iCs/>
        </w:rPr>
        <w:t>InferenceRelatedSet-r19</w:t>
      </w:r>
      <w:r>
        <w:t xml:space="preserve">, shown below, </w:t>
      </w:r>
      <w:r w:rsidR="00BD0FEA">
        <w:t xml:space="preserve">includes an </w:t>
      </w:r>
      <w:r w:rsidR="00BD0FEA">
        <w:rPr>
          <w:i/>
          <w:iCs/>
        </w:rPr>
        <w:t>inferenceRelatedSetId-r19</w:t>
      </w:r>
      <w:r w:rsidR="00BD0FEA">
        <w:t xml:space="preserve">, which will be referred to in </w:t>
      </w:r>
      <w:r w:rsidR="00324642">
        <w:t xml:space="preserve">the eventual applicability report. The </w:t>
      </w:r>
      <w:r w:rsidR="00324642">
        <w:rPr>
          <w:i/>
          <w:iCs/>
        </w:rPr>
        <w:t>inferenceRelatedSetConfig-r19</w:t>
      </w:r>
      <w:r w:rsidR="00324642">
        <w:t xml:space="preserve"> is a CHOICE </w:t>
      </w:r>
      <w:r w:rsidR="00A453EE">
        <w:t xml:space="preserve">wherein different configuration types can be provided by the gNB. In this example, we only have </w:t>
      </w:r>
      <w:r w:rsidR="00A453EE">
        <w:rPr>
          <w:i/>
          <w:iCs/>
        </w:rPr>
        <w:t>CSI-ReportConfig</w:t>
      </w:r>
      <w:r w:rsidR="00A453EE">
        <w:t xml:space="preserve"> since </w:t>
      </w:r>
      <w:r w:rsidR="006A2AF4">
        <w:t xml:space="preserve">the only RRC-based Rel-19 use cases are configured with </w:t>
      </w:r>
      <w:r w:rsidR="006A2AF4">
        <w:rPr>
          <w:i/>
          <w:iCs/>
        </w:rPr>
        <w:t>CSI-ReportConfig</w:t>
      </w:r>
      <w:r w:rsidR="006A2AF4">
        <w:t xml:space="preserve">. In the future, there are two potential options for extensibility: </w:t>
      </w:r>
      <w:r w:rsidR="00525B66">
        <w:t xml:space="preserve">include extension markers in </w:t>
      </w:r>
      <w:r w:rsidR="00525B66">
        <w:rPr>
          <w:i/>
          <w:iCs/>
        </w:rPr>
        <w:t>inferenceRelatedSetConfig-r19</w:t>
      </w:r>
      <w:r w:rsidR="00525B66">
        <w:t xml:space="preserve"> or include extension markers to add new lists in the future, e.g., </w:t>
      </w:r>
      <w:r w:rsidR="00525B66">
        <w:rPr>
          <w:i/>
          <w:iCs/>
        </w:rPr>
        <w:t>inferenceRelatedSetConfig-r20</w:t>
      </w:r>
      <w:r w:rsidR="00525B66">
        <w:t>.</w:t>
      </w:r>
    </w:p>
    <w:p w14:paraId="74552770" w14:textId="77777777" w:rsidR="00535BFE" w:rsidRPr="00F44D81" w:rsidRDefault="00535BFE" w:rsidP="00535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F44D81">
        <w:rPr>
          <w:rFonts w:ascii="Courier New" w:hAnsi="Courier New"/>
          <w:noProof/>
          <w:sz w:val="16"/>
          <w:lang w:val="en-US" w:eastAsia="en-GB"/>
        </w:rPr>
        <w:t xml:space="preserve">InferenceRelatedSet-r19 ::= </w:t>
      </w:r>
      <w:r w:rsidRPr="00235DDC">
        <w:rPr>
          <w:rFonts w:ascii="Courier New" w:hAnsi="Courier New"/>
          <w:noProof/>
          <w:color w:val="993366"/>
          <w:sz w:val="16"/>
          <w:lang w:eastAsia="en-GB"/>
        </w:rPr>
        <w:t>SEQUENCE</w:t>
      </w:r>
      <w:r w:rsidRPr="00F44D81">
        <w:rPr>
          <w:rFonts w:ascii="Courier New" w:hAnsi="Courier New"/>
          <w:noProof/>
          <w:sz w:val="16"/>
          <w:lang w:val="en-US" w:eastAsia="en-GB"/>
        </w:rPr>
        <w:t xml:space="preserve"> {</w:t>
      </w:r>
    </w:p>
    <w:p w14:paraId="01D6F1A5" w14:textId="506E0629" w:rsidR="00535BFE" w:rsidRPr="00F44D81" w:rsidRDefault="00535BFE" w:rsidP="00535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F44D81">
        <w:rPr>
          <w:rFonts w:ascii="Courier New" w:hAnsi="Courier New"/>
          <w:noProof/>
          <w:sz w:val="16"/>
          <w:lang w:val="en-US" w:eastAsia="en-GB"/>
        </w:rPr>
        <w:t>  inferenceRelatedSetId-r19     </w:t>
      </w:r>
      <w:r w:rsidR="00E13D19">
        <w:rPr>
          <w:rFonts w:ascii="Courier New" w:hAnsi="Courier New"/>
          <w:noProof/>
          <w:sz w:val="16"/>
          <w:lang w:val="en-US" w:eastAsia="en-GB"/>
        </w:rPr>
        <w:t>InferenceRelatedSetId-r19</w:t>
      </w:r>
      <w:r w:rsidRPr="00F44D81">
        <w:rPr>
          <w:rFonts w:ascii="Courier New" w:hAnsi="Courier New"/>
          <w:noProof/>
          <w:sz w:val="16"/>
          <w:lang w:val="en-US" w:eastAsia="en-GB"/>
        </w:rPr>
        <w:t>,</w:t>
      </w:r>
    </w:p>
    <w:p w14:paraId="2E010775" w14:textId="77777777" w:rsidR="00535BFE" w:rsidRPr="00F44D81" w:rsidRDefault="00535BFE" w:rsidP="00535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F44D81">
        <w:rPr>
          <w:rFonts w:ascii="Courier New" w:hAnsi="Courier New"/>
          <w:noProof/>
          <w:sz w:val="16"/>
          <w:lang w:val="en-US" w:eastAsia="en-GB"/>
        </w:rPr>
        <w:t>  inferenceRelatedSet</w:t>
      </w:r>
      <w:r>
        <w:rPr>
          <w:rFonts w:ascii="Courier New" w:hAnsi="Courier New"/>
          <w:noProof/>
          <w:sz w:val="16"/>
          <w:lang w:val="en-US" w:eastAsia="en-GB"/>
        </w:rPr>
        <w:t>Config</w:t>
      </w:r>
      <w:r w:rsidRPr="00F44D81">
        <w:rPr>
          <w:rFonts w:ascii="Courier New" w:hAnsi="Courier New"/>
          <w:noProof/>
          <w:sz w:val="16"/>
          <w:lang w:val="en-US" w:eastAsia="en-GB"/>
        </w:rPr>
        <w:t>-r19   </w:t>
      </w:r>
      <w:r w:rsidRPr="004E3EE4">
        <w:rPr>
          <w:rFonts w:ascii="Courier New" w:hAnsi="Courier New"/>
          <w:noProof/>
          <w:color w:val="993366"/>
          <w:sz w:val="16"/>
          <w:lang w:val="en-US" w:eastAsia="en-GB"/>
        </w:rPr>
        <w:t>CHOICE</w:t>
      </w:r>
      <w:r w:rsidRPr="00F44D81">
        <w:rPr>
          <w:rFonts w:ascii="Courier New" w:hAnsi="Courier New"/>
          <w:noProof/>
          <w:sz w:val="16"/>
          <w:lang w:val="en-US" w:eastAsia="en-GB"/>
        </w:rPr>
        <w:t xml:space="preserve"> {</w:t>
      </w:r>
    </w:p>
    <w:p w14:paraId="7887D60A" w14:textId="77777777" w:rsidR="00535BFE" w:rsidRPr="00F44D81" w:rsidRDefault="00535BFE" w:rsidP="00535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F44D81">
        <w:rPr>
          <w:rFonts w:ascii="Courier New" w:hAnsi="Courier New"/>
          <w:noProof/>
          <w:sz w:val="16"/>
          <w:lang w:val="en-US" w:eastAsia="en-GB"/>
        </w:rPr>
        <w:t>    csi-ReportConfig                CSI-ReportConfig</w:t>
      </w:r>
    </w:p>
    <w:p w14:paraId="0E2B39DE" w14:textId="77777777" w:rsidR="00535BFE" w:rsidRPr="00F44D81" w:rsidRDefault="00535BFE" w:rsidP="00535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F44D81">
        <w:rPr>
          <w:rFonts w:ascii="Courier New" w:hAnsi="Courier New"/>
          <w:noProof/>
          <w:sz w:val="16"/>
          <w:lang w:val="en-US" w:eastAsia="en-GB"/>
        </w:rPr>
        <w:t xml:space="preserve">  } </w:t>
      </w:r>
      <w:r w:rsidRPr="004E3EE4">
        <w:rPr>
          <w:rFonts w:ascii="Courier New" w:hAnsi="Courier New"/>
          <w:noProof/>
          <w:color w:val="993366"/>
          <w:sz w:val="16"/>
          <w:lang w:val="en-US" w:eastAsia="en-GB"/>
        </w:rPr>
        <w:t>OPTIONAL</w:t>
      </w:r>
      <w:r w:rsidRPr="00F44D81">
        <w:rPr>
          <w:rFonts w:ascii="Courier New" w:hAnsi="Courier New"/>
          <w:noProof/>
          <w:sz w:val="16"/>
          <w:lang w:val="en-US" w:eastAsia="en-GB"/>
        </w:rPr>
        <w:t>,</w:t>
      </w:r>
    </w:p>
    <w:p w14:paraId="2B57B36B" w14:textId="77777777" w:rsidR="00535BFE" w:rsidRPr="00F44D81" w:rsidRDefault="00535BFE" w:rsidP="00535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F44D81">
        <w:rPr>
          <w:rFonts w:ascii="Courier New" w:hAnsi="Courier New"/>
          <w:noProof/>
          <w:sz w:val="16"/>
          <w:lang w:val="en-US" w:eastAsia="en-GB"/>
        </w:rPr>
        <w:t xml:space="preserve">  -- Optional so that we do not have to write exceptions when we add new types. </w:t>
      </w:r>
    </w:p>
    <w:p w14:paraId="5E8AEB6F" w14:textId="77777777" w:rsidR="00535BFE" w:rsidRPr="00F44D81" w:rsidRDefault="00535BFE" w:rsidP="00535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F44D81">
        <w:rPr>
          <w:rFonts w:ascii="Courier New" w:hAnsi="Courier New"/>
          <w:noProof/>
          <w:sz w:val="16"/>
          <w:lang w:val="en-US" w:eastAsia="en-GB"/>
        </w:rPr>
        <w:t>  -- The field description can indicate that only one version of the IE can be used.</w:t>
      </w:r>
    </w:p>
    <w:p w14:paraId="1276D9D1" w14:textId="77777777" w:rsidR="00535BFE" w:rsidRPr="00F44D81" w:rsidRDefault="00535BFE" w:rsidP="00535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F44D81">
        <w:rPr>
          <w:rFonts w:ascii="Courier New" w:hAnsi="Courier New"/>
          <w:noProof/>
          <w:sz w:val="16"/>
          <w:lang w:val="en-US" w:eastAsia="en-GB"/>
        </w:rPr>
        <w:t> ...</w:t>
      </w:r>
    </w:p>
    <w:p w14:paraId="748EEE41" w14:textId="77777777" w:rsidR="00535BFE" w:rsidRDefault="00535BFE" w:rsidP="00535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F44D81">
        <w:rPr>
          <w:rFonts w:ascii="Courier New" w:hAnsi="Courier New"/>
          <w:noProof/>
          <w:sz w:val="16"/>
          <w:lang w:val="en-US" w:eastAsia="en-GB"/>
        </w:rPr>
        <w:t>}</w:t>
      </w:r>
    </w:p>
    <w:p w14:paraId="1F37A717" w14:textId="77777777" w:rsidR="00E13D19" w:rsidRDefault="00E13D19" w:rsidP="00535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0945B8E1" w14:textId="3E9AF451" w:rsidR="00E13D19" w:rsidRPr="00F44D81" w:rsidRDefault="00E13D19" w:rsidP="00535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Pr>
          <w:rFonts w:ascii="Courier New" w:hAnsi="Courier New"/>
          <w:noProof/>
          <w:color w:val="000000" w:themeColor="text1"/>
          <w:sz w:val="16"/>
          <w:lang w:val="en-US" w:eastAsia="en-GB"/>
        </w:rPr>
        <w:t xml:space="preserve">InferenceRelatedSetId-r19 ::= </w:t>
      </w:r>
      <w:r w:rsidRPr="004E3EE4">
        <w:rPr>
          <w:rFonts w:ascii="Courier New" w:hAnsi="Courier New"/>
          <w:noProof/>
          <w:color w:val="993366"/>
          <w:sz w:val="16"/>
          <w:lang w:val="en-US" w:eastAsia="en-GB"/>
        </w:rPr>
        <w:t>INTEGER</w:t>
      </w:r>
      <w:r w:rsidRPr="00F44D81">
        <w:rPr>
          <w:rFonts w:ascii="Courier New" w:hAnsi="Courier New"/>
          <w:noProof/>
          <w:sz w:val="16"/>
          <w:lang w:val="en-US" w:eastAsia="en-GB"/>
        </w:rPr>
        <w:t xml:space="preserve"> (0..maxNrofInferenceRelatedSets-1-r19)</w:t>
      </w:r>
    </w:p>
    <w:p w14:paraId="0FEE1D6F" w14:textId="77777777" w:rsidR="001B0E99" w:rsidRDefault="001B0E99" w:rsidP="00FE5522">
      <w:pPr>
        <w:spacing w:after="0"/>
      </w:pPr>
    </w:p>
    <w:p w14:paraId="4CE8D2FF" w14:textId="3B0468B4" w:rsidR="0024197B" w:rsidRPr="0024197B" w:rsidRDefault="0024197B" w:rsidP="001B0E99">
      <w:pPr>
        <w:rPr>
          <w:b/>
          <w:bCs/>
          <w:iCs/>
        </w:rPr>
      </w:pPr>
      <w:r>
        <w:rPr>
          <w:b/>
          <w:bCs/>
        </w:rPr>
        <w:t>Proposal</w:t>
      </w:r>
      <w:r w:rsidR="00003F91">
        <w:rPr>
          <w:b/>
          <w:bCs/>
        </w:rPr>
        <w:t xml:space="preserve"> 3</w:t>
      </w:r>
      <w:r>
        <w:rPr>
          <w:b/>
          <w:bCs/>
        </w:rPr>
        <w:t xml:space="preserve">: The CSI-ReportConfig configured in </w:t>
      </w:r>
      <w:r>
        <w:rPr>
          <w:b/>
          <w:bCs/>
          <w:i/>
          <w:iCs/>
        </w:rPr>
        <w:t>inferenceRelatedSetConfig-r19</w:t>
      </w:r>
      <w:r>
        <w:rPr>
          <w:b/>
          <w:bCs/>
          <w:iCs/>
        </w:rPr>
        <w:t xml:space="preserve"> is not to be passed to lower layers for configuration. That is, there shall be no RAN1 impact due to the reuse of </w:t>
      </w:r>
      <w:r>
        <w:rPr>
          <w:b/>
          <w:bCs/>
          <w:i/>
        </w:rPr>
        <w:t>CSI-ReportConfig</w:t>
      </w:r>
      <w:r>
        <w:rPr>
          <w:b/>
          <w:bCs/>
          <w:iCs/>
        </w:rPr>
        <w:t>.</w:t>
      </w:r>
    </w:p>
    <w:p w14:paraId="5A2D9FA8" w14:textId="0E233A61" w:rsidR="00AD1BEB" w:rsidRPr="00FE5522" w:rsidRDefault="00AD1BEB" w:rsidP="001B0E99">
      <w:pPr>
        <w:rPr>
          <w:b/>
          <w:bCs/>
        </w:rPr>
      </w:pPr>
      <w:r w:rsidRPr="00FE5522">
        <w:rPr>
          <w:b/>
          <w:bCs/>
        </w:rPr>
        <w:t>Proposal</w:t>
      </w:r>
      <w:r w:rsidR="00003F91">
        <w:rPr>
          <w:b/>
          <w:bCs/>
        </w:rPr>
        <w:t xml:space="preserve"> 4</w:t>
      </w:r>
      <w:r w:rsidRPr="00FE5522">
        <w:rPr>
          <w:b/>
          <w:bCs/>
        </w:rPr>
        <w:t xml:space="preserve">: Define a new IE called </w:t>
      </w:r>
      <w:r w:rsidRPr="00FE5522">
        <w:rPr>
          <w:b/>
          <w:bCs/>
          <w:i/>
          <w:iCs/>
        </w:rPr>
        <w:t>InferenceRelatedSet-r19</w:t>
      </w:r>
      <w:r w:rsidRPr="00FE5522">
        <w:rPr>
          <w:b/>
          <w:bCs/>
        </w:rPr>
        <w:t xml:space="preserve">, which is configured with </w:t>
      </w:r>
      <w:r w:rsidR="006D78A2" w:rsidRPr="00FE5522">
        <w:rPr>
          <w:b/>
          <w:bCs/>
        </w:rPr>
        <w:t xml:space="preserve">an identifier, </w:t>
      </w:r>
      <w:r w:rsidR="006D78A2" w:rsidRPr="00FE5522">
        <w:rPr>
          <w:b/>
          <w:bCs/>
          <w:i/>
          <w:iCs/>
        </w:rPr>
        <w:t>inferenceRelatedSetId-r19</w:t>
      </w:r>
      <w:r w:rsidR="006D78A2" w:rsidRPr="00FE5522">
        <w:rPr>
          <w:b/>
          <w:bCs/>
        </w:rPr>
        <w:t xml:space="preserve"> for use as a reference in the applicability report and a configuration containing a set of inference-related parameters, </w:t>
      </w:r>
      <w:r w:rsidR="006D78A2" w:rsidRPr="00FE5522">
        <w:rPr>
          <w:b/>
          <w:bCs/>
          <w:i/>
          <w:iCs/>
        </w:rPr>
        <w:t>inferenceRelatedSetConfig-r19</w:t>
      </w:r>
      <w:r w:rsidR="006D78A2" w:rsidRPr="00FE5522">
        <w:rPr>
          <w:b/>
          <w:bCs/>
          <w:iCs/>
        </w:rPr>
        <w:t xml:space="preserve">, </w:t>
      </w:r>
      <w:r w:rsidR="00FE5522" w:rsidRPr="00FE5522">
        <w:rPr>
          <w:b/>
          <w:bCs/>
          <w:iCs/>
        </w:rPr>
        <w:t xml:space="preserve">which will minimally include </w:t>
      </w:r>
      <w:r w:rsidR="00FE5522" w:rsidRPr="00FE5522">
        <w:rPr>
          <w:b/>
          <w:bCs/>
          <w:i/>
        </w:rPr>
        <w:t>CSI-ReportConfig</w:t>
      </w:r>
      <w:r w:rsidR="00FE5522" w:rsidRPr="00FE5522">
        <w:rPr>
          <w:b/>
          <w:bCs/>
        </w:rPr>
        <w:t xml:space="preserve"> as one of the choices.</w:t>
      </w:r>
    </w:p>
    <w:p w14:paraId="662B8F5F" w14:textId="1233E6FC" w:rsidR="00AD1BEB" w:rsidRDefault="00AD1BEB" w:rsidP="001B0E99">
      <w:r>
        <w:t xml:space="preserve">The next issue to address </w:t>
      </w:r>
      <w:r w:rsidR="00ED1E9B">
        <w:t xml:space="preserve">is that the </w:t>
      </w:r>
      <w:r w:rsidR="00ED1E9B">
        <w:rPr>
          <w:i/>
          <w:iCs/>
        </w:rPr>
        <w:t xml:space="preserve">CSI-ReportConfig </w:t>
      </w:r>
      <w:r w:rsidR="00ED1E9B">
        <w:t>includes many fields, mandatory and optional, which are not relevant to the determination of applicability based on sets of inference-related parameters. To solve this problem, we propose to use field descriptions indicating which fields are relevant. An example is shown below for the case of beam management</w:t>
      </w:r>
      <w:r w:rsidR="002E071E">
        <w:t xml:space="preserve"> case 1 (BM-Case1)</w:t>
      </w:r>
      <w:r w:rsidR="00ED1E9B">
        <w:t>.</w:t>
      </w:r>
    </w:p>
    <w:p w14:paraId="1CCEEDFB" w14:textId="3C1D2A02" w:rsidR="00ED1E9B" w:rsidRPr="002E071E" w:rsidRDefault="00ED1E9B" w:rsidP="00ED1E9B">
      <w:pPr>
        <w:pBdr>
          <w:top w:val="single" w:sz="4" w:space="1" w:color="auto"/>
          <w:left w:val="single" w:sz="4" w:space="4" w:color="auto"/>
          <w:bottom w:val="single" w:sz="4" w:space="1" w:color="auto"/>
          <w:right w:val="single" w:sz="4" w:space="4" w:color="auto"/>
        </w:pBdr>
      </w:pPr>
      <w:r w:rsidRPr="004E3EE4">
        <w:rPr>
          <w:b/>
          <w:bCs/>
          <w:i/>
          <w:iCs/>
        </w:rPr>
        <w:t>inferenceRelatedSetConfig</w:t>
      </w:r>
      <w:r w:rsidRPr="004E3EE4">
        <w:rPr>
          <w:b/>
          <w:bCs/>
        </w:rPr>
        <w:br/>
      </w:r>
      <w:r w:rsidRPr="004E3EE4">
        <w:t xml:space="preserve">If the field is set to </w:t>
      </w:r>
      <w:r w:rsidRPr="004E3EE4">
        <w:rPr>
          <w:i/>
          <w:iCs/>
        </w:rPr>
        <w:t>CSI-ReportConfig</w:t>
      </w:r>
      <w:r>
        <w:t xml:space="preserve">: if </w:t>
      </w:r>
      <w:r>
        <w:rPr>
          <w:i/>
          <w:iCs/>
        </w:rPr>
        <w:t>reportQuantity</w:t>
      </w:r>
      <w:r>
        <w:t xml:space="preserve"> is set to </w:t>
      </w:r>
      <w:r>
        <w:rPr>
          <w:i/>
          <w:iCs/>
        </w:rPr>
        <w:t>p-CRI-RSRP</w:t>
      </w:r>
      <w:r>
        <w:t xml:space="preserve">, then </w:t>
      </w:r>
      <w:r w:rsidR="00E04857">
        <w:t xml:space="preserve">only </w:t>
      </w:r>
      <w:r>
        <w:t>the following fields are</w:t>
      </w:r>
      <w:r w:rsidR="00E04857">
        <w:t xml:space="preserve"> to be </w:t>
      </w:r>
      <w:r w:rsidR="0029063E">
        <w:t xml:space="preserve">used: </w:t>
      </w:r>
      <w:r w:rsidR="0029063E" w:rsidRPr="0029063E">
        <w:rPr>
          <w:i/>
          <w:iCs/>
        </w:rPr>
        <w:t>associatedIDforSetA-r19</w:t>
      </w:r>
      <w:r w:rsidR="0029063E" w:rsidRPr="0029063E">
        <w:t xml:space="preserve">, </w:t>
      </w:r>
      <w:r w:rsidR="0029063E" w:rsidRPr="0029063E">
        <w:rPr>
          <w:i/>
          <w:iCs/>
        </w:rPr>
        <w:t>resourcesForSetA-r19</w:t>
      </w:r>
      <w:r w:rsidR="0029063E" w:rsidRPr="0029063E">
        <w:t xml:space="preserve">, </w:t>
      </w:r>
      <w:r w:rsidR="0029063E" w:rsidRPr="0029063E">
        <w:rPr>
          <w:i/>
          <w:iCs/>
        </w:rPr>
        <w:t>resourcesForChannelMeasurement</w:t>
      </w:r>
      <w:r w:rsidR="0029063E" w:rsidRPr="0029063E">
        <w:t xml:space="preserve">, </w:t>
      </w:r>
      <w:r w:rsidR="0029063E" w:rsidRPr="0029063E">
        <w:rPr>
          <w:i/>
          <w:iCs/>
        </w:rPr>
        <w:t>associatedIDforSetB-r19</w:t>
      </w:r>
      <w:r w:rsidR="0029063E" w:rsidRPr="0029063E">
        <w:t xml:space="preserve">, </w:t>
      </w:r>
      <w:r w:rsidR="0029063E" w:rsidRPr="0029063E">
        <w:rPr>
          <w:i/>
          <w:iCs/>
        </w:rPr>
        <w:t>reportQuantity-r19</w:t>
      </w:r>
      <w:r w:rsidR="0029063E" w:rsidRPr="0029063E">
        <w:t xml:space="preserve">, </w:t>
      </w:r>
      <w:r w:rsidR="0029063E" w:rsidRPr="0029063E">
        <w:rPr>
          <w:i/>
          <w:iCs/>
        </w:rPr>
        <w:t>reportConfigType</w:t>
      </w:r>
      <w:r w:rsidR="0029063E" w:rsidRPr="0029063E">
        <w:t xml:space="preserve">, </w:t>
      </w:r>
      <w:r w:rsidR="0029063E" w:rsidRPr="0029063E">
        <w:rPr>
          <w:i/>
          <w:iCs/>
        </w:rPr>
        <w:t>nrofreportedpredictedrs-r19</w:t>
      </w:r>
      <w:r w:rsidR="002E071E">
        <w:t>.</w:t>
      </w:r>
    </w:p>
    <w:p w14:paraId="64B55D73" w14:textId="3C7B6DD4" w:rsidR="00ED1E9B" w:rsidRPr="005E201C" w:rsidRDefault="00983FC6" w:rsidP="001B0E99">
      <w:pPr>
        <w:rPr>
          <w:b/>
          <w:bCs/>
        </w:rPr>
      </w:pPr>
      <w:r w:rsidRPr="005E201C">
        <w:rPr>
          <w:b/>
          <w:bCs/>
        </w:rPr>
        <w:t>Proposal</w:t>
      </w:r>
      <w:r w:rsidR="00003F91">
        <w:rPr>
          <w:b/>
          <w:bCs/>
        </w:rPr>
        <w:t xml:space="preserve"> 5</w:t>
      </w:r>
      <w:r w:rsidRPr="005E201C">
        <w:rPr>
          <w:b/>
          <w:bCs/>
        </w:rPr>
        <w:t xml:space="preserve">: The field description for </w:t>
      </w:r>
      <w:r w:rsidRPr="005E201C">
        <w:rPr>
          <w:b/>
          <w:bCs/>
          <w:i/>
          <w:iCs/>
        </w:rPr>
        <w:t>inferenceRelatedSetConfig-r19</w:t>
      </w:r>
      <w:r w:rsidRPr="005E201C">
        <w:rPr>
          <w:b/>
          <w:bCs/>
        </w:rPr>
        <w:t xml:space="preserve"> will be used to specify which fields are relevant for </w:t>
      </w:r>
      <w:r w:rsidR="005E201C" w:rsidRPr="005E201C">
        <w:rPr>
          <w:b/>
          <w:bCs/>
        </w:rPr>
        <w:t>the applicability determination using sets of inference-related parameters based on the type of configuration.</w:t>
      </w:r>
    </w:p>
    <w:p w14:paraId="7095280B" w14:textId="5C245F42" w:rsidR="00702737" w:rsidRDefault="00C8083C" w:rsidP="00702737">
      <w:r>
        <w:t>Finally, t</w:t>
      </w:r>
      <w:r w:rsidR="00702737">
        <w:t>he procedure for reporting the applicability of sets of inference-related parameters would then be generic to all use cases since all sets of inference-related parameters would use the same type of ID</w:t>
      </w:r>
      <w:r>
        <w:t xml:space="preserve">, i.e., </w:t>
      </w:r>
      <w:r>
        <w:rPr>
          <w:i/>
          <w:iCs/>
        </w:rPr>
        <w:t>inferenceRelatedSetId-r19</w:t>
      </w:r>
      <w:r>
        <w:t>,</w:t>
      </w:r>
      <w:r w:rsidR="00702737">
        <w:t xml:space="preserve"> and because all sets of inference-related parameters are subject to the applicability determination procedure.</w:t>
      </w:r>
    </w:p>
    <w:p w14:paraId="252E10D4" w14:textId="1B319E08" w:rsidR="00702737" w:rsidRPr="00256DAC" w:rsidRDefault="00702737" w:rsidP="00702737">
      <w:r>
        <w:t xml:space="preserve">Applicability is reported via the </w:t>
      </w:r>
      <w:r>
        <w:rPr>
          <w:i/>
          <w:iCs/>
        </w:rPr>
        <w:t>Applicability</w:t>
      </w:r>
      <w:r w:rsidR="00A826AA">
        <w:rPr>
          <w:i/>
          <w:iCs/>
        </w:rPr>
        <w:t>ReportConfigIdList</w:t>
      </w:r>
      <w:r>
        <w:rPr>
          <w:i/>
          <w:iCs/>
        </w:rPr>
        <w:t>-r19</w:t>
      </w:r>
      <w:r>
        <w:t xml:space="preserve"> IE defined in the draft running RRC CR and is shown below. To accommodate the reporting of applicability of sets of inference-related parameters, </w:t>
      </w:r>
      <w:r>
        <w:rPr>
          <w:i/>
          <w:iCs/>
        </w:rPr>
        <w:t>inferenceRelatedSetId</w:t>
      </w:r>
      <w:r>
        <w:t xml:space="preserve"> was added to </w:t>
      </w:r>
      <w:r>
        <w:rPr>
          <w:i/>
          <w:iCs/>
        </w:rPr>
        <w:t>Applicability</w:t>
      </w:r>
      <w:r w:rsidR="00E73773">
        <w:rPr>
          <w:i/>
          <w:iCs/>
        </w:rPr>
        <w:t>ReportConfigId</w:t>
      </w:r>
      <w:r>
        <w:rPr>
          <w:i/>
          <w:iCs/>
        </w:rPr>
        <w:t>-r19</w:t>
      </w:r>
      <w:r>
        <w:t xml:space="preserve"> below.</w:t>
      </w:r>
    </w:p>
    <w:p w14:paraId="0A140E88" w14:textId="69693D15" w:rsidR="00BF5CF1" w:rsidRPr="00BF5CF1" w:rsidRDefault="00BF5CF1" w:rsidP="00BF5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F5CF1">
        <w:rPr>
          <w:rFonts w:ascii="Courier New" w:hAnsi="Courier New"/>
          <w:noProof/>
          <w:sz w:val="16"/>
          <w:lang w:eastAsia="en-GB"/>
        </w:rPr>
        <w:t xml:space="preserve">ApplicabilityReportList-r19 ::=   </w:t>
      </w:r>
      <w:r w:rsidR="00A65092" w:rsidRPr="00CF3292">
        <w:rPr>
          <w:rFonts w:ascii="Courier New" w:hAnsi="Courier New"/>
          <w:noProof/>
          <w:color w:val="993366"/>
          <w:sz w:val="16"/>
          <w:lang w:eastAsia="en-GB"/>
        </w:rPr>
        <w:t>SEQUENCE</w:t>
      </w:r>
      <w:r w:rsidRPr="00BF5CF1">
        <w:rPr>
          <w:rFonts w:ascii="Courier New" w:hAnsi="Courier New"/>
          <w:noProof/>
          <w:sz w:val="16"/>
          <w:lang w:eastAsia="en-GB"/>
        </w:rPr>
        <w:t xml:space="preserve"> (SIZE (1..maxNrofServingCellsFFS)) OF ApplicabilityReport-r19</w:t>
      </w:r>
    </w:p>
    <w:p w14:paraId="3E7E275C" w14:textId="77777777" w:rsidR="00BF5CF1" w:rsidRPr="00BF5CF1" w:rsidRDefault="00BF5CF1" w:rsidP="00BF5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8B8D7DB" w14:textId="690AC8F1" w:rsidR="00BF5CF1" w:rsidRPr="00BF5CF1" w:rsidRDefault="00BF5CF1" w:rsidP="00BF5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F5CF1">
        <w:rPr>
          <w:rFonts w:ascii="Courier New" w:hAnsi="Courier New"/>
          <w:noProof/>
          <w:sz w:val="16"/>
          <w:lang w:eastAsia="en-GB"/>
        </w:rPr>
        <w:t xml:space="preserve">ApplicabilityReport-r19 ::=       </w:t>
      </w:r>
      <w:r w:rsidR="00A65092" w:rsidRPr="00CF3292">
        <w:rPr>
          <w:rFonts w:ascii="Courier New" w:hAnsi="Courier New"/>
          <w:noProof/>
          <w:color w:val="993366"/>
          <w:sz w:val="16"/>
          <w:lang w:eastAsia="en-GB"/>
        </w:rPr>
        <w:t>SEQUENCE</w:t>
      </w:r>
      <w:r w:rsidRPr="00BF5CF1">
        <w:rPr>
          <w:rFonts w:ascii="Courier New" w:hAnsi="Courier New"/>
          <w:noProof/>
          <w:sz w:val="16"/>
          <w:lang w:eastAsia="en-GB"/>
        </w:rPr>
        <w:t xml:space="preserve"> {</w:t>
      </w:r>
    </w:p>
    <w:p w14:paraId="363DA175" w14:textId="77777777" w:rsidR="00BF5CF1" w:rsidRPr="00BF5CF1" w:rsidRDefault="00BF5CF1" w:rsidP="00BF5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F5CF1">
        <w:rPr>
          <w:rFonts w:ascii="Courier New" w:hAnsi="Courier New"/>
          <w:noProof/>
          <w:sz w:val="16"/>
          <w:lang w:eastAsia="en-GB"/>
        </w:rPr>
        <w:t xml:space="preserve">    applicabilityCellId-r19                  ServCellIndex,</w:t>
      </w:r>
    </w:p>
    <w:p w14:paraId="7567E87B" w14:textId="4B01B7C7" w:rsidR="00BF5CF1" w:rsidRPr="00BF5CF1" w:rsidRDefault="00BF5CF1" w:rsidP="00BF5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F5CF1">
        <w:rPr>
          <w:rFonts w:ascii="Courier New" w:hAnsi="Courier New"/>
          <w:noProof/>
          <w:sz w:val="16"/>
          <w:lang w:eastAsia="en-GB"/>
        </w:rPr>
        <w:t xml:space="preserve">    applicabilityReportConfigIdList-r19      </w:t>
      </w:r>
      <w:r w:rsidR="00A65092" w:rsidRPr="00CF3292">
        <w:rPr>
          <w:rFonts w:ascii="Courier New" w:hAnsi="Courier New"/>
          <w:noProof/>
          <w:color w:val="993366"/>
          <w:sz w:val="16"/>
          <w:lang w:eastAsia="en-GB"/>
        </w:rPr>
        <w:t>SEQUENCE</w:t>
      </w:r>
      <w:r w:rsidRPr="00BF5CF1">
        <w:rPr>
          <w:rFonts w:ascii="Courier New" w:hAnsi="Courier New"/>
          <w:noProof/>
          <w:sz w:val="16"/>
          <w:lang w:eastAsia="en-GB"/>
        </w:rPr>
        <w:t xml:space="preserve"> (SIZE (1..maxNrofApplicabilityReports)) OF ApplicabilityReportConfigIdList-r19     </w:t>
      </w:r>
      <w:r w:rsidR="00A65092" w:rsidRPr="00CF3292">
        <w:rPr>
          <w:rFonts w:ascii="Courier New" w:hAnsi="Courier New"/>
          <w:noProof/>
          <w:color w:val="993366"/>
          <w:sz w:val="16"/>
          <w:lang w:eastAsia="en-GB"/>
        </w:rPr>
        <w:t>OPTIONAL</w:t>
      </w:r>
      <w:r w:rsidRPr="00BF5CF1">
        <w:rPr>
          <w:rFonts w:ascii="Courier New" w:hAnsi="Courier New"/>
          <w:noProof/>
          <w:sz w:val="16"/>
          <w:lang w:eastAsia="en-GB"/>
        </w:rPr>
        <w:t>,</w:t>
      </w:r>
    </w:p>
    <w:p w14:paraId="2E4EB4DD" w14:textId="77777777" w:rsidR="00BF5CF1" w:rsidRPr="00BF5CF1" w:rsidRDefault="00BF5CF1" w:rsidP="00BF5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F5CF1">
        <w:rPr>
          <w:rFonts w:ascii="Courier New" w:hAnsi="Courier New"/>
          <w:noProof/>
          <w:sz w:val="16"/>
          <w:lang w:eastAsia="en-GB"/>
        </w:rPr>
        <w:t xml:space="preserve">    ...</w:t>
      </w:r>
    </w:p>
    <w:p w14:paraId="3112F0B2" w14:textId="1C7D57A2" w:rsidR="00BF5CF1" w:rsidRDefault="00BF5CF1" w:rsidP="00BF5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F5CF1">
        <w:rPr>
          <w:rFonts w:ascii="Courier New" w:hAnsi="Courier New"/>
          <w:noProof/>
          <w:sz w:val="16"/>
          <w:lang w:eastAsia="en-GB"/>
        </w:rPr>
        <w:t>}</w:t>
      </w:r>
    </w:p>
    <w:p w14:paraId="6A349B9C" w14:textId="77777777" w:rsidR="00BF5CF1" w:rsidRDefault="00BF5CF1" w:rsidP="007027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3485EF8" w14:textId="603374C1" w:rsidR="00702737" w:rsidRPr="00CF3292" w:rsidRDefault="00702737" w:rsidP="007027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F3292">
        <w:rPr>
          <w:rFonts w:ascii="Courier New" w:hAnsi="Courier New"/>
          <w:noProof/>
          <w:sz w:val="16"/>
          <w:lang w:eastAsia="en-GB"/>
        </w:rPr>
        <w:t>Applicability</w:t>
      </w:r>
      <w:r w:rsidR="000B209E">
        <w:rPr>
          <w:rFonts w:ascii="Courier New" w:hAnsi="Courier New"/>
          <w:noProof/>
          <w:sz w:val="16"/>
          <w:lang w:eastAsia="en-GB"/>
        </w:rPr>
        <w:t>ReportConfigIdList</w:t>
      </w:r>
      <w:r w:rsidRPr="00CF3292">
        <w:rPr>
          <w:rFonts w:ascii="Courier New" w:hAnsi="Courier New"/>
          <w:noProof/>
          <w:sz w:val="16"/>
          <w:lang w:eastAsia="en-GB"/>
        </w:rPr>
        <w:t xml:space="preserve">-r19 ::=    </w:t>
      </w:r>
      <w:r w:rsidRPr="00CF3292">
        <w:rPr>
          <w:rFonts w:ascii="Courier New" w:hAnsi="Courier New"/>
          <w:noProof/>
          <w:color w:val="993366"/>
          <w:sz w:val="16"/>
          <w:lang w:eastAsia="en-GB"/>
        </w:rPr>
        <w:t>SEQUENCE</w:t>
      </w:r>
      <w:r w:rsidRPr="00CF3292">
        <w:rPr>
          <w:rFonts w:ascii="Courier New" w:hAnsi="Courier New"/>
          <w:noProof/>
          <w:sz w:val="16"/>
          <w:lang w:eastAsia="en-GB"/>
        </w:rPr>
        <w:t xml:space="preserve"> {</w:t>
      </w:r>
    </w:p>
    <w:p w14:paraId="7DA09526" w14:textId="77777777" w:rsidR="00702737" w:rsidRPr="00CF3292" w:rsidRDefault="00702737" w:rsidP="007027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CF3292">
        <w:rPr>
          <w:rFonts w:ascii="Courier New" w:hAnsi="Courier New"/>
          <w:noProof/>
          <w:sz w:val="16"/>
          <w:lang w:eastAsia="en-GB"/>
        </w:rPr>
        <w:t xml:space="preserve">    applicabilityReportConfigId-r19          </w:t>
      </w:r>
      <w:r w:rsidRPr="00CF3292">
        <w:rPr>
          <w:rFonts w:ascii="Courier New" w:eastAsia="DengXian" w:hAnsi="Courier New"/>
          <w:noProof/>
          <w:color w:val="993366"/>
          <w:sz w:val="16"/>
          <w:lang w:eastAsia="en-GB"/>
        </w:rPr>
        <w:t>CHOICE</w:t>
      </w:r>
      <w:r w:rsidRPr="00CF3292">
        <w:rPr>
          <w:rFonts w:ascii="Courier New" w:eastAsia="DengXian" w:hAnsi="Courier New"/>
          <w:noProof/>
          <w:sz w:val="16"/>
          <w:lang w:eastAsia="en-GB"/>
        </w:rPr>
        <w:t xml:space="preserve"> {</w:t>
      </w:r>
    </w:p>
    <w:p w14:paraId="1486D2A3" w14:textId="77777777" w:rsidR="00702737" w:rsidRPr="00CF3292" w:rsidRDefault="00702737" w:rsidP="007027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F3292">
        <w:rPr>
          <w:rFonts w:ascii="Courier New" w:eastAsia="DengXian" w:hAnsi="Courier New"/>
          <w:noProof/>
          <w:sz w:val="16"/>
          <w:lang w:eastAsia="en-GB"/>
        </w:rPr>
        <w:t xml:space="preserve">       csi-ReportConfigId                        </w:t>
      </w:r>
      <w:r>
        <w:rPr>
          <w:rFonts w:ascii="Courier New" w:eastAsia="DengXian" w:hAnsi="Courier New"/>
          <w:noProof/>
          <w:sz w:val="16"/>
          <w:lang w:eastAsia="en-GB"/>
        </w:rPr>
        <w:t xml:space="preserve"> </w:t>
      </w:r>
      <w:r w:rsidRPr="00CF3292">
        <w:rPr>
          <w:rFonts w:ascii="Courier New" w:hAnsi="Courier New"/>
          <w:noProof/>
          <w:sz w:val="16"/>
          <w:lang w:eastAsia="en-GB"/>
        </w:rPr>
        <w:t>CSI-ReportConfigId,</w:t>
      </w:r>
      <w:r>
        <w:rPr>
          <w:rFonts w:ascii="Courier New" w:hAnsi="Courier New"/>
          <w:noProof/>
          <w:sz w:val="16"/>
          <w:lang w:eastAsia="en-GB"/>
        </w:rPr>
        <w:br/>
      </w:r>
      <w:r w:rsidRPr="004E3EE4">
        <w:rPr>
          <w:rFonts w:ascii="Courier New" w:hAnsi="Courier New"/>
          <w:noProof/>
          <w:color w:val="FF0000"/>
          <w:sz w:val="16"/>
          <w:u w:val="single"/>
          <w:lang w:eastAsia="en-GB"/>
        </w:rPr>
        <w:t xml:space="preserve">       inferenceRelatedSetId                      InferenceRelatedSetId,</w:t>
      </w:r>
    </w:p>
    <w:p w14:paraId="134B6633" w14:textId="77777777" w:rsidR="00702737" w:rsidRPr="004E3EE4" w:rsidRDefault="00702737" w:rsidP="007027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trike/>
          <w:noProof/>
          <w:color w:val="FF0000"/>
          <w:sz w:val="16"/>
          <w:lang w:eastAsia="en-GB"/>
        </w:rPr>
      </w:pPr>
      <w:r w:rsidRPr="004E3EE4">
        <w:rPr>
          <w:rFonts w:ascii="Courier New" w:hAnsi="Courier New"/>
          <w:strike/>
          <w:noProof/>
          <w:color w:val="FF0000"/>
          <w:sz w:val="16"/>
          <w:lang w:eastAsia="en-GB"/>
        </w:rPr>
        <w:t xml:space="preserve">       spare7                                     NULL,</w:t>
      </w:r>
    </w:p>
    <w:p w14:paraId="4E9C61BB" w14:textId="77777777" w:rsidR="00702737" w:rsidRPr="00CF3292" w:rsidRDefault="00702737" w:rsidP="007027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F3292">
        <w:rPr>
          <w:rFonts w:ascii="Courier New" w:hAnsi="Courier New"/>
          <w:noProof/>
          <w:sz w:val="16"/>
          <w:lang w:eastAsia="en-GB"/>
        </w:rPr>
        <w:t xml:space="preserve">       spare6                                     </w:t>
      </w:r>
      <w:r w:rsidRPr="00CF3292">
        <w:rPr>
          <w:rFonts w:ascii="Courier New" w:hAnsi="Courier New"/>
          <w:noProof/>
          <w:color w:val="993366"/>
          <w:sz w:val="16"/>
          <w:lang w:eastAsia="en-GB"/>
        </w:rPr>
        <w:t>NULL</w:t>
      </w:r>
      <w:r w:rsidRPr="00CF3292">
        <w:rPr>
          <w:rFonts w:ascii="Courier New" w:hAnsi="Courier New"/>
          <w:noProof/>
          <w:sz w:val="16"/>
          <w:lang w:eastAsia="en-GB"/>
        </w:rPr>
        <w:t>,</w:t>
      </w:r>
    </w:p>
    <w:p w14:paraId="605E2D68" w14:textId="77777777" w:rsidR="00702737" w:rsidRPr="00CF3292" w:rsidRDefault="00702737" w:rsidP="007027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F3292">
        <w:rPr>
          <w:rFonts w:ascii="Courier New" w:hAnsi="Courier New"/>
          <w:noProof/>
          <w:sz w:val="16"/>
          <w:lang w:eastAsia="en-GB"/>
        </w:rPr>
        <w:t xml:space="preserve">       spare5                                     </w:t>
      </w:r>
      <w:r w:rsidRPr="00CF3292">
        <w:rPr>
          <w:rFonts w:ascii="Courier New" w:hAnsi="Courier New"/>
          <w:noProof/>
          <w:color w:val="993366"/>
          <w:sz w:val="16"/>
          <w:lang w:eastAsia="en-GB"/>
        </w:rPr>
        <w:t>NULL</w:t>
      </w:r>
      <w:r w:rsidRPr="00CF3292">
        <w:rPr>
          <w:rFonts w:ascii="Courier New" w:hAnsi="Courier New"/>
          <w:noProof/>
          <w:sz w:val="16"/>
          <w:lang w:eastAsia="en-GB"/>
        </w:rPr>
        <w:t>,</w:t>
      </w:r>
    </w:p>
    <w:p w14:paraId="1800CCE5" w14:textId="77777777" w:rsidR="00702737" w:rsidRPr="00CF3292" w:rsidRDefault="00702737" w:rsidP="007027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F3292">
        <w:rPr>
          <w:rFonts w:ascii="Courier New" w:hAnsi="Courier New"/>
          <w:noProof/>
          <w:sz w:val="16"/>
          <w:lang w:eastAsia="en-GB"/>
        </w:rPr>
        <w:t xml:space="preserve">       spare4                                     </w:t>
      </w:r>
      <w:r w:rsidRPr="00CF3292">
        <w:rPr>
          <w:rFonts w:ascii="Courier New" w:hAnsi="Courier New"/>
          <w:noProof/>
          <w:color w:val="993366"/>
          <w:sz w:val="16"/>
          <w:lang w:eastAsia="en-GB"/>
        </w:rPr>
        <w:t>NULL</w:t>
      </w:r>
      <w:r w:rsidRPr="00CF3292">
        <w:rPr>
          <w:rFonts w:ascii="Courier New" w:hAnsi="Courier New"/>
          <w:noProof/>
          <w:sz w:val="16"/>
          <w:lang w:eastAsia="en-GB"/>
        </w:rPr>
        <w:t>,</w:t>
      </w:r>
    </w:p>
    <w:p w14:paraId="71C1260F" w14:textId="77777777" w:rsidR="00702737" w:rsidRPr="00CF3292" w:rsidRDefault="00702737" w:rsidP="007027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F3292">
        <w:rPr>
          <w:rFonts w:ascii="Courier New" w:hAnsi="Courier New"/>
          <w:noProof/>
          <w:sz w:val="16"/>
          <w:lang w:eastAsia="en-GB"/>
        </w:rPr>
        <w:t xml:space="preserve">       spare3                                     </w:t>
      </w:r>
      <w:r w:rsidRPr="00CF3292">
        <w:rPr>
          <w:rFonts w:ascii="Courier New" w:hAnsi="Courier New"/>
          <w:noProof/>
          <w:color w:val="993366"/>
          <w:sz w:val="16"/>
          <w:lang w:eastAsia="en-GB"/>
        </w:rPr>
        <w:t>NULL</w:t>
      </w:r>
      <w:r w:rsidRPr="00CF3292">
        <w:rPr>
          <w:rFonts w:ascii="Courier New" w:hAnsi="Courier New"/>
          <w:noProof/>
          <w:sz w:val="16"/>
          <w:lang w:eastAsia="en-GB"/>
        </w:rPr>
        <w:t>,</w:t>
      </w:r>
    </w:p>
    <w:p w14:paraId="19DE087C" w14:textId="77777777" w:rsidR="00702737" w:rsidRPr="00CF3292" w:rsidRDefault="00702737" w:rsidP="007027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F3292">
        <w:rPr>
          <w:rFonts w:ascii="Courier New" w:hAnsi="Courier New"/>
          <w:noProof/>
          <w:sz w:val="16"/>
          <w:lang w:eastAsia="en-GB"/>
        </w:rPr>
        <w:t xml:space="preserve">       spare2                                     </w:t>
      </w:r>
      <w:r w:rsidRPr="00CF3292">
        <w:rPr>
          <w:rFonts w:ascii="Courier New" w:hAnsi="Courier New"/>
          <w:noProof/>
          <w:color w:val="993366"/>
          <w:sz w:val="16"/>
          <w:lang w:eastAsia="en-GB"/>
        </w:rPr>
        <w:t>NULL</w:t>
      </w:r>
      <w:r w:rsidRPr="00CF3292">
        <w:rPr>
          <w:rFonts w:ascii="Courier New" w:hAnsi="Courier New"/>
          <w:noProof/>
          <w:sz w:val="16"/>
          <w:lang w:eastAsia="en-GB"/>
        </w:rPr>
        <w:t>,</w:t>
      </w:r>
    </w:p>
    <w:p w14:paraId="75F83A69" w14:textId="77777777" w:rsidR="00702737" w:rsidRPr="00CF3292" w:rsidRDefault="00702737" w:rsidP="007027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F3292">
        <w:rPr>
          <w:rFonts w:ascii="Courier New" w:hAnsi="Courier New"/>
          <w:noProof/>
          <w:sz w:val="16"/>
          <w:lang w:eastAsia="en-GB"/>
        </w:rPr>
        <w:t xml:space="preserve">       spare1                                     </w:t>
      </w:r>
      <w:r w:rsidRPr="00CF3292">
        <w:rPr>
          <w:rFonts w:ascii="Courier New" w:hAnsi="Courier New"/>
          <w:noProof/>
          <w:color w:val="993366"/>
          <w:sz w:val="16"/>
          <w:lang w:eastAsia="en-GB"/>
        </w:rPr>
        <w:t>NULL</w:t>
      </w:r>
    </w:p>
    <w:p w14:paraId="4EE5C548" w14:textId="77777777" w:rsidR="00702737" w:rsidRPr="00CF3292" w:rsidRDefault="00702737" w:rsidP="007027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F3292">
        <w:rPr>
          <w:rFonts w:ascii="Courier New" w:hAnsi="Courier New"/>
          <w:noProof/>
          <w:sz w:val="16"/>
          <w:lang w:eastAsia="en-GB"/>
        </w:rPr>
        <w:t xml:space="preserve">    }</w:t>
      </w:r>
    </w:p>
    <w:p w14:paraId="5FCE2DCD" w14:textId="77777777" w:rsidR="00702737" w:rsidRPr="00CF3292" w:rsidRDefault="00702737" w:rsidP="007027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F3292">
        <w:rPr>
          <w:rFonts w:ascii="Courier New" w:hAnsi="Courier New"/>
          <w:noProof/>
          <w:sz w:val="16"/>
          <w:lang w:eastAsia="en-GB"/>
        </w:rPr>
        <w:t xml:space="preserve">    applicabilityStatus-r19                        </w:t>
      </w:r>
      <w:r w:rsidRPr="00CF3292">
        <w:rPr>
          <w:rFonts w:ascii="Courier New" w:hAnsi="Courier New"/>
          <w:noProof/>
          <w:color w:val="993366"/>
          <w:sz w:val="16"/>
          <w:lang w:eastAsia="en-GB"/>
        </w:rPr>
        <w:t>ENUMERATED</w:t>
      </w:r>
      <w:r w:rsidRPr="00CF3292">
        <w:rPr>
          <w:rFonts w:ascii="Courier New" w:hAnsi="Courier New"/>
          <w:noProof/>
          <w:sz w:val="16"/>
          <w:lang w:eastAsia="en-GB"/>
        </w:rPr>
        <w:t xml:space="preserve"> {applicable, inapplicable},</w:t>
      </w:r>
    </w:p>
    <w:p w14:paraId="03BFF8BA" w14:textId="77777777" w:rsidR="00702737" w:rsidRPr="00CF3292" w:rsidRDefault="00702737" w:rsidP="007027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F3292">
        <w:rPr>
          <w:rFonts w:ascii="Courier New" w:hAnsi="Courier New"/>
          <w:noProof/>
          <w:sz w:val="16"/>
          <w:lang w:eastAsia="en-GB"/>
        </w:rPr>
        <w:t xml:space="preserve">    releaseConfigurationPreference-r19             </w:t>
      </w:r>
      <w:r w:rsidRPr="00CF3292">
        <w:rPr>
          <w:rFonts w:ascii="Courier New" w:hAnsi="Courier New"/>
          <w:noProof/>
          <w:color w:val="993366"/>
          <w:sz w:val="16"/>
          <w:lang w:eastAsia="en-GB"/>
        </w:rPr>
        <w:t>ENUMERATED</w:t>
      </w:r>
      <w:r w:rsidRPr="00CF3292">
        <w:rPr>
          <w:rFonts w:ascii="Courier New" w:hAnsi="Courier New"/>
          <w:noProof/>
          <w:sz w:val="16"/>
          <w:lang w:eastAsia="en-GB"/>
        </w:rPr>
        <w:t xml:space="preserve"> {true}                                                                      </w:t>
      </w:r>
      <w:r w:rsidRPr="00CF3292">
        <w:rPr>
          <w:rFonts w:ascii="Courier New" w:hAnsi="Courier New"/>
          <w:noProof/>
          <w:color w:val="993366"/>
          <w:sz w:val="16"/>
          <w:lang w:eastAsia="en-GB"/>
        </w:rPr>
        <w:t>OPTIONAL</w:t>
      </w:r>
      <w:r w:rsidRPr="00CF3292">
        <w:rPr>
          <w:rFonts w:ascii="Courier New" w:hAnsi="Courier New"/>
          <w:noProof/>
          <w:sz w:val="16"/>
          <w:lang w:eastAsia="en-GB"/>
        </w:rPr>
        <w:t>,</w:t>
      </w:r>
    </w:p>
    <w:p w14:paraId="76B5B695" w14:textId="77777777" w:rsidR="00702737" w:rsidRDefault="00702737" w:rsidP="007027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F3292">
        <w:rPr>
          <w:rFonts w:ascii="Courier New" w:hAnsi="Courier New"/>
          <w:noProof/>
          <w:sz w:val="16"/>
          <w:lang w:eastAsia="en-GB"/>
        </w:rPr>
        <w:t xml:space="preserve">    ...</w:t>
      </w:r>
    </w:p>
    <w:p w14:paraId="006B2C97" w14:textId="2A9A4458" w:rsidR="00D07969" w:rsidRPr="00CF3292" w:rsidRDefault="00D07969" w:rsidP="007027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w:t>
      </w:r>
    </w:p>
    <w:p w14:paraId="1ABD0E7D" w14:textId="70AC19B6" w:rsidR="00D07969" w:rsidRDefault="00D07969" w:rsidP="00D07969">
      <w:pPr>
        <w:spacing w:after="0"/>
      </w:pPr>
    </w:p>
    <w:p w14:paraId="7004509A" w14:textId="153233BA" w:rsidR="00702737" w:rsidRPr="00560718" w:rsidRDefault="00D07969" w:rsidP="001B0E99">
      <w:pPr>
        <w:rPr>
          <w:b/>
          <w:bCs/>
        </w:rPr>
      </w:pPr>
      <w:r w:rsidRPr="00560718">
        <w:rPr>
          <w:b/>
          <w:bCs/>
        </w:rPr>
        <w:t>Proposal</w:t>
      </w:r>
      <w:r w:rsidR="00003F91">
        <w:rPr>
          <w:b/>
          <w:bCs/>
        </w:rPr>
        <w:t xml:space="preserve"> 6</w:t>
      </w:r>
      <w:r w:rsidRPr="00560718">
        <w:rPr>
          <w:b/>
          <w:bCs/>
        </w:rPr>
        <w:t xml:space="preserve">: </w:t>
      </w:r>
      <w:r w:rsidR="00445B26" w:rsidRPr="00560718">
        <w:rPr>
          <w:b/>
          <w:bCs/>
        </w:rPr>
        <w:t xml:space="preserve">Add </w:t>
      </w:r>
      <w:r w:rsidR="00445B26" w:rsidRPr="00560718">
        <w:rPr>
          <w:b/>
          <w:bCs/>
          <w:i/>
          <w:iCs/>
        </w:rPr>
        <w:t>inferenceRelatedSetId</w:t>
      </w:r>
      <w:r w:rsidR="00445B26" w:rsidRPr="00560718">
        <w:rPr>
          <w:b/>
          <w:bCs/>
        </w:rPr>
        <w:t xml:space="preserve"> </w:t>
      </w:r>
      <w:r w:rsidR="00560718" w:rsidRPr="00560718">
        <w:rPr>
          <w:b/>
          <w:bCs/>
        </w:rPr>
        <w:t>as a choice in</w:t>
      </w:r>
      <w:r w:rsidR="00445B26" w:rsidRPr="00560718">
        <w:rPr>
          <w:b/>
          <w:bCs/>
        </w:rPr>
        <w:t xml:space="preserve"> </w:t>
      </w:r>
      <w:r w:rsidR="00445B26" w:rsidRPr="00560718">
        <w:rPr>
          <w:b/>
          <w:bCs/>
          <w:i/>
          <w:iCs/>
        </w:rPr>
        <w:t>applicabilityReportConfigId-r19</w:t>
      </w:r>
      <w:r w:rsidR="00445B26" w:rsidRPr="00560718">
        <w:rPr>
          <w:b/>
          <w:bCs/>
        </w:rPr>
        <w:t xml:space="preserve"> under </w:t>
      </w:r>
      <w:r w:rsidR="00445B26" w:rsidRPr="00560718">
        <w:rPr>
          <w:b/>
          <w:bCs/>
          <w:i/>
          <w:iCs/>
        </w:rPr>
        <w:t>Applicability</w:t>
      </w:r>
      <w:r w:rsidR="007D43C3">
        <w:rPr>
          <w:b/>
          <w:bCs/>
          <w:i/>
          <w:iCs/>
        </w:rPr>
        <w:t>ReportConfigIdList</w:t>
      </w:r>
      <w:r w:rsidR="00445B26" w:rsidRPr="00560718">
        <w:rPr>
          <w:b/>
          <w:bCs/>
          <w:i/>
          <w:iCs/>
        </w:rPr>
        <w:t>-r19</w:t>
      </w:r>
      <w:r w:rsidR="00560718">
        <w:rPr>
          <w:b/>
          <w:bCs/>
        </w:rPr>
        <w:t xml:space="preserve"> to support the reporting of the applicability of sets of inference-related parameters</w:t>
      </w:r>
      <w:r w:rsidR="00445B26" w:rsidRPr="00560718">
        <w:rPr>
          <w:b/>
          <w:bCs/>
        </w:rPr>
        <w:t>.</w:t>
      </w:r>
    </w:p>
    <w:p w14:paraId="012278EB" w14:textId="612BD8BF" w:rsidR="009A19B8" w:rsidRDefault="009A19B8" w:rsidP="005061B7">
      <w:r>
        <w:t xml:space="preserve">There </w:t>
      </w:r>
      <w:r w:rsidR="003402B3">
        <w:rPr>
          <w:i/>
          <w:iCs/>
        </w:rPr>
        <w:t>ApplicabilityReport-r19</w:t>
      </w:r>
      <w:r w:rsidR="003402B3">
        <w:t xml:space="preserve"> contains a list called </w:t>
      </w:r>
      <w:r w:rsidR="003402B3">
        <w:rPr>
          <w:i/>
          <w:iCs/>
        </w:rPr>
        <w:t>applicabilityReportConfigIdList-r19</w:t>
      </w:r>
      <w:r w:rsidR="003402B3">
        <w:t xml:space="preserve">, which is a sequence of IEs with the same name, </w:t>
      </w:r>
      <w:r w:rsidR="003402B3">
        <w:rPr>
          <w:i/>
          <w:iCs/>
        </w:rPr>
        <w:t>Applicability</w:t>
      </w:r>
      <w:r w:rsidR="002013C2">
        <w:rPr>
          <w:i/>
          <w:iCs/>
        </w:rPr>
        <w:t>ReportConfigIdList-r19</w:t>
      </w:r>
      <w:r w:rsidR="002013C2">
        <w:t xml:space="preserve">. The </w:t>
      </w:r>
      <w:r w:rsidR="002013C2">
        <w:rPr>
          <w:i/>
          <w:iCs/>
        </w:rPr>
        <w:t>ApplicabilityReport-r19</w:t>
      </w:r>
      <w:r w:rsidR="002013C2">
        <w:t xml:space="preserve"> includes the serving cell index, </w:t>
      </w:r>
      <w:r w:rsidR="00026735">
        <w:rPr>
          <w:i/>
          <w:iCs/>
        </w:rPr>
        <w:t>applicabilityCellId-r19</w:t>
      </w:r>
      <w:r w:rsidR="002013C2">
        <w:t xml:space="preserve">, but we think this could be moved to the IE containing the </w:t>
      </w:r>
      <w:r w:rsidR="002013C2">
        <w:rPr>
          <w:i/>
          <w:iCs/>
        </w:rPr>
        <w:t>applicabilityReportConfigId-r19</w:t>
      </w:r>
      <w:r w:rsidR="002013C2">
        <w:t xml:space="preserve"> and </w:t>
      </w:r>
      <w:r w:rsidR="002013C2">
        <w:rPr>
          <w:i/>
          <w:iCs/>
        </w:rPr>
        <w:t>applicabilityStatus-r19</w:t>
      </w:r>
      <w:r w:rsidR="002013C2">
        <w:t xml:space="preserve"> as the savings of reporting the </w:t>
      </w:r>
      <w:r w:rsidR="002013C2">
        <w:rPr>
          <w:i/>
          <w:iCs/>
        </w:rPr>
        <w:t>ServCellIndex</w:t>
      </w:r>
      <w:r w:rsidR="002013C2">
        <w:t xml:space="preserve"> once instead of per report is minimal.</w:t>
      </w:r>
    </w:p>
    <w:p w14:paraId="0F2FA0A8" w14:textId="2C0E9C4A" w:rsidR="002013C2" w:rsidRPr="00026735" w:rsidRDefault="002013C2" w:rsidP="005061B7">
      <w:pPr>
        <w:rPr>
          <w:b/>
          <w:bCs/>
        </w:rPr>
      </w:pPr>
      <w:r w:rsidRPr="00026735">
        <w:rPr>
          <w:b/>
          <w:bCs/>
        </w:rPr>
        <w:t>Proposal</w:t>
      </w:r>
      <w:r w:rsidR="00003F91">
        <w:rPr>
          <w:b/>
          <w:bCs/>
        </w:rPr>
        <w:t xml:space="preserve"> 7</w:t>
      </w:r>
      <w:r w:rsidRPr="00026735">
        <w:rPr>
          <w:b/>
          <w:bCs/>
        </w:rPr>
        <w:t xml:space="preserve">: Move </w:t>
      </w:r>
      <w:r w:rsidRPr="00026735">
        <w:rPr>
          <w:b/>
          <w:bCs/>
          <w:i/>
          <w:iCs/>
        </w:rPr>
        <w:t>applicabilityCellId-r19</w:t>
      </w:r>
      <w:r w:rsidRPr="00026735">
        <w:rPr>
          <w:b/>
          <w:bCs/>
        </w:rPr>
        <w:t xml:space="preserve"> to the </w:t>
      </w:r>
      <w:r w:rsidRPr="00026735">
        <w:rPr>
          <w:b/>
          <w:bCs/>
          <w:i/>
          <w:iCs/>
        </w:rPr>
        <w:t>ApplicabilityReportConfigIdList-r19</w:t>
      </w:r>
      <w:r w:rsidRPr="00026735">
        <w:rPr>
          <w:b/>
          <w:bCs/>
        </w:rPr>
        <w:t>.</w:t>
      </w:r>
    </w:p>
    <w:p w14:paraId="75E0EEA2" w14:textId="02B19A65" w:rsidR="00026735" w:rsidRDefault="00026735" w:rsidP="005061B7">
      <w:r>
        <w:t xml:space="preserve">Then, the IE </w:t>
      </w:r>
      <w:r>
        <w:rPr>
          <w:i/>
          <w:iCs/>
        </w:rPr>
        <w:t>ApplicabilityReport</w:t>
      </w:r>
      <w:r w:rsidR="005059E5">
        <w:rPr>
          <w:i/>
          <w:iCs/>
        </w:rPr>
        <w:t>-r19</w:t>
      </w:r>
      <w:r>
        <w:t xml:space="preserve"> can be a simple sequence of </w:t>
      </w:r>
      <w:r>
        <w:rPr>
          <w:i/>
          <w:iCs/>
        </w:rPr>
        <w:t>ApplicabilityReportConfigIdList</w:t>
      </w:r>
      <w:r>
        <w:t xml:space="preserve"> IEs. Furthermore, </w:t>
      </w:r>
      <w:r>
        <w:rPr>
          <w:i/>
          <w:iCs/>
        </w:rPr>
        <w:t>ApplicabilityReportConfigIdList</w:t>
      </w:r>
      <w:r w:rsidR="005059E5">
        <w:rPr>
          <w:i/>
          <w:iCs/>
        </w:rPr>
        <w:t>-r19</w:t>
      </w:r>
      <w:r>
        <w:t xml:space="preserve"> could be renamed to </w:t>
      </w:r>
      <w:r>
        <w:rPr>
          <w:i/>
          <w:iCs/>
        </w:rPr>
        <w:t>ApplicabilityInformation-r19</w:t>
      </w:r>
      <w:r>
        <w:t xml:space="preserve"> for clarity. The Final ASN.1 prototype would read as follows.</w:t>
      </w:r>
    </w:p>
    <w:p w14:paraId="412106A3" w14:textId="61167F1A" w:rsidR="00026735" w:rsidRDefault="00026735" w:rsidP="00026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F5CF1">
        <w:rPr>
          <w:rFonts w:ascii="Courier New" w:hAnsi="Courier New"/>
          <w:noProof/>
          <w:sz w:val="16"/>
          <w:lang w:eastAsia="en-GB"/>
        </w:rPr>
        <w:t>ApplicabilityReport-r19 ::=</w:t>
      </w:r>
      <w:r>
        <w:rPr>
          <w:rFonts w:ascii="Courier New" w:hAnsi="Courier New"/>
          <w:noProof/>
          <w:sz w:val="16"/>
          <w:lang w:eastAsia="en-GB"/>
        </w:rPr>
        <w:t xml:space="preserve"> </w:t>
      </w:r>
      <w:r w:rsidRPr="00CF3292">
        <w:rPr>
          <w:rFonts w:ascii="Courier New" w:hAnsi="Courier New"/>
          <w:noProof/>
          <w:color w:val="993366"/>
          <w:sz w:val="16"/>
          <w:lang w:eastAsia="en-GB"/>
        </w:rPr>
        <w:t>SEQUENCE</w:t>
      </w:r>
      <w:r w:rsidRPr="00BF5CF1">
        <w:rPr>
          <w:rFonts w:ascii="Courier New" w:hAnsi="Courier New"/>
          <w:noProof/>
          <w:sz w:val="16"/>
          <w:lang w:eastAsia="en-GB"/>
        </w:rPr>
        <w:t xml:space="preserve"> </w:t>
      </w:r>
      <w:r>
        <w:rPr>
          <w:rFonts w:ascii="Courier New" w:hAnsi="Courier New"/>
          <w:noProof/>
          <w:sz w:val="16"/>
          <w:lang w:eastAsia="en-GB"/>
        </w:rPr>
        <w:t>(SIZE (1..maxNrofApplicabilityInformation)) OF</w:t>
      </w:r>
      <w:r>
        <w:rPr>
          <w:rFonts w:ascii="Courier New" w:hAnsi="Courier New"/>
          <w:noProof/>
          <w:sz w:val="16"/>
          <w:lang w:eastAsia="en-GB"/>
        </w:rPr>
        <w:br/>
        <w:t xml:space="preserve">        ApplicabilityInformation-r19</w:t>
      </w:r>
    </w:p>
    <w:p w14:paraId="0C7FD517" w14:textId="77777777" w:rsidR="005059E5" w:rsidRDefault="005059E5" w:rsidP="00026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0610086" w14:textId="2CD55629" w:rsidR="005059E5" w:rsidRDefault="005059E5" w:rsidP="00505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F3292">
        <w:rPr>
          <w:rFonts w:ascii="Courier New" w:hAnsi="Courier New"/>
          <w:noProof/>
          <w:sz w:val="16"/>
          <w:lang w:eastAsia="en-GB"/>
        </w:rPr>
        <w:t>Applicability</w:t>
      </w:r>
      <w:r>
        <w:rPr>
          <w:rFonts w:ascii="Courier New" w:hAnsi="Courier New"/>
          <w:noProof/>
          <w:sz w:val="16"/>
          <w:lang w:eastAsia="en-GB"/>
        </w:rPr>
        <w:t>Information</w:t>
      </w:r>
      <w:r w:rsidRPr="00CF3292">
        <w:rPr>
          <w:rFonts w:ascii="Courier New" w:hAnsi="Courier New"/>
          <w:noProof/>
          <w:sz w:val="16"/>
          <w:lang w:eastAsia="en-GB"/>
        </w:rPr>
        <w:t xml:space="preserve">-r19 ::=    </w:t>
      </w:r>
      <w:r w:rsidRPr="00CF3292">
        <w:rPr>
          <w:rFonts w:ascii="Courier New" w:hAnsi="Courier New"/>
          <w:noProof/>
          <w:color w:val="993366"/>
          <w:sz w:val="16"/>
          <w:lang w:eastAsia="en-GB"/>
        </w:rPr>
        <w:t>SEQUENCE</w:t>
      </w:r>
      <w:r w:rsidRPr="00CF3292">
        <w:rPr>
          <w:rFonts w:ascii="Courier New" w:hAnsi="Courier New"/>
          <w:noProof/>
          <w:sz w:val="16"/>
          <w:lang w:eastAsia="en-GB"/>
        </w:rPr>
        <w:t xml:space="preserve"> {</w:t>
      </w:r>
    </w:p>
    <w:p w14:paraId="1F96D76C" w14:textId="451A0C8D" w:rsidR="005059E5" w:rsidRPr="00CF3292" w:rsidRDefault="005059E5" w:rsidP="00505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applicabilityCellId-r19                  ServCellIndex,</w:t>
      </w:r>
    </w:p>
    <w:p w14:paraId="445DDD49" w14:textId="77777777" w:rsidR="005059E5" w:rsidRPr="00CF3292" w:rsidRDefault="005059E5" w:rsidP="00505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CF3292">
        <w:rPr>
          <w:rFonts w:ascii="Courier New" w:hAnsi="Courier New"/>
          <w:noProof/>
          <w:sz w:val="16"/>
          <w:lang w:eastAsia="en-GB"/>
        </w:rPr>
        <w:t xml:space="preserve">    applicabilityReportConfigId-r19          </w:t>
      </w:r>
      <w:r w:rsidRPr="00CF3292">
        <w:rPr>
          <w:rFonts w:ascii="Courier New" w:eastAsia="DengXian" w:hAnsi="Courier New"/>
          <w:noProof/>
          <w:color w:val="993366"/>
          <w:sz w:val="16"/>
          <w:lang w:eastAsia="en-GB"/>
        </w:rPr>
        <w:t>CHOICE</w:t>
      </w:r>
      <w:r w:rsidRPr="00CF3292">
        <w:rPr>
          <w:rFonts w:ascii="Courier New" w:eastAsia="DengXian" w:hAnsi="Courier New"/>
          <w:noProof/>
          <w:sz w:val="16"/>
          <w:lang w:eastAsia="en-GB"/>
        </w:rPr>
        <w:t xml:space="preserve"> {</w:t>
      </w:r>
    </w:p>
    <w:p w14:paraId="5FFF13BB" w14:textId="77777777" w:rsidR="005059E5" w:rsidRPr="00CF3292" w:rsidRDefault="005059E5" w:rsidP="00505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F3292">
        <w:rPr>
          <w:rFonts w:ascii="Courier New" w:eastAsia="DengXian" w:hAnsi="Courier New"/>
          <w:noProof/>
          <w:sz w:val="16"/>
          <w:lang w:eastAsia="en-GB"/>
        </w:rPr>
        <w:t xml:space="preserve">       csi-ReportConfigId                        </w:t>
      </w:r>
      <w:r>
        <w:rPr>
          <w:rFonts w:ascii="Courier New" w:eastAsia="DengXian" w:hAnsi="Courier New"/>
          <w:noProof/>
          <w:sz w:val="16"/>
          <w:lang w:eastAsia="en-GB"/>
        </w:rPr>
        <w:t xml:space="preserve"> </w:t>
      </w:r>
      <w:r w:rsidRPr="00CF3292">
        <w:rPr>
          <w:rFonts w:ascii="Courier New" w:hAnsi="Courier New"/>
          <w:noProof/>
          <w:sz w:val="16"/>
          <w:lang w:eastAsia="en-GB"/>
        </w:rPr>
        <w:t>CSI-ReportConfigId,</w:t>
      </w:r>
      <w:r>
        <w:rPr>
          <w:rFonts w:ascii="Courier New" w:hAnsi="Courier New"/>
          <w:noProof/>
          <w:sz w:val="16"/>
          <w:lang w:eastAsia="en-GB"/>
        </w:rPr>
        <w:br/>
      </w:r>
      <w:r w:rsidRPr="005059E5">
        <w:rPr>
          <w:rFonts w:ascii="Courier New" w:hAnsi="Courier New"/>
          <w:noProof/>
          <w:color w:val="000000" w:themeColor="text1"/>
          <w:sz w:val="16"/>
          <w:lang w:eastAsia="en-GB"/>
        </w:rPr>
        <w:t xml:space="preserve">       inferenceRelatedSetId                      InferenceRelatedSetId,</w:t>
      </w:r>
    </w:p>
    <w:p w14:paraId="6B69BD8F" w14:textId="77777777" w:rsidR="005059E5" w:rsidRPr="00CF3292" w:rsidRDefault="005059E5" w:rsidP="00505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F3292">
        <w:rPr>
          <w:rFonts w:ascii="Courier New" w:hAnsi="Courier New"/>
          <w:noProof/>
          <w:sz w:val="16"/>
          <w:lang w:eastAsia="en-GB"/>
        </w:rPr>
        <w:t xml:space="preserve">       spare6                                     </w:t>
      </w:r>
      <w:r w:rsidRPr="00CF3292">
        <w:rPr>
          <w:rFonts w:ascii="Courier New" w:hAnsi="Courier New"/>
          <w:noProof/>
          <w:color w:val="993366"/>
          <w:sz w:val="16"/>
          <w:lang w:eastAsia="en-GB"/>
        </w:rPr>
        <w:t>NULL</w:t>
      </w:r>
      <w:r w:rsidRPr="00CF3292">
        <w:rPr>
          <w:rFonts w:ascii="Courier New" w:hAnsi="Courier New"/>
          <w:noProof/>
          <w:sz w:val="16"/>
          <w:lang w:eastAsia="en-GB"/>
        </w:rPr>
        <w:t>,</w:t>
      </w:r>
    </w:p>
    <w:p w14:paraId="529A0D69" w14:textId="77777777" w:rsidR="005059E5" w:rsidRPr="00CF3292" w:rsidRDefault="005059E5" w:rsidP="00505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F3292">
        <w:rPr>
          <w:rFonts w:ascii="Courier New" w:hAnsi="Courier New"/>
          <w:noProof/>
          <w:sz w:val="16"/>
          <w:lang w:eastAsia="en-GB"/>
        </w:rPr>
        <w:t xml:space="preserve">       spare5                                     </w:t>
      </w:r>
      <w:r w:rsidRPr="00CF3292">
        <w:rPr>
          <w:rFonts w:ascii="Courier New" w:hAnsi="Courier New"/>
          <w:noProof/>
          <w:color w:val="993366"/>
          <w:sz w:val="16"/>
          <w:lang w:eastAsia="en-GB"/>
        </w:rPr>
        <w:t>NULL</w:t>
      </w:r>
      <w:r w:rsidRPr="00CF3292">
        <w:rPr>
          <w:rFonts w:ascii="Courier New" w:hAnsi="Courier New"/>
          <w:noProof/>
          <w:sz w:val="16"/>
          <w:lang w:eastAsia="en-GB"/>
        </w:rPr>
        <w:t>,</w:t>
      </w:r>
    </w:p>
    <w:p w14:paraId="7B0155B9" w14:textId="77777777" w:rsidR="005059E5" w:rsidRPr="00CF3292" w:rsidRDefault="005059E5" w:rsidP="00505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F3292">
        <w:rPr>
          <w:rFonts w:ascii="Courier New" w:hAnsi="Courier New"/>
          <w:noProof/>
          <w:sz w:val="16"/>
          <w:lang w:eastAsia="en-GB"/>
        </w:rPr>
        <w:t xml:space="preserve">       spare4                                     </w:t>
      </w:r>
      <w:r w:rsidRPr="00CF3292">
        <w:rPr>
          <w:rFonts w:ascii="Courier New" w:hAnsi="Courier New"/>
          <w:noProof/>
          <w:color w:val="993366"/>
          <w:sz w:val="16"/>
          <w:lang w:eastAsia="en-GB"/>
        </w:rPr>
        <w:t>NULL</w:t>
      </w:r>
      <w:r w:rsidRPr="00CF3292">
        <w:rPr>
          <w:rFonts w:ascii="Courier New" w:hAnsi="Courier New"/>
          <w:noProof/>
          <w:sz w:val="16"/>
          <w:lang w:eastAsia="en-GB"/>
        </w:rPr>
        <w:t>,</w:t>
      </w:r>
    </w:p>
    <w:p w14:paraId="7D429F93" w14:textId="77777777" w:rsidR="005059E5" w:rsidRPr="00CF3292" w:rsidRDefault="005059E5" w:rsidP="00505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F3292">
        <w:rPr>
          <w:rFonts w:ascii="Courier New" w:hAnsi="Courier New"/>
          <w:noProof/>
          <w:sz w:val="16"/>
          <w:lang w:eastAsia="en-GB"/>
        </w:rPr>
        <w:t xml:space="preserve">       spare3                                     </w:t>
      </w:r>
      <w:r w:rsidRPr="00CF3292">
        <w:rPr>
          <w:rFonts w:ascii="Courier New" w:hAnsi="Courier New"/>
          <w:noProof/>
          <w:color w:val="993366"/>
          <w:sz w:val="16"/>
          <w:lang w:eastAsia="en-GB"/>
        </w:rPr>
        <w:t>NULL</w:t>
      </w:r>
      <w:r w:rsidRPr="00CF3292">
        <w:rPr>
          <w:rFonts w:ascii="Courier New" w:hAnsi="Courier New"/>
          <w:noProof/>
          <w:sz w:val="16"/>
          <w:lang w:eastAsia="en-GB"/>
        </w:rPr>
        <w:t>,</w:t>
      </w:r>
    </w:p>
    <w:p w14:paraId="7FF0D6E4" w14:textId="77777777" w:rsidR="005059E5" w:rsidRPr="00CF3292" w:rsidRDefault="005059E5" w:rsidP="00505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F3292">
        <w:rPr>
          <w:rFonts w:ascii="Courier New" w:hAnsi="Courier New"/>
          <w:noProof/>
          <w:sz w:val="16"/>
          <w:lang w:eastAsia="en-GB"/>
        </w:rPr>
        <w:t xml:space="preserve">       spare2                                     </w:t>
      </w:r>
      <w:r w:rsidRPr="00CF3292">
        <w:rPr>
          <w:rFonts w:ascii="Courier New" w:hAnsi="Courier New"/>
          <w:noProof/>
          <w:color w:val="993366"/>
          <w:sz w:val="16"/>
          <w:lang w:eastAsia="en-GB"/>
        </w:rPr>
        <w:t>NULL</w:t>
      </w:r>
      <w:r w:rsidRPr="00CF3292">
        <w:rPr>
          <w:rFonts w:ascii="Courier New" w:hAnsi="Courier New"/>
          <w:noProof/>
          <w:sz w:val="16"/>
          <w:lang w:eastAsia="en-GB"/>
        </w:rPr>
        <w:t>,</w:t>
      </w:r>
    </w:p>
    <w:p w14:paraId="5570D8D8" w14:textId="77777777" w:rsidR="005059E5" w:rsidRPr="00CF3292" w:rsidRDefault="005059E5" w:rsidP="00505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F3292">
        <w:rPr>
          <w:rFonts w:ascii="Courier New" w:hAnsi="Courier New"/>
          <w:noProof/>
          <w:sz w:val="16"/>
          <w:lang w:eastAsia="en-GB"/>
        </w:rPr>
        <w:t xml:space="preserve">       spare1                                     </w:t>
      </w:r>
      <w:r w:rsidRPr="00CF3292">
        <w:rPr>
          <w:rFonts w:ascii="Courier New" w:hAnsi="Courier New"/>
          <w:noProof/>
          <w:color w:val="993366"/>
          <w:sz w:val="16"/>
          <w:lang w:eastAsia="en-GB"/>
        </w:rPr>
        <w:t>NULL</w:t>
      </w:r>
    </w:p>
    <w:p w14:paraId="653BC596" w14:textId="77777777" w:rsidR="005059E5" w:rsidRPr="00CF3292" w:rsidRDefault="005059E5" w:rsidP="00505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F3292">
        <w:rPr>
          <w:rFonts w:ascii="Courier New" w:hAnsi="Courier New"/>
          <w:noProof/>
          <w:sz w:val="16"/>
          <w:lang w:eastAsia="en-GB"/>
        </w:rPr>
        <w:t xml:space="preserve">    }</w:t>
      </w:r>
    </w:p>
    <w:p w14:paraId="4117F3A5" w14:textId="77777777" w:rsidR="005059E5" w:rsidRPr="00CF3292" w:rsidRDefault="005059E5" w:rsidP="00505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F3292">
        <w:rPr>
          <w:rFonts w:ascii="Courier New" w:hAnsi="Courier New"/>
          <w:noProof/>
          <w:sz w:val="16"/>
          <w:lang w:eastAsia="en-GB"/>
        </w:rPr>
        <w:t xml:space="preserve">    applicabilityStatus-r19                        </w:t>
      </w:r>
      <w:r w:rsidRPr="00CF3292">
        <w:rPr>
          <w:rFonts w:ascii="Courier New" w:hAnsi="Courier New"/>
          <w:noProof/>
          <w:color w:val="993366"/>
          <w:sz w:val="16"/>
          <w:lang w:eastAsia="en-GB"/>
        </w:rPr>
        <w:t>ENUMERATED</w:t>
      </w:r>
      <w:r w:rsidRPr="00CF3292">
        <w:rPr>
          <w:rFonts w:ascii="Courier New" w:hAnsi="Courier New"/>
          <w:noProof/>
          <w:sz w:val="16"/>
          <w:lang w:eastAsia="en-GB"/>
        </w:rPr>
        <w:t xml:space="preserve"> {applicable, inapplicable},</w:t>
      </w:r>
    </w:p>
    <w:p w14:paraId="4EEAC6D9" w14:textId="77777777" w:rsidR="005059E5" w:rsidRPr="00CF3292" w:rsidRDefault="005059E5" w:rsidP="00505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F3292">
        <w:rPr>
          <w:rFonts w:ascii="Courier New" w:hAnsi="Courier New"/>
          <w:noProof/>
          <w:sz w:val="16"/>
          <w:lang w:eastAsia="en-GB"/>
        </w:rPr>
        <w:t xml:space="preserve">    releaseConfigurationPreference-r19             </w:t>
      </w:r>
      <w:r w:rsidRPr="00CF3292">
        <w:rPr>
          <w:rFonts w:ascii="Courier New" w:hAnsi="Courier New"/>
          <w:noProof/>
          <w:color w:val="993366"/>
          <w:sz w:val="16"/>
          <w:lang w:eastAsia="en-GB"/>
        </w:rPr>
        <w:t>ENUMERATED</w:t>
      </w:r>
      <w:r w:rsidRPr="00CF3292">
        <w:rPr>
          <w:rFonts w:ascii="Courier New" w:hAnsi="Courier New"/>
          <w:noProof/>
          <w:sz w:val="16"/>
          <w:lang w:eastAsia="en-GB"/>
        </w:rPr>
        <w:t xml:space="preserve"> {true}                                                                      </w:t>
      </w:r>
      <w:r w:rsidRPr="00CF3292">
        <w:rPr>
          <w:rFonts w:ascii="Courier New" w:hAnsi="Courier New"/>
          <w:noProof/>
          <w:color w:val="993366"/>
          <w:sz w:val="16"/>
          <w:lang w:eastAsia="en-GB"/>
        </w:rPr>
        <w:t>OPTIONAL</w:t>
      </w:r>
      <w:r w:rsidRPr="00CF3292">
        <w:rPr>
          <w:rFonts w:ascii="Courier New" w:hAnsi="Courier New"/>
          <w:noProof/>
          <w:sz w:val="16"/>
          <w:lang w:eastAsia="en-GB"/>
        </w:rPr>
        <w:t>,</w:t>
      </w:r>
    </w:p>
    <w:p w14:paraId="1FDB5EBB" w14:textId="77777777" w:rsidR="005059E5" w:rsidRDefault="005059E5" w:rsidP="00505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F3292">
        <w:rPr>
          <w:rFonts w:ascii="Courier New" w:hAnsi="Courier New"/>
          <w:noProof/>
          <w:sz w:val="16"/>
          <w:lang w:eastAsia="en-GB"/>
        </w:rPr>
        <w:t xml:space="preserve">    ...</w:t>
      </w:r>
    </w:p>
    <w:p w14:paraId="5CEA3786" w14:textId="10D29AE7" w:rsidR="005059E5" w:rsidRPr="00BF5CF1" w:rsidRDefault="005059E5" w:rsidP="00026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w:t>
      </w:r>
    </w:p>
    <w:p w14:paraId="44EACAC5" w14:textId="7CE29C0D" w:rsidR="005059E5" w:rsidRDefault="005059E5" w:rsidP="005059E5">
      <w:pPr>
        <w:jc w:val="center"/>
      </w:pPr>
      <w:r>
        <w:t xml:space="preserve">Figure 2.2-1: Simplified </w:t>
      </w:r>
      <w:r w:rsidR="0040523D">
        <w:t>ASN.1 structure for applicability reporting</w:t>
      </w:r>
    </w:p>
    <w:p w14:paraId="00C0D891" w14:textId="53AD7F0B" w:rsidR="00026735" w:rsidRPr="001576E2" w:rsidRDefault="005059E5" w:rsidP="005061B7">
      <w:pPr>
        <w:rPr>
          <w:b/>
          <w:bCs/>
        </w:rPr>
      </w:pPr>
      <w:r w:rsidRPr="001576E2">
        <w:rPr>
          <w:b/>
          <w:bCs/>
        </w:rPr>
        <w:t>Proposal</w:t>
      </w:r>
      <w:r w:rsidR="00003F91">
        <w:rPr>
          <w:b/>
          <w:bCs/>
        </w:rPr>
        <w:t xml:space="preserve"> 8</w:t>
      </w:r>
      <w:r w:rsidRPr="001576E2">
        <w:rPr>
          <w:b/>
          <w:bCs/>
        </w:rPr>
        <w:t xml:space="preserve">: </w:t>
      </w:r>
      <w:r w:rsidR="0085600D">
        <w:rPr>
          <w:b/>
          <w:bCs/>
        </w:rPr>
        <w:t>RAN2 to discuss a</w:t>
      </w:r>
      <w:r w:rsidRPr="001576E2">
        <w:rPr>
          <w:b/>
          <w:bCs/>
        </w:rPr>
        <w:t>dop</w:t>
      </w:r>
      <w:r w:rsidR="00B42B43">
        <w:rPr>
          <w:b/>
          <w:bCs/>
        </w:rPr>
        <w:t>t</w:t>
      </w:r>
      <w:r w:rsidR="0085600D">
        <w:rPr>
          <w:b/>
          <w:bCs/>
        </w:rPr>
        <w:t>ing</w:t>
      </w:r>
      <w:r w:rsidRPr="001576E2">
        <w:rPr>
          <w:b/>
          <w:bCs/>
        </w:rPr>
        <w:t xml:space="preserve"> the ASN.1 definition of Figure 2.2-1 </w:t>
      </w:r>
      <w:r w:rsidR="00012A1D" w:rsidRPr="001576E2">
        <w:rPr>
          <w:b/>
          <w:bCs/>
        </w:rPr>
        <w:t>to simplify the reporting of applicability</w:t>
      </w:r>
      <w:r w:rsidR="001576E2" w:rsidRPr="001576E2">
        <w:rPr>
          <w:b/>
          <w:bCs/>
        </w:rPr>
        <w:t>, reporting the applicability of configurations pertaining to any cell in the same flat list.</w:t>
      </w:r>
    </w:p>
    <w:p w14:paraId="4D6FAF81" w14:textId="1E2C97F3" w:rsidR="005D37EE" w:rsidRDefault="0089243D" w:rsidP="005061B7">
      <w:r>
        <w:t>The following procedure could be used to generically report the applicability of sets of inference-related parameters.</w:t>
      </w:r>
      <w:r w:rsidR="00CA4E5D">
        <w:t xml:space="preserve"> Note that it is FFS whether the UE can request to release the configuration of a set of inference-related parameters as this could cause unnecessary overhead if the sets of inference-related parameters do not use an </w:t>
      </w:r>
      <w:r w:rsidR="00CA4E5D">
        <w:rPr>
          <w:i/>
          <w:iCs/>
        </w:rPr>
        <w:t>AddMod</w:t>
      </w:r>
      <w:r w:rsidR="00CA4E5D">
        <w:t>/</w:t>
      </w:r>
      <w:r w:rsidR="00CA4E5D">
        <w:rPr>
          <w:i/>
          <w:iCs/>
        </w:rPr>
        <w:t>Release</w:t>
      </w:r>
      <w:r w:rsidR="005D37EE">
        <w:rPr>
          <w:i/>
          <w:iCs/>
        </w:rPr>
        <w:t>.</w:t>
      </w:r>
    </w:p>
    <w:p w14:paraId="07DE73B7" w14:textId="51E3B713" w:rsidR="001576E2" w:rsidRPr="005D37EE" w:rsidRDefault="005D37EE" w:rsidP="005061B7">
      <w:pPr>
        <w:rPr>
          <w:b/>
          <w:bCs/>
        </w:rPr>
      </w:pPr>
      <w:r w:rsidRPr="005D37EE">
        <w:rPr>
          <w:b/>
          <w:bCs/>
        </w:rPr>
        <w:t>Observation</w:t>
      </w:r>
      <w:r w:rsidR="00003F91">
        <w:rPr>
          <w:b/>
          <w:bCs/>
        </w:rPr>
        <w:t xml:space="preserve"> 8</w:t>
      </w:r>
      <w:r w:rsidRPr="005D37EE">
        <w:rPr>
          <w:b/>
          <w:bCs/>
        </w:rPr>
        <w:t>: It might not be useful to allow a UE to request the release of a set of inference-related parameters and could cause unnecessary overhead if the sets of inference-related parameters are not configured with an AddMod / Release.</w:t>
      </w:r>
    </w:p>
    <w:p w14:paraId="33CFC2B2" w14:textId="35C7BD7B" w:rsidR="006B301F" w:rsidRDefault="00D73F6D" w:rsidP="00B750A1">
      <w:pPr>
        <w:rPr>
          <w:noProof/>
        </w:rPr>
      </w:pPr>
      <w:r>
        <w:rPr>
          <w:noProof/>
        </w:rPr>
        <w:t>1</w:t>
      </w:r>
      <w:r w:rsidR="0038476A">
        <w:rPr>
          <w:noProof/>
        </w:rPr>
        <w:t xml:space="preserve">&gt; </w:t>
      </w:r>
      <w:r w:rsidR="00EE72AC">
        <w:rPr>
          <w:noProof/>
        </w:rPr>
        <w:t xml:space="preserve">if transmission of the </w:t>
      </w:r>
      <w:r w:rsidR="00EE72AC">
        <w:rPr>
          <w:i/>
          <w:iCs/>
          <w:noProof/>
        </w:rPr>
        <w:t>UEAssistanceInformation</w:t>
      </w:r>
      <w:r w:rsidR="00EE72AC">
        <w:rPr>
          <w:noProof/>
        </w:rPr>
        <w:t xml:space="preserve"> message is initiated to report assistance information about the </w:t>
      </w:r>
      <w:r w:rsidR="00361504">
        <w:rPr>
          <w:noProof/>
        </w:rPr>
        <w:t>applicability of configurations subject to the applicability determination procedure according to 5.7.4.2:</w:t>
      </w:r>
    </w:p>
    <w:p w14:paraId="16C5ACE9" w14:textId="4CEF3A56" w:rsidR="00D73F6D" w:rsidRDefault="00D73F6D" w:rsidP="007E3C4C">
      <w:pPr>
        <w:ind w:firstLine="284"/>
        <w:rPr>
          <w:noProof/>
        </w:rPr>
      </w:pPr>
      <w:r>
        <w:rPr>
          <w:noProof/>
        </w:rPr>
        <w:t>2</w:t>
      </w:r>
      <w:r w:rsidR="006B301F">
        <w:rPr>
          <w:noProof/>
        </w:rPr>
        <w:t xml:space="preserve">&gt; </w:t>
      </w:r>
      <w:r w:rsidR="00B36366">
        <w:rPr>
          <w:noProof/>
        </w:rPr>
        <w:t xml:space="preserve">include </w:t>
      </w:r>
      <w:r w:rsidR="00B36366">
        <w:rPr>
          <w:i/>
          <w:iCs/>
          <w:noProof/>
        </w:rPr>
        <w:t>ApplicabilityReport</w:t>
      </w:r>
      <w:r w:rsidR="00B36366">
        <w:rPr>
          <w:noProof/>
        </w:rPr>
        <w:t xml:space="preserve"> in this </w:t>
      </w:r>
      <w:r w:rsidR="00B36366">
        <w:rPr>
          <w:i/>
          <w:iCs/>
          <w:noProof/>
        </w:rPr>
        <w:t>UEAssistanceInformationMessage</w:t>
      </w:r>
      <w:r>
        <w:rPr>
          <w:noProof/>
        </w:rPr>
        <w:t>;</w:t>
      </w:r>
    </w:p>
    <w:p w14:paraId="6048B388" w14:textId="77777777" w:rsidR="00B5204A" w:rsidRDefault="00D73F6D" w:rsidP="007E3C4C">
      <w:pPr>
        <w:ind w:firstLine="284"/>
        <w:rPr>
          <w:noProof/>
        </w:rPr>
      </w:pPr>
      <w:r>
        <w:rPr>
          <w:noProof/>
        </w:rPr>
        <w:t xml:space="preserve">2&gt; </w:t>
      </w:r>
      <w:r w:rsidR="001E35AF">
        <w:rPr>
          <w:noProof/>
        </w:rPr>
        <w:t xml:space="preserve">if </w:t>
      </w:r>
      <w:r w:rsidR="00B5204A" w:rsidRPr="00B5204A">
        <w:rPr>
          <w:i/>
          <w:iCs/>
          <w:noProof/>
        </w:rPr>
        <w:t>inferenceRelatedSetList</w:t>
      </w:r>
      <w:r w:rsidR="00B5204A">
        <w:rPr>
          <w:noProof/>
        </w:rPr>
        <w:t xml:space="preserve"> is present in </w:t>
      </w:r>
      <w:r w:rsidR="00B5204A" w:rsidRPr="00B5204A">
        <w:rPr>
          <w:i/>
          <w:iCs/>
          <w:noProof/>
        </w:rPr>
        <w:t>ApplicabilityReportConfig</w:t>
      </w:r>
      <w:r w:rsidR="00B5204A">
        <w:rPr>
          <w:noProof/>
        </w:rPr>
        <w:t>:</w:t>
      </w:r>
    </w:p>
    <w:p w14:paraId="6CD7B21E" w14:textId="4DA0E7BC" w:rsidR="00D73F6D" w:rsidRDefault="00B5204A" w:rsidP="007E3C4C">
      <w:pPr>
        <w:ind w:left="284" w:firstLine="284"/>
        <w:rPr>
          <w:noProof/>
        </w:rPr>
      </w:pPr>
      <w:r>
        <w:rPr>
          <w:noProof/>
        </w:rPr>
        <w:t xml:space="preserve">3&gt; </w:t>
      </w:r>
      <w:r w:rsidR="00FE2EE3" w:rsidRPr="00B5204A">
        <w:rPr>
          <w:noProof/>
        </w:rPr>
        <w:t>for</w:t>
      </w:r>
      <w:r w:rsidR="00FE2EE3">
        <w:rPr>
          <w:noProof/>
        </w:rPr>
        <w:t xml:space="preserve"> each </w:t>
      </w:r>
      <w:r w:rsidR="001E35AF">
        <w:rPr>
          <w:i/>
          <w:iCs/>
          <w:noProof/>
        </w:rPr>
        <w:t>inferenceRelatedSetId</w:t>
      </w:r>
      <w:r w:rsidR="007E3C4C">
        <w:rPr>
          <w:noProof/>
        </w:rPr>
        <w:t xml:space="preserve"> associated to a </w:t>
      </w:r>
      <w:r w:rsidR="007E3C4C">
        <w:rPr>
          <w:i/>
          <w:iCs/>
          <w:noProof/>
        </w:rPr>
        <w:t>InferenceRelatedSet</w:t>
      </w:r>
      <w:r w:rsidR="0014289D">
        <w:rPr>
          <w:noProof/>
        </w:rPr>
        <w:t>:</w:t>
      </w:r>
    </w:p>
    <w:p w14:paraId="26DD3BF7" w14:textId="3A0C5A94" w:rsidR="0014289D" w:rsidRDefault="0014289D" w:rsidP="00B750A1">
      <w:pPr>
        <w:ind w:left="852" w:firstLine="1"/>
        <w:rPr>
          <w:noProof/>
        </w:rPr>
      </w:pPr>
      <w:r>
        <w:rPr>
          <w:noProof/>
        </w:rPr>
        <w:t xml:space="preserve">4&gt; </w:t>
      </w:r>
      <w:r w:rsidR="00B750A1">
        <w:rPr>
          <w:noProof/>
        </w:rPr>
        <w:t xml:space="preserve">include an entry in </w:t>
      </w:r>
      <w:r w:rsidR="00B750A1">
        <w:rPr>
          <w:i/>
          <w:iCs/>
          <w:noProof/>
        </w:rPr>
        <w:t>ApplicabilityReport</w:t>
      </w:r>
      <w:r w:rsidR="00B750A1">
        <w:rPr>
          <w:noProof/>
        </w:rPr>
        <w:t xml:space="preserve"> in the </w:t>
      </w:r>
      <w:r w:rsidR="00B750A1">
        <w:rPr>
          <w:i/>
          <w:iCs/>
          <w:noProof/>
        </w:rPr>
        <w:t>UEAssistanceInformation</w:t>
      </w:r>
      <w:r w:rsidR="00B750A1">
        <w:rPr>
          <w:noProof/>
        </w:rPr>
        <w:t xml:space="preserve"> message, and set the content as follows:</w:t>
      </w:r>
    </w:p>
    <w:p w14:paraId="2818C53F" w14:textId="09835AEC" w:rsidR="00D02F4D" w:rsidRDefault="00D02F4D" w:rsidP="00B750A1">
      <w:pPr>
        <w:ind w:left="852" w:firstLine="1"/>
        <w:rPr>
          <w:noProof/>
        </w:rPr>
      </w:pPr>
      <w:r>
        <w:rPr>
          <w:noProof/>
        </w:rPr>
        <w:tab/>
        <w:t xml:space="preserve">5&gt; set </w:t>
      </w:r>
      <w:r>
        <w:rPr>
          <w:i/>
          <w:iCs/>
          <w:noProof/>
        </w:rPr>
        <w:t>applicability</w:t>
      </w:r>
      <w:r w:rsidR="0061722E">
        <w:rPr>
          <w:i/>
          <w:iCs/>
          <w:noProof/>
        </w:rPr>
        <w:t>CellId-r19</w:t>
      </w:r>
      <w:r w:rsidR="0061722E">
        <w:rPr>
          <w:noProof/>
        </w:rPr>
        <w:t xml:space="preserve"> to the serving cell index of the cell</w:t>
      </w:r>
      <w:r w:rsidR="00767D5C">
        <w:rPr>
          <w:noProof/>
        </w:rPr>
        <w:t>;</w:t>
      </w:r>
    </w:p>
    <w:p w14:paraId="33549AEE" w14:textId="7A6887A7" w:rsidR="00767D5C" w:rsidRDefault="00767D5C" w:rsidP="00B750A1">
      <w:pPr>
        <w:ind w:left="852" w:firstLine="1"/>
        <w:rPr>
          <w:noProof/>
        </w:rPr>
      </w:pPr>
      <w:r>
        <w:rPr>
          <w:noProof/>
        </w:rPr>
        <w:tab/>
        <w:t xml:space="preserve">5&gt; set </w:t>
      </w:r>
      <w:r>
        <w:rPr>
          <w:i/>
          <w:iCs/>
          <w:noProof/>
        </w:rPr>
        <w:t>applicabilityReportConfigId</w:t>
      </w:r>
      <w:r>
        <w:rPr>
          <w:noProof/>
        </w:rPr>
        <w:t xml:space="preserve"> to the </w:t>
      </w:r>
      <w:r w:rsidR="000A07B1">
        <w:rPr>
          <w:noProof/>
        </w:rPr>
        <w:t xml:space="preserve">corresponding </w:t>
      </w:r>
      <w:r w:rsidR="000A07B1">
        <w:rPr>
          <w:i/>
          <w:iCs/>
          <w:noProof/>
        </w:rPr>
        <w:t>inferenceRelatedSetId</w:t>
      </w:r>
      <w:r w:rsidR="000A07B1">
        <w:rPr>
          <w:noProof/>
        </w:rPr>
        <w:t>;</w:t>
      </w:r>
    </w:p>
    <w:p w14:paraId="1D322EAD" w14:textId="652C4577" w:rsidR="000A07B1" w:rsidRDefault="000A07B1" w:rsidP="001A2D59">
      <w:pPr>
        <w:ind w:left="1136"/>
        <w:rPr>
          <w:noProof/>
        </w:rPr>
      </w:pPr>
      <w:r>
        <w:rPr>
          <w:noProof/>
        </w:rPr>
        <w:t xml:space="preserve">5&gt; set </w:t>
      </w:r>
      <w:r w:rsidR="001A2D59">
        <w:rPr>
          <w:i/>
          <w:iCs/>
          <w:noProof/>
        </w:rPr>
        <w:t>applicabilityStatus</w:t>
      </w:r>
      <w:r w:rsidR="001A2D59">
        <w:rPr>
          <w:noProof/>
        </w:rPr>
        <w:t xml:space="preserve"> to the applicability status of the configuration corresponding to the </w:t>
      </w:r>
      <w:r w:rsidR="001A2D59">
        <w:rPr>
          <w:i/>
          <w:iCs/>
          <w:noProof/>
        </w:rPr>
        <w:t>applicabilityReportConfigId</w:t>
      </w:r>
      <w:r w:rsidR="005928F4">
        <w:rPr>
          <w:noProof/>
        </w:rPr>
        <w:t>;</w:t>
      </w:r>
    </w:p>
    <w:p w14:paraId="20351DEF" w14:textId="78B465F7" w:rsidR="005928F4" w:rsidRDefault="005928F4" w:rsidP="001A2D59">
      <w:pPr>
        <w:ind w:left="1136"/>
        <w:rPr>
          <w:noProof/>
        </w:rPr>
      </w:pPr>
      <w:r>
        <w:rPr>
          <w:noProof/>
        </w:rPr>
        <w:t xml:space="preserve">5&gt; </w:t>
      </w:r>
      <w:r w:rsidR="0089243D">
        <w:rPr>
          <w:noProof/>
        </w:rPr>
        <w:t xml:space="preserve">(FFS) </w:t>
      </w:r>
      <w:r>
        <w:rPr>
          <w:noProof/>
        </w:rPr>
        <w:t xml:space="preserve">if the </w:t>
      </w:r>
      <w:r>
        <w:rPr>
          <w:i/>
          <w:iCs/>
          <w:noProof/>
        </w:rPr>
        <w:t>applicabilityStatus</w:t>
      </w:r>
      <w:r>
        <w:rPr>
          <w:noProof/>
        </w:rPr>
        <w:t xml:space="preserve"> is set to </w:t>
      </w:r>
      <w:r>
        <w:rPr>
          <w:i/>
          <w:iCs/>
          <w:noProof/>
        </w:rPr>
        <w:t>inapplicable</w:t>
      </w:r>
      <w:r>
        <w:rPr>
          <w:noProof/>
        </w:rPr>
        <w:t>:</w:t>
      </w:r>
    </w:p>
    <w:p w14:paraId="6E5C94A2" w14:textId="7C054AA7" w:rsidR="005928F4" w:rsidRPr="005928F4" w:rsidRDefault="005928F4" w:rsidP="001A2D59">
      <w:pPr>
        <w:ind w:left="1136"/>
      </w:pPr>
      <w:r>
        <w:rPr>
          <w:noProof/>
        </w:rPr>
        <w:tab/>
        <w:t xml:space="preserve">6&gt; </w:t>
      </w:r>
      <w:r w:rsidR="0089243D">
        <w:rPr>
          <w:noProof/>
        </w:rPr>
        <w:t xml:space="preserve">(FFS) </w:t>
      </w:r>
      <w:r>
        <w:rPr>
          <w:noProof/>
        </w:rPr>
        <w:t xml:space="preserve">include </w:t>
      </w:r>
      <w:r>
        <w:rPr>
          <w:i/>
          <w:iCs/>
          <w:noProof/>
        </w:rPr>
        <w:t>releaseConfigurationPreference</w:t>
      </w:r>
      <w:r>
        <w:t>if the UE prefers to relea</w:t>
      </w:r>
      <w:r w:rsidR="0089243D">
        <w:t>se the configuration;</w:t>
      </w:r>
    </w:p>
    <w:p w14:paraId="566B8B0E" w14:textId="0E42901B" w:rsidR="00917B5B" w:rsidRPr="00247FC9" w:rsidRDefault="00FD5550" w:rsidP="00FD5550">
      <w:pPr>
        <w:rPr>
          <w:b/>
          <w:bCs/>
        </w:rPr>
      </w:pPr>
      <w:r w:rsidRPr="00247FC9">
        <w:rPr>
          <w:b/>
          <w:bCs/>
        </w:rPr>
        <w:t>Proposal</w:t>
      </w:r>
      <w:r w:rsidR="00003F91">
        <w:rPr>
          <w:b/>
          <w:bCs/>
        </w:rPr>
        <w:t xml:space="preserve"> 9</w:t>
      </w:r>
      <w:r w:rsidRPr="00247FC9">
        <w:rPr>
          <w:b/>
          <w:bCs/>
        </w:rPr>
        <w:t xml:space="preserve">: </w:t>
      </w:r>
      <w:r w:rsidR="0085600D">
        <w:rPr>
          <w:b/>
          <w:bCs/>
        </w:rPr>
        <w:t>RAN2 to discuss a</w:t>
      </w:r>
      <w:r w:rsidRPr="00247FC9">
        <w:rPr>
          <w:b/>
          <w:bCs/>
        </w:rPr>
        <w:t>dop</w:t>
      </w:r>
      <w:r w:rsidR="0085600D">
        <w:rPr>
          <w:b/>
          <w:bCs/>
        </w:rPr>
        <w:t>ting</w:t>
      </w:r>
      <w:r w:rsidRPr="00247FC9">
        <w:rPr>
          <w:b/>
          <w:bCs/>
        </w:rPr>
        <w:t xml:space="preserve"> a generic procedure to support the reporting of the applicability of sets of inference-related parameters</w:t>
      </w:r>
      <w:r w:rsidR="00247FC9" w:rsidRPr="00247FC9">
        <w:rPr>
          <w:b/>
          <w:bCs/>
        </w:rPr>
        <w:t xml:space="preserve"> as exemplified in the provided procedural text prototype.</w:t>
      </w:r>
    </w:p>
    <w:p w14:paraId="7508761B" w14:textId="0B24BBA1" w:rsidR="00B71667" w:rsidRDefault="00B71667" w:rsidP="00093DFA">
      <w:pPr>
        <w:pStyle w:val="Heading2"/>
      </w:pPr>
      <w:r>
        <w:t>2.3</w:t>
      </w:r>
      <w:r>
        <w:tab/>
      </w:r>
      <w:r w:rsidR="00093DFA">
        <w:t xml:space="preserve">Universal procedure for configuring </w:t>
      </w:r>
      <w:r w:rsidR="00AE1417">
        <w:t xml:space="preserve">and reporting </w:t>
      </w:r>
      <w:r w:rsidR="00093DFA">
        <w:t>UE-side data collection preferences</w:t>
      </w:r>
    </w:p>
    <w:p w14:paraId="189ED240" w14:textId="273FD60C" w:rsidR="008310CF" w:rsidRDefault="008310CF" w:rsidP="005061B7">
      <w:r>
        <w:t xml:space="preserve">A similar approach as was described for implementing the applicability reporting based on sets of inference-related parameters can be used to implement the provision of candidates for </w:t>
      </w:r>
      <w:r w:rsidR="00214E9A">
        <w:t>UE-side data collection and the reporting of preference for one or more candidates.</w:t>
      </w:r>
    </w:p>
    <w:p w14:paraId="2F12C09A" w14:textId="3F0F3084" w:rsidR="00D25DCE" w:rsidRDefault="00ED3156" w:rsidP="005061B7">
      <w:pPr>
        <w:rPr>
          <w:iCs/>
        </w:rPr>
      </w:pPr>
      <w:r>
        <w:t xml:space="preserve">The IE </w:t>
      </w:r>
      <w:r>
        <w:rPr>
          <w:i/>
          <w:iCs/>
        </w:rPr>
        <w:t>DataCollectionPreferenceConfig-r19</w:t>
      </w:r>
      <w:r>
        <w:rPr>
          <w:iCs/>
        </w:rPr>
        <w:t xml:space="preserve"> has yet to be defined since it is still under discussion. However, given our arguments from Section 2.1 and the relevant RAN1 and RAN2 agreements, we think that </w:t>
      </w:r>
      <w:r w:rsidR="00061471">
        <w:rPr>
          <w:iCs/>
        </w:rPr>
        <w:t>the following ASN.1 definition could be used as a starting point, mimicking the approach used for sets of inference-related parameters.</w:t>
      </w:r>
    </w:p>
    <w:p w14:paraId="1C1D11DB" w14:textId="77777777" w:rsidR="00267879" w:rsidRPr="00F34D5A" w:rsidRDefault="00267879" w:rsidP="00267879">
      <w:r>
        <w:t xml:space="preserve">The </w:t>
      </w:r>
      <w:r>
        <w:rPr>
          <w:i/>
          <w:iCs/>
        </w:rPr>
        <w:t>DataCollectionPreferenceConfig-r19</w:t>
      </w:r>
      <w:r>
        <w:t xml:space="preserve"> will contain a field enabling or disabling the procedure for UE to provide UE-side data collection options and a list of data collection options, i.e., </w:t>
      </w:r>
      <w:r>
        <w:rPr>
          <w:i/>
          <w:iCs/>
        </w:rPr>
        <w:t>dataCollectionCandidateConfigList-r19</w:t>
      </w:r>
      <w:r>
        <w:t>.</w:t>
      </w:r>
    </w:p>
    <w:p w14:paraId="2242C3B8" w14:textId="77777777" w:rsidR="00267879" w:rsidRPr="00AD63C0" w:rsidRDefault="00267879" w:rsidP="00267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AD63C0">
        <w:rPr>
          <w:rFonts w:ascii="Courier New" w:hAnsi="Courier New"/>
          <w:noProof/>
          <w:sz w:val="16"/>
          <w:lang w:val="en-US" w:eastAsia="en-GB"/>
        </w:rPr>
        <w:t xml:space="preserve">DataCollectionPreferenceConfig-r19 ::=                   </w:t>
      </w:r>
      <w:r w:rsidRPr="00235DDC">
        <w:rPr>
          <w:rFonts w:ascii="Courier New" w:hAnsi="Courier New"/>
          <w:noProof/>
          <w:color w:val="993366"/>
          <w:sz w:val="16"/>
          <w:lang w:eastAsia="en-GB"/>
        </w:rPr>
        <w:t>SEQUENCE</w:t>
      </w:r>
      <w:r w:rsidRPr="00AD63C0">
        <w:rPr>
          <w:rFonts w:ascii="Courier New" w:hAnsi="Courier New"/>
          <w:noProof/>
          <w:sz w:val="16"/>
          <w:lang w:val="en-US" w:eastAsia="en-GB"/>
        </w:rPr>
        <w:t xml:space="preserve"> {</w:t>
      </w:r>
    </w:p>
    <w:p w14:paraId="765B366B" w14:textId="77777777" w:rsidR="00267879" w:rsidRPr="00AD63C0" w:rsidRDefault="00267879" w:rsidP="00267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AD63C0">
        <w:rPr>
          <w:rFonts w:ascii="Courier New" w:hAnsi="Courier New"/>
          <w:noProof/>
          <w:sz w:val="16"/>
          <w:lang w:val="en-US" w:eastAsia="en-GB"/>
        </w:rPr>
        <w:t>  &lt;other configuration fields&gt;</w:t>
      </w:r>
    </w:p>
    <w:p w14:paraId="24439924" w14:textId="77777777" w:rsidR="00267879" w:rsidRPr="00AD63C0" w:rsidRDefault="00267879" w:rsidP="00267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AD63C0">
        <w:rPr>
          <w:rFonts w:ascii="Courier New" w:hAnsi="Courier New"/>
          <w:noProof/>
          <w:sz w:val="16"/>
          <w:lang w:val="en-US" w:eastAsia="en-GB"/>
        </w:rPr>
        <w:t xml:space="preserve">  dataCollectionCandidateConfigList-r19    </w:t>
      </w:r>
      <w:r w:rsidRPr="00235DDC">
        <w:rPr>
          <w:rFonts w:ascii="Courier New" w:hAnsi="Courier New"/>
          <w:noProof/>
          <w:color w:val="993366"/>
          <w:sz w:val="16"/>
          <w:lang w:eastAsia="en-GB"/>
        </w:rPr>
        <w:t>SEQUENCE</w:t>
      </w:r>
      <w:r w:rsidRPr="00AD63C0">
        <w:rPr>
          <w:rFonts w:ascii="Courier New" w:hAnsi="Courier New"/>
          <w:noProof/>
          <w:sz w:val="16"/>
          <w:lang w:val="en-US" w:eastAsia="en-GB"/>
        </w:rPr>
        <w:t xml:space="preserve"> (</w:t>
      </w:r>
      <w:r w:rsidRPr="00235DDC">
        <w:rPr>
          <w:rFonts w:ascii="Courier New" w:hAnsi="Courier New"/>
          <w:noProof/>
          <w:color w:val="993366"/>
          <w:sz w:val="16"/>
          <w:lang w:eastAsia="en-GB"/>
        </w:rPr>
        <w:t>S</w:t>
      </w:r>
      <w:r>
        <w:rPr>
          <w:rFonts w:ascii="Courier New" w:hAnsi="Courier New"/>
          <w:noProof/>
          <w:color w:val="993366"/>
          <w:sz w:val="16"/>
          <w:lang w:eastAsia="en-GB"/>
        </w:rPr>
        <w:t>IZE</w:t>
      </w:r>
      <w:r w:rsidRPr="00AD63C0">
        <w:rPr>
          <w:rFonts w:ascii="Courier New" w:hAnsi="Courier New"/>
          <w:noProof/>
          <w:sz w:val="16"/>
          <w:lang w:val="en-US" w:eastAsia="en-GB"/>
        </w:rPr>
        <w:t xml:space="preserve"> (1..maxNrofDataCollectionCandidateConfig-r19)) OF DataCollectionCandidateConfig-r19</w:t>
      </w:r>
    </w:p>
    <w:p w14:paraId="5056ADB4" w14:textId="77777777" w:rsidR="00267879" w:rsidRPr="00AD63C0" w:rsidRDefault="00267879" w:rsidP="00267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AD63C0">
        <w:rPr>
          <w:rFonts w:ascii="Courier New" w:hAnsi="Courier New"/>
          <w:noProof/>
          <w:sz w:val="16"/>
          <w:lang w:val="en-US" w:eastAsia="en-GB"/>
        </w:rPr>
        <w:t>}</w:t>
      </w:r>
    </w:p>
    <w:p w14:paraId="2852B200" w14:textId="77777777" w:rsidR="00267879" w:rsidRDefault="00267879" w:rsidP="00267879">
      <w:pPr>
        <w:spacing w:after="0"/>
      </w:pPr>
    </w:p>
    <w:p w14:paraId="07837B27" w14:textId="546C3F1F" w:rsidR="00267879" w:rsidRPr="003C0D7D" w:rsidRDefault="00267879" w:rsidP="00267879">
      <w:r>
        <w:t xml:space="preserve">As with the reporting of applicability of sets inference-related parameters, the UE-side data collection preferences would also be identified by an ID, i.e., </w:t>
      </w:r>
      <w:r>
        <w:rPr>
          <w:i/>
          <w:iCs/>
        </w:rPr>
        <w:t>dataCollectionCandidateConfigType-r19</w:t>
      </w:r>
      <w:r>
        <w:t xml:space="preserve">, which could be configured with the appropriate container depending on the use case. In the example below, </w:t>
      </w:r>
      <w:r>
        <w:rPr>
          <w:i/>
          <w:iCs/>
        </w:rPr>
        <w:t>CSI-ReportConfig</w:t>
      </w:r>
      <w:r>
        <w:t xml:space="preserve"> is shown as on option</w:t>
      </w:r>
      <w:r w:rsidR="003C0D7D">
        <w:t xml:space="preserve">, and additional options could be added by including extension markers in the </w:t>
      </w:r>
      <w:r w:rsidR="003C0D7D">
        <w:rPr>
          <w:i/>
          <w:iCs/>
        </w:rPr>
        <w:t>dataCollectionCandidateConfigType-r19</w:t>
      </w:r>
      <w:r w:rsidR="003C0D7D">
        <w:t xml:space="preserve"> or by including extension markers in </w:t>
      </w:r>
      <w:r w:rsidR="003C0D7D">
        <w:rPr>
          <w:i/>
          <w:iCs/>
        </w:rPr>
        <w:t>DataCollectionCandidateConfig-r19</w:t>
      </w:r>
      <w:r w:rsidR="003C0D7D">
        <w:t xml:space="preserve"> to enable the addition of new </w:t>
      </w:r>
      <w:r w:rsidR="003C0D7D">
        <w:rPr>
          <w:i/>
          <w:iCs/>
        </w:rPr>
        <w:t>dataCollectionCandidateConfigTypes</w:t>
      </w:r>
      <w:r w:rsidR="003C0D7D">
        <w:t xml:space="preserve"> in the future.</w:t>
      </w:r>
    </w:p>
    <w:p w14:paraId="5A182FC7" w14:textId="77777777" w:rsidR="00267879" w:rsidRPr="00FD1A3C" w:rsidRDefault="00267879" w:rsidP="00267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FD1A3C">
        <w:rPr>
          <w:rFonts w:ascii="Courier New" w:hAnsi="Courier New"/>
          <w:noProof/>
          <w:sz w:val="16"/>
          <w:lang w:val="en-US" w:eastAsia="en-GB"/>
        </w:rPr>
        <w:t xml:space="preserve">DataCollectionCandidateConfig-r19 ::= </w:t>
      </w:r>
      <w:r w:rsidRPr="00235DDC">
        <w:rPr>
          <w:rFonts w:ascii="Courier New" w:hAnsi="Courier New"/>
          <w:noProof/>
          <w:color w:val="993366"/>
          <w:sz w:val="16"/>
          <w:lang w:eastAsia="en-GB"/>
        </w:rPr>
        <w:t>SEQUENCE</w:t>
      </w:r>
      <w:r w:rsidRPr="00FD1A3C">
        <w:rPr>
          <w:rFonts w:ascii="Courier New" w:hAnsi="Courier New"/>
          <w:noProof/>
          <w:sz w:val="16"/>
          <w:lang w:val="en-US" w:eastAsia="en-GB"/>
        </w:rPr>
        <w:t xml:space="preserve"> {</w:t>
      </w:r>
    </w:p>
    <w:p w14:paraId="6CEDD05D" w14:textId="42B923EE" w:rsidR="00267879" w:rsidRPr="00FD1A3C" w:rsidRDefault="00267879" w:rsidP="00267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FD1A3C">
        <w:rPr>
          <w:rFonts w:ascii="Courier New" w:hAnsi="Courier New"/>
          <w:noProof/>
          <w:sz w:val="16"/>
          <w:lang w:val="en-US" w:eastAsia="en-GB"/>
        </w:rPr>
        <w:t>  dataCollectionCandidateConfigId-r19   </w:t>
      </w:r>
      <w:r w:rsidR="00C71F1B">
        <w:rPr>
          <w:rFonts w:ascii="Courier New" w:hAnsi="Courier New"/>
          <w:noProof/>
          <w:sz w:val="16"/>
          <w:lang w:val="en-US" w:eastAsia="en-GB"/>
        </w:rPr>
        <w:t>DataCollectionCandidateConfigId</w:t>
      </w:r>
      <w:r w:rsidRPr="00FD1A3C">
        <w:rPr>
          <w:rFonts w:ascii="Courier New" w:hAnsi="Courier New"/>
          <w:noProof/>
          <w:sz w:val="16"/>
          <w:lang w:val="en-US" w:eastAsia="en-GB"/>
        </w:rPr>
        <w:t>,</w:t>
      </w:r>
    </w:p>
    <w:p w14:paraId="7A5F6F46" w14:textId="77777777" w:rsidR="00267879" w:rsidRPr="00FD1A3C" w:rsidRDefault="00267879" w:rsidP="00267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FD1A3C">
        <w:rPr>
          <w:rFonts w:ascii="Courier New" w:hAnsi="Courier New"/>
          <w:noProof/>
          <w:sz w:val="16"/>
          <w:lang w:val="en-US" w:eastAsia="en-GB"/>
        </w:rPr>
        <w:t xml:space="preserve">  dataCollectionCandidateConfigType-r19  </w:t>
      </w:r>
      <w:r w:rsidRPr="004E3EE4">
        <w:rPr>
          <w:rFonts w:ascii="Courier New" w:hAnsi="Courier New"/>
          <w:noProof/>
          <w:color w:val="993366"/>
          <w:sz w:val="16"/>
          <w:lang w:val="en-US" w:eastAsia="en-GB"/>
        </w:rPr>
        <w:t>CHOICE</w:t>
      </w:r>
      <w:r w:rsidRPr="00FD1A3C">
        <w:rPr>
          <w:rFonts w:ascii="Courier New" w:hAnsi="Courier New"/>
          <w:noProof/>
          <w:sz w:val="16"/>
          <w:lang w:val="en-US" w:eastAsia="en-GB"/>
        </w:rPr>
        <w:t xml:space="preserve"> {</w:t>
      </w:r>
    </w:p>
    <w:p w14:paraId="3A3CDB6C" w14:textId="77777777" w:rsidR="00267879" w:rsidRPr="00FD1A3C" w:rsidRDefault="00267879" w:rsidP="00267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FD1A3C">
        <w:rPr>
          <w:rFonts w:ascii="Courier New" w:hAnsi="Courier New"/>
          <w:noProof/>
          <w:sz w:val="16"/>
          <w:lang w:val="en-US" w:eastAsia="en-GB"/>
        </w:rPr>
        <w:t xml:space="preserve">    csi-ReportConfig                </w:t>
      </w:r>
      <w:r>
        <w:rPr>
          <w:rFonts w:ascii="Courier New" w:hAnsi="Courier New"/>
          <w:noProof/>
          <w:sz w:val="16"/>
          <w:lang w:val="en-US" w:eastAsia="en-GB"/>
        </w:rPr>
        <w:t xml:space="preserve">         </w:t>
      </w:r>
      <w:r w:rsidRPr="00FD1A3C">
        <w:rPr>
          <w:rFonts w:ascii="Courier New" w:hAnsi="Courier New"/>
          <w:noProof/>
          <w:sz w:val="16"/>
          <w:lang w:val="en-US" w:eastAsia="en-GB"/>
        </w:rPr>
        <w:t>CSI-ReportConfig</w:t>
      </w:r>
    </w:p>
    <w:p w14:paraId="4BBA95FA" w14:textId="77777777" w:rsidR="00267879" w:rsidRPr="00FD1A3C" w:rsidRDefault="00267879" w:rsidP="00267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FD1A3C">
        <w:rPr>
          <w:rFonts w:ascii="Courier New" w:hAnsi="Courier New"/>
          <w:noProof/>
          <w:sz w:val="16"/>
          <w:lang w:val="en-US" w:eastAsia="en-GB"/>
        </w:rPr>
        <w:t xml:space="preserve">  } </w:t>
      </w:r>
      <w:r w:rsidRPr="00235DDC">
        <w:rPr>
          <w:rFonts w:ascii="Courier New" w:hAnsi="Courier New"/>
          <w:noProof/>
          <w:color w:val="993366"/>
          <w:sz w:val="16"/>
          <w:lang w:eastAsia="en-GB"/>
        </w:rPr>
        <w:t>OPTIONAL</w:t>
      </w:r>
      <w:r w:rsidRPr="00FD1A3C">
        <w:rPr>
          <w:rFonts w:ascii="Courier New" w:hAnsi="Courier New"/>
          <w:noProof/>
          <w:sz w:val="16"/>
          <w:lang w:val="en-US" w:eastAsia="en-GB"/>
        </w:rPr>
        <w:t xml:space="preserve">, </w:t>
      </w:r>
      <w:r w:rsidRPr="00FD1A3C">
        <w:rPr>
          <w:rFonts w:ascii="Courier New" w:hAnsi="Courier New"/>
          <w:noProof/>
          <w:sz w:val="16"/>
          <w:lang w:val="en-US" w:eastAsia="en-GB"/>
        </w:rPr>
        <w:br/>
        <w:t xml:space="preserve">  -- Optional so that we do not have to write exceptions when we add new types. </w:t>
      </w:r>
    </w:p>
    <w:p w14:paraId="50186632" w14:textId="77777777" w:rsidR="00267879" w:rsidRPr="00FD1A3C" w:rsidRDefault="00267879" w:rsidP="00267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FD1A3C">
        <w:rPr>
          <w:rFonts w:ascii="Courier New" w:hAnsi="Courier New"/>
          <w:noProof/>
          <w:sz w:val="16"/>
          <w:lang w:val="en-US" w:eastAsia="en-GB"/>
        </w:rPr>
        <w:t>  -- The field description can indicate that only one version of the IE can be used.</w:t>
      </w:r>
    </w:p>
    <w:p w14:paraId="531565DA" w14:textId="77777777" w:rsidR="00267879" w:rsidRPr="00FD1A3C" w:rsidRDefault="00267879" w:rsidP="00267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FD1A3C">
        <w:rPr>
          <w:rFonts w:ascii="Courier New" w:hAnsi="Courier New"/>
          <w:noProof/>
          <w:sz w:val="16"/>
          <w:lang w:val="en-US" w:eastAsia="en-GB"/>
        </w:rPr>
        <w:t> ...</w:t>
      </w:r>
    </w:p>
    <w:p w14:paraId="76F1464A" w14:textId="77777777" w:rsidR="00267879" w:rsidRDefault="00267879" w:rsidP="00267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FD1A3C">
        <w:rPr>
          <w:rFonts w:ascii="Courier New" w:hAnsi="Courier New"/>
          <w:noProof/>
          <w:sz w:val="16"/>
          <w:lang w:val="en-US" w:eastAsia="en-GB"/>
        </w:rPr>
        <w:t>}</w:t>
      </w:r>
    </w:p>
    <w:p w14:paraId="6101EDEF" w14:textId="77777777" w:rsidR="00C71F1B" w:rsidRDefault="00C71F1B" w:rsidP="00267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1F5B191F" w14:textId="10A41228" w:rsidR="00C71F1B" w:rsidRPr="00FD1A3C" w:rsidRDefault="00C71F1B" w:rsidP="00267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Pr>
          <w:rFonts w:ascii="Courier New" w:hAnsi="Courier New"/>
          <w:noProof/>
          <w:color w:val="000000" w:themeColor="text1"/>
          <w:sz w:val="16"/>
          <w:lang w:val="en-US" w:eastAsia="en-GB"/>
        </w:rPr>
        <w:t xml:space="preserve">DataCollectionCandidateConfigId ::= </w:t>
      </w:r>
      <w:r w:rsidRPr="004E3EE4">
        <w:rPr>
          <w:rFonts w:ascii="Courier New" w:hAnsi="Courier New"/>
          <w:noProof/>
          <w:color w:val="993366"/>
          <w:sz w:val="16"/>
          <w:lang w:val="en-US" w:eastAsia="en-GB"/>
        </w:rPr>
        <w:t>INTEGER</w:t>
      </w:r>
      <w:r w:rsidRPr="00FD1A3C">
        <w:rPr>
          <w:rFonts w:ascii="Courier New" w:hAnsi="Courier New"/>
          <w:noProof/>
          <w:sz w:val="16"/>
          <w:lang w:val="en-US" w:eastAsia="en-GB"/>
        </w:rPr>
        <w:t xml:space="preserve"> (0..maxNrofDataCollection</w:t>
      </w:r>
      <w:r>
        <w:rPr>
          <w:rFonts w:ascii="Courier New" w:hAnsi="Courier New"/>
          <w:noProof/>
          <w:sz w:val="16"/>
          <w:lang w:val="en-US" w:eastAsia="en-GB"/>
        </w:rPr>
        <w:t>Candidate</w:t>
      </w:r>
      <w:r w:rsidRPr="00FD1A3C">
        <w:rPr>
          <w:rFonts w:ascii="Courier New" w:hAnsi="Courier New"/>
          <w:noProof/>
          <w:sz w:val="16"/>
          <w:lang w:val="en-US" w:eastAsia="en-GB"/>
        </w:rPr>
        <w:t>Configs-1-r19)</w:t>
      </w:r>
    </w:p>
    <w:p w14:paraId="33877145" w14:textId="69A81A21" w:rsidR="003C0D7D" w:rsidRDefault="003C0D7D" w:rsidP="003C0D7D">
      <w:pPr>
        <w:rPr>
          <w:iCs/>
        </w:rPr>
      </w:pPr>
      <w:r>
        <w:rPr>
          <w:iCs/>
        </w:rPr>
        <w:br/>
        <w:t xml:space="preserve">As with </w:t>
      </w:r>
      <w:r>
        <w:rPr>
          <w:i/>
        </w:rPr>
        <w:t>InferenceRelatedSet-r19</w:t>
      </w:r>
      <w:r>
        <w:rPr>
          <w:iCs/>
        </w:rPr>
        <w:t xml:space="preserve">, a field description would be provided for the field </w:t>
      </w:r>
      <w:r>
        <w:rPr>
          <w:i/>
        </w:rPr>
        <w:t>dataCollectionCandidateConfigType-r19</w:t>
      </w:r>
      <w:r>
        <w:rPr>
          <w:iCs/>
        </w:rPr>
        <w:t xml:space="preserve"> to describe which fields of a particular configuration type, e.g., </w:t>
      </w:r>
      <w:r>
        <w:rPr>
          <w:i/>
        </w:rPr>
        <w:t>CSI-ReportConfig</w:t>
      </w:r>
      <w:r>
        <w:rPr>
          <w:iCs/>
        </w:rPr>
        <w:t xml:space="preserve"> are relevant for the UE to evaluate a candidate UE-side data collection configuration.</w:t>
      </w:r>
    </w:p>
    <w:p w14:paraId="5EDF1796" w14:textId="3023579F" w:rsidR="003C0D7D" w:rsidRPr="003C0D7D" w:rsidRDefault="003C0D7D" w:rsidP="003C0D7D">
      <w:pPr>
        <w:rPr>
          <w:b/>
          <w:bCs/>
          <w:iCs/>
        </w:rPr>
      </w:pPr>
      <w:r w:rsidRPr="003C0D7D">
        <w:rPr>
          <w:b/>
          <w:bCs/>
          <w:iCs/>
        </w:rPr>
        <w:t>Observation</w:t>
      </w:r>
      <w:r w:rsidR="00003F91">
        <w:rPr>
          <w:b/>
          <w:bCs/>
          <w:iCs/>
        </w:rPr>
        <w:t xml:space="preserve"> 9</w:t>
      </w:r>
      <w:r w:rsidRPr="003C0D7D">
        <w:rPr>
          <w:b/>
          <w:bCs/>
          <w:iCs/>
        </w:rPr>
        <w:t>: As with InferenceRelatedSet-r19, a field description would be provided for the field dataCollectionCandidateConfigType-r19 to describe which fields of a particular configuration type, e.g., CSI-ReportConfig are relevant for the UE to evaluate a candidate UE-side data collection configuration.</w:t>
      </w:r>
    </w:p>
    <w:p w14:paraId="4583614A" w14:textId="43EC751A" w:rsidR="00267879" w:rsidRDefault="00267879" w:rsidP="00267879">
      <w:pPr>
        <w:rPr>
          <w:b/>
          <w:bCs/>
        </w:rPr>
      </w:pPr>
      <w:r w:rsidRPr="004E3EE4">
        <w:rPr>
          <w:b/>
          <w:bCs/>
        </w:rPr>
        <w:t>Proposal</w:t>
      </w:r>
      <w:r w:rsidR="00003F91">
        <w:rPr>
          <w:b/>
          <w:bCs/>
        </w:rPr>
        <w:t xml:space="preserve"> 10</w:t>
      </w:r>
      <w:r w:rsidRPr="004E3EE4">
        <w:rPr>
          <w:b/>
          <w:bCs/>
        </w:rPr>
        <w:t xml:space="preserve">: Adopt the structure of </w:t>
      </w:r>
      <w:r>
        <w:rPr>
          <w:b/>
          <w:bCs/>
          <w:i/>
          <w:iCs/>
        </w:rPr>
        <w:t>DataCollectionCanddiateConfig</w:t>
      </w:r>
      <w:r w:rsidRPr="004E3EE4">
        <w:rPr>
          <w:b/>
          <w:bCs/>
          <w:i/>
          <w:iCs/>
        </w:rPr>
        <w:t>-r19</w:t>
      </w:r>
      <w:r w:rsidRPr="004E3EE4">
        <w:rPr>
          <w:b/>
          <w:bCs/>
        </w:rPr>
        <w:t xml:space="preserve"> defined in the provided ASN.1 example</w:t>
      </w:r>
      <w:r w:rsidR="00CF7EEA">
        <w:rPr>
          <w:b/>
          <w:bCs/>
        </w:rPr>
        <w:t xml:space="preserve">, which includes a </w:t>
      </w:r>
      <w:r w:rsidR="00CF7EEA">
        <w:rPr>
          <w:b/>
          <w:bCs/>
          <w:i/>
          <w:iCs/>
        </w:rPr>
        <w:t>dataCollectionCandidateConfigId</w:t>
      </w:r>
      <w:r w:rsidR="00CF7EEA">
        <w:rPr>
          <w:b/>
          <w:bCs/>
        </w:rPr>
        <w:t xml:space="preserve"> and a </w:t>
      </w:r>
      <w:r w:rsidR="00CF7EEA">
        <w:rPr>
          <w:b/>
          <w:bCs/>
          <w:i/>
          <w:iCs/>
        </w:rPr>
        <w:t>dataCollectionCandidateConfigType</w:t>
      </w:r>
      <w:r w:rsidR="00CF7EEA">
        <w:rPr>
          <w:b/>
          <w:bCs/>
        </w:rPr>
        <w:t xml:space="preserve">, which is a choice between </w:t>
      </w:r>
      <w:r w:rsidR="002F00B5">
        <w:rPr>
          <w:b/>
          <w:bCs/>
        </w:rPr>
        <w:t>different configuration types which could be used to indicate preference for UE-side data collection</w:t>
      </w:r>
      <w:r w:rsidRPr="004E3EE4">
        <w:rPr>
          <w:b/>
          <w:bCs/>
        </w:rPr>
        <w:t>.</w:t>
      </w:r>
    </w:p>
    <w:p w14:paraId="52D108D6" w14:textId="3088ADE2" w:rsidR="00E47AFB" w:rsidRDefault="00E47AFB" w:rsidP="00267879">
      <w:r w:rsidRPr="00E47AFB">
        <w:t xml:space="preserve">The </w:t>
      </w:r>
      <w:r>
        <w:t xml:space="preserve">running CR for 38.331 defined an extension to </w:t>
      </w:r>
      <w:r>
        <w:rPr>
          <w:i/>
          <w:iCs/>
        </w:rPr>
        <w:t>UEAssistanceInformation</w:t>
      </w:r>
      <w:r w:rsidR="006502DB">
        <w:t xml:space="preserve"> containing </w:t>
      </w:r>
      <w:r w:rsidR="006502DB">
        <w:rPr>
          <w:i/>
          <w:iCs/>
        </w:rPr>
        <w:t>dataCollectionPreference-r19</w:t>
      </w:r>
      <w:r w:rsidR="006502DB">
        <w:t>, which is currently defined as shown below.</w:t>
      </w:r>
    </w:p>
    <w:p w14:paraId="25CFBB98" w14:textId="77777777" w:rsidR="00CC1834" w:rsidRPr="00CC1834" w:rsidRDefault="00CC1834" w:rsidP="00CC18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C1834">
        <w:rPr>
          <w:rFonts w:ascii="Courier New" w:hAnsi="Courier New"/>
          <w:noProof/>
          <w:sz w:val="16"/>
          <w:lang w:eastAsia="en-GB"/>
        </w:rPr>
        <w:t xml:space="preserve">DataCollectionPreference-r19 ::= </w:t>
      </w:r>
      <w:r w:rsidRPr="00CC1834">
        <w:rPr>
          <w:rFonts w:ascii="Courier New" w:hAnsi="Courier New"/>
          <w:noProof/>
          <w:color w:val="993366"/>
          <w:sz w:val="16"/>
          <w:lang w:eastAsia="en-GB"/>
        </w:rPr>
        <w:t>SEQUENCE</w:t>
      </w:r>
      <w:r w:rsidRPr="00CC1834">
        <w:rPr>
          <w:rFonts w:ascii="Courier New" w:hAnsi="Courier New"/>
          <w:noProof/>
          <w:sz w:val="16"/>
          <w:lang w:eastAsia="en-GB"/>
        </w:rPr>
        <w:t xml:space="preserve"> {</w:t>
      </w:r>
    </w:p>
    <w:p w14:paraId="2D5C7B74" w14:textId="77777777" w:rsidR="00CC1834" w:rsidRPr="00CC1834" w:rsidRDefault="00CC1834" w:rsidP="00CC18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C1834">
        <w:rPr>
          <w:rFonts w:ascii="Courier New" w:hAnsi="Courier New"/>
          <w:noProof/>
          <w:sz w:val="16"/>
          <w:lang w:eastAsia="en-GB"/>
        </w:rPr>
        <w:t xml:space="preserve">    dataCollectionStartStop-r19                      </w:t>
      </w:r>
      <w:r w:rsidRPr="00CC1834">
        <w:rPr>
          <w:rFonts w:ascii="Courier New" w:hAnsi="Courier New"/>
          <w:noProof/>
          <w:color w:val="993366"/>
          <w:sz w:val="16"/>
          <w:lang w:eastAsia="en-GB"/>
        </w:rPr>
        <w:t>ENUMERATED</w:t>
      </w:r>
      <w:r w:rsidRPr="00CC1834">
        <w:rPr>
          <w:rFonts w:ascii="Courier New" w:hAnsi="Courier New"/>
          <w:noProof/>
          <w:sz w:val="16"/>
          <w:lang w:eastAsia="en-GB"/>
        </w:rPr>
        <w:t xml:space="preserve"> {start, stop}                   </w:t>
      </w:r>
      <w:r w:rsidRPr="00CC1834">
        <w:rPr>
          <w:rFonts w:ascii="Courier New" w:hAnsi="Courier New"/>
          <w:noProof/>
          <w:color w:val="993366"/>
          <w:sz w:val="16"/>
          <w:lang w:eastAsia="en-GB"/>
        </w:rPr>
        <w:t>OPTIONAL</w:t>
      </w:r>
      <w:r w:rsidRPr="00CC1834">
        <w:rPr>
          <w:rFonts w:ascii="Courier New" w:hAnsi="Courier New"/>
          <w:noProof/>
          <w:sz w:val="16"/>
          <w:lang w:eastAsia="en-GB"/>
        </w:rPr>
        <w:t>,</w:t>
      </w:r>
    </w:p>
    <w:p w14:paraId="4FF8E4AF" w14:textId="77777777" w:rsidR="00CC1834" w:rsidRPr="00CC1834" w:rsidRDefault="00CC1834" w:rsidP="00CC18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C1834">
        <w:rPr>
          <w:rFonts w:ascii="Courier New" w:hAnsi="Courier New"/>
          <w:noProof/>
          <w:sz w:val="16"/>
          <w:lang w:eastAsia="en-GB"/>
        </w:rPr>
        <w:t xml:space="preserve">    dataCollectionPreferredConfiguration-r19         </w:t>
      </w:r>
      <w:r w:rsidRPr="00CC1834">
        <w:rPr>
          <w:rFonts w:ascii="Courier New" w:hAnsi="Courier New"/>
          <w:noProof/>
          <w:color w:val="FF0000"/>
          <w:sz w:val="16"/>
          <w:lang w:eastAsia="en-GB"/>
        </w:rPr>
        <w:t>FFS</w:t>
      </w:r>
      <w:r w:rsidRPr="00CC1834">
        <w:rPr>
          <w:rFonts w:ascii="Courier New" w:hAnsi="Courier New"/>
          <w:noProof/>
          <w:sz w:val="16"/>
          <w:lang w:eastAsia="en-GB"/>
        </w:rPr>
        <w:t xml:space="preserve">                                        </w:t>
      </w:r>
      <w:r w:rsidRPr="00CC1834">
        <w:rPr>
          <w:rFonts w:ascii="Courier New" w:hAnsi="Courier New"/>
          <w:noProof/>
          <w:color w:val="993366"/>
          <w:sz w:val="16"/>
          <w:lang w:eastAsia="en-GB"/>
        </w:rPr>
        <w:t>OPTIONAL</w:t>
      </w:r>
      <w:r w:rsidRPr="00CC1834">
        <w:rPr>
          <w:rFonts w:ascii="Courier New" w:hAnsi="Courier New"/>
          <w:noProof/>
          <w:sz w:val="16"/>
          <w:lang w:eastAsia="en-GB"/>
        </w:rPr>
        <w:t>,</w:t>
      </w:r>
    </w:p>
    <w:p w14:paraId="1A69FBB9" w14:textId="77777777" w:rsidR="00CC1834" w:rsidRPr="00CC1834" w:rsidRDefault="00CC1834" w:rsidP="00CC18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C1834">
        <w:rPr>
          <w:rFonts w:ascii="Courier New" w:hAnsi="Courier New"/>
          <w:noProof/>
          <w:sz w:val="16"/>
          <w:lang w:eastAsia="en-GB"/>
        </w:rPr>
        <w:t xml:space="preserve">    ...</w:t>
      </w:r>
    </w:p>
    <w:p w14:paraId="6EEA9C21" w14:textId="77777777" w:rsidR="00CC1834" w:rsidRPr="00CC1834" w:rsidRDefault="00CC1834" w:rsidP="00CC18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C1834">
        <w:rPr>
          <w:rFonts w:ascii="Courier New" w:hAnsi="Courier New"/>
          <w:noProof/>
          <w:sz w:val="16"/>
          <w:lang w:eastAsia="en-GB"/>
        </w:rPr>
        <w:t>}</w:t>
      </w:r>
    </w:p>
    <w:p w14:paraId="7C2C0F75" w14:textId="1F23533D" w:rsidR="006502DB" w:rsidRDefault="00A83FA8" w:rsidP="00267879">
      <w:pPr>
        <w:rPr>
          <w:lang w:val="en-US"/>
        </w:rPr>
      </w:pPr>
      <w:r>
        <w:br/>
        <w:t xml:space="preserve">The </w:t>
      </w:r>
      <w:r>
        <w:rPr>
          <w:i/>
          <w:iCs/>
          <w:lang w:val="en-US"/>
        </w:rPr>
        <w:t>DataCollectionPreference-r19</w:t>
      </w:r>
      <w:r>
        <w:rPr>
          <w:lang w:val="en-US"/>
        </w:rPr>
        <w:t xml:space="preserve"> includes the fields </w:t>
      </w:r>
      <w:r>
        <w:rPr>
          <w:i/>
          <w:iCs/>
          <w:lang w:val="en-US"/>
        </w:rPr>
        <w:t>dataCollectionStartStop-r19</w:t>
      </w:r>
      <w:r>
        <w:rPr>
          <w:lang w:val="en-US"/>
        </w:rPr>
        <w:t xml:space="preserve"> to initiate or terminate a preference for a candidate for UE-side data collection and </w:t>
      </w:r>
      <w:r>
        <w:rPr>
          <w:i/>
          <w:iCs/>
          <w:lang w:val="en-US"/>
        </w:rPr>
        <w:t>dataCollectionPreferredConfiguration-r19</w:t>
      </w:r>
      <w:r>
        <w:rPr>
          <w:lang w:val="en-US"/>
        </w:rPr>
        <w:t>. Whether</w:t>
      </w:r>
      <w:r w:rsidR="00241795">
        <w:rPr>
          <w:lang w:val="en-US"/>
        </w:rPr>
        <w:t xml:space="preserve"> or not</w:t>
      </w:r>
      <w:r>
        <w:rPr>
          <w:lang w:val="en-US"/>
        </w:rPr>
        <w:t xml:space="preserve"> it is eventually agreed to support more than one candidate data collection preference, </w:t>
      </w:r>
      <w:r w:rsidR="00241795">
        <w:rPr>
          <w:lang w:val="en-US"/>
        </w:rPr>
        <w:t xml:space="preserve">we can still discuss the contents of </w:t>
      </w:r>
      <w:r w:rsidR="00241795">
        <w:rPr>
          <w:i/>
          <w:iCs/>
          <w:lang w:val="en-US"/>
        </w:rPr>
        <w:t>dataCollectionPreferredConfiguration-r19</w:t>
      </w:r>
      <w:r w:rsidR="00241795">
        <w:rPr>
          <w:lang w:val="en-US"/>
        </w:rPr>
        <w:t xml:space="preserve">. Given our preferred definition for </w:t>
      </w:r>
      <w:r w:rsidR="00241795">
        <w:rPr>
          <w:i/>
          <w:iCs/>
          <w:lang w:val="en-US"/>
        </w:rPr>
        <w:t>DataCollectionCandidateConfig</w:t>
      </w:r>
      <w:r w:rsidR="00241795">
        <w:rPr>
          <w:lang w:val="en-US"/>
        </w:rPr>
        <w:t>,</w:t>
      </w:r>
      <w:r w:rsidR="00E750E5">
        <w:rPr>
          <w:lang w:val="en-US"/>
        </w:rPr>
        <w:t xml:space="preserve"> we think that the </w:t>
      </w:r>
      <w:r w:rsidR="00E750E5">
        <w:rPr>
          <w:i/>
          <w:iCs/>
          <w:lang w:val="en-US"/>
        </w:rPr>
        <w:t>dataCollectionPreferredConfiguration-r19</w:t>
      </w:r>
      <w:r w:rsidR="00E750E5">
        <w:rPr>
          <w:lang w:val="en-US"/>
        </w:rPr>
        <w:t xml:space="preserve"> should point to a </w:t>
      </w:r>
      <w:r w:rsidR="00E750E5">
        <w:rPr>
          <w:i/>
          <w:iCs/>
          <w:lang w:val="en-US"/>
        </w:rPr>
        <w:t>dataCollectionCandidateConfigId</w:t>
      </w:r>
      <w:r w:rsidR="00E750E5">
        <w:rPr>
          <w:lang w:val="en-US"/>
        </w:rPr>
        <w:t>.</w:t>
      </w:r>
      <w:r w:rsidR="00241795">
        <w:rPr>
          <w:lang w:val="en-US"/>
        </w:rPr>
        <w:t xml:space="preserve"> </w:t>
      </w:r>
      <w:r w:rsidR="00631718">
        <w:rPr>
          <w:lang w:val="en-US"/>
        </w:rPr>
        <w:t>The modified ASN.1 shown below implements this change.</w:t>
      </w:r>
    </w:p>
    <w:p w14:paraId="19157FFB" w14:textId="77777777" w:rsidR="00631718" w:rsidRPr="00CC1834" w:rsidRDefault="00631718" w:rsidP="006317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C1834">
        <w:rPr>
          <w:rFonts w:ascii="Courier New" w:hAnsi="Courier New"/>
          <w:noProof/>
          <w:sz w:val="16"/>
          <w:lang w:eastAsia="en-GB"/>
        </w:rPr>
        <w:t xml:space="preserve">DataCollectionPreference-r19 ::= </w:t>
      </w:r>
      <w:r w:rsidRPr="00CC1834">
        <w:rPr>
          <w:rFonts w:ascii="Courier New" w:hAnsi="Courier New"/>
          <w:noProof/>
          <w:color w:val="993366"/>
          <w:sz w:val="16"/>
          <w:lang w:eastAsia="en-GB"/>
        </w:rPr>
        <w:t>SEQUENCE</w:t>
      </w:r>
      <w:r w:rsidRPr="00CC1834">
        <w:rPr>
          <w:rFonts w:ascii="Courier New" w:hAnsi="Courier New"/>
          <w:noProof/>
          <w:sz w:val="16"/>
          <w:lang w:eastAsia="en-GB"/>
        </w:rPr>
        <w:t xml:space="preserve"> {</w:t>
      </w:r>
    </w:p>
    <w:p w14:paraId="68DB8B2F" w14:textId="48884415" w:rsidR="00631718" w:rsidRPr="00CC1834" w:rsidRDefault="00631718" w:rsidP="006317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C1834">
        <w:rPr>
          <w:rFonts w:ascii="Courier New" w:hAnsi="Courier New"/>
          <w:noProof/>
          <w:sz w:val="16"/>
          <w:lang w:eastAsia="en-GB"/>
        </w:rPr>
        <w:t xml:space="preserve">    dataCollectionStartStop-r19               </w:t>
      </w:r>
      <w:r w:rsidR="00FB647E">
        <w:rPr>
          <w:rFonts w:ascii="Courier New" w:hAnsi="Courier New"/>
          <w:noProof/>
          <w:sz w:val="16"/>
          <w:lang w:eastAsia="en-GB"/>
        </w:rPr>
        <w:t xml:space="preserve">  </w:t>
      </w:r>
      <w:r w:rsidRPr="00CC1834">
        <w:rPr>
          <w:rFonts w:ascii="Courier New" w:hAnsi="Courier New"/>
          <w:noProof/>
          <w:sz w:val="16"/>
          <w:lang w:eastAsia="en-GB"/>
        </w:rPr>
        <w:t xml:space="preserve">       </w:t>
      </w:r>
      <w:r w:rsidRPr="00CC1834">
        <w:rPr>
          <w:rFonts w:ascii="Courier New" w:hAnsi="Courier New"/>
          <w:noProof/>
          <w:color w:val="993366"/>
          <w:sz w:val="16"/>
          <w:lang w:eastAsia="en-GB"/>
        </w:rPr>
        <w:t>ENUMERATED</w:t>
      </w:r>
      <w:r w:rsidRPr="00CC1834">
        <w:rPr>
          <w:rFonts w:ascii="Courier New" w:hAnsi="Courier New"/>
          <w:noProof/>
          <w:sz w:val="16"/>
          <w:lang w:eastAsia="en-GB"/>
        </w:rPr>
        <w:t xml:space="preserve"> {start, stop}                   </w:t>
      </w:r>
      <w:r w:rsidRPr="00CC1834">
        <w:rPr>
          <w:rFonts w:ascii="Courier New" w:hAnsi="Courier New"/>
          <w:noProof/>
          <w:color w:val="993366"/>
          <w:sz w:val="16"/>
          <w:lang w:eastAsia="en-GB"/>
        </w:rPr>
        <w:t>OPTIONAL</w:t>
      </w:r>
      <w:r w:rsidRPr="00CC1834">
        <w:rPr>
          <w:rFonts w:ascii="Courier New" w:hAnsi="Courier New"/>
          <w:noProof/>
          <w:sz w:val="16"/>
          <w:lang w:eastAsia="en-GB"/>
        </w:rPr>
        <w:t>,</w:t>
      </w:r>
    </w:p>
    <w:p w14:paraId="49778375" w14:textId="5AFAC52C" w:rsidR="00631718" w:rsidRPr="00CC1834" w:rsidRDefault="00631718" w:rsidP="006317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C1834">
        <w:rPr>
          <w:rFonts w:ascii="Courier New" w:hAnsi="Courier New"/>
          <w:noProof/>
          <w:sz w:val="16"/>
          <w:lang w:eastAsia="en-GB"/>
        </w:rPr>
        <w:t xml:space="preserve">    dataCollectionPreferredConfiguration</w:t>
      </w:r>
      <w:r w:rsidR="007B7184">
        <w:rPr>
          <w:rFonts w:ascii="Courier New" w:hAnsi="Courier New"/>
          <w:noProof/>
          <w:sz w:val="16"/>
          <w:lang w:eastAsia="en-GB"/>
        </w:rPr>
        <w:t>Id</w:t>
      </w:r>
      <w:r w:rsidRPr="00CC1834">
        <w:rPr>
          <w:rFonts w:ascii="Courier New" w:hAnsi="Courier New"/>
          <w:noProof/>
          <w:sz w:val="16"/>
          <w:lang w:eastAsia="en-GB"/>
        </w:rPr>
        <w:t xml:space="preserve">-r19         </w:t>
      </w:r>
      <w:r>
        <w:rPr>
          <w:rFonts w:ascii="Courier New" w:hAnsi="Courier New"/>
          <w:noProof/>
          <w:color w:val="FF0000"/>
          <w:sz w:val="16"/>
          <w:u w:val="single"/>
          <w:lang w:eastAsia="en-GB"/>
        </w:rPr>
        <w:t>DataCollection</w:t>
      </w:r>
      <w:r w:rsidR="00F438D3">
        <w:rPr>
          <w:rFonts w:ascii="Courier New" w:hAnsi="Courier New"/>
          <w:noProof/>
          <w:color w:val="FF0000"/>
          <w:sz w:val="16"/>
          <w:u w:val="single"/>
          <w:lang w:eastAsia="en-GB"/>
        </w:rPr>
        <w:t>CandidateConfigId</w:t>
      </w:r>
      <w:r w:rsidRPr="00CC1834">
        <w:rPr>
          <w:rFonts w:ascii="Courier New" w:hAnsi="Courier New"/>
          <w:noProof/>
          <w:sz w:val="16"/>
          <w:lang w:eastAsia="en-GB"/>
        </w:rPr>
        <w:t xml:space="preserve">                                        </w:t>
      </w:r>
      <w:r w:rsidRPr="00CC1834">
        <w:rPr>
          <w:rFonts w:ascii="Courier New" w:hAnsi="Courier New"/>
          <w:noProof/>
          <w:color w:val="993366"/>
          <w:sz w:val="16"/>
          <w:lang w:eastAsia="en-GB"/>
        </w:rPr>
        <w:t>OPTIONAL</w:t>
      </w:r>
      <w:r w:rsidRPr="00CC1834">
        <w:rPr>
          <w:rFonts w:ascii="Courier New" w:hAnsi="Courier New"/>
          <w:noProof/>
          <w:sz w:val="16"/>
          <w:lang w:eastAsia="en-GB"/>
        </w:rPr>
        <w:t>,</w:t>
      </w:r>
    </w:p>
    <w:p w14:paraId="08FB033D" w14:textId="77777777" w:rsidR="00631718" w:rsidRPr="00CC1834" w:rsidRDefault="00631718" w:rsidP="006317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C1834">
        <w:rPr>
          <w:rFonts w:ascii="Courier New" w:hAnsi="Courier New"/>
          <w:noProof/>
          <w:sz w:val="16"/>
          <w:lang w:eastAsia="en-GB"/>
        </w:rPr>
        <w:t xml:space="preserve">    ...</w:t>
      </w:r>
    </w:p>
    <w:p w14:paraId="20B7E592" w14:textId="77777777" w:rsidR="00631718" w:rsidRPr="00CC1834" w:rsidRDefault="00631718" w:rsidP="006317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C1834">
        <w:rPr>
          <w:rFonts w:ascii="Courier New" w:hAnsi="Courier New"/>
          <w:noProof/>
          <w:sz w:val="16"/>
          <w:lang w:eastAsia="en-GB"/>
        </w:rPr>
        <w:t>}</w:t>
      </w:r>
    </w:p>
    <w:p w14:paraId="23A58907" w14:textId="2D075C6B" w:rsidR="00631718" w:rsidRDefault="00563F3C" w:rsidP="00267879">
      <w:pPr>
        <w:rPr>
          <w:lang w:val="en-US"/>
        </w:rPr>
      </w:pPr>
      <w:r>
        <w:rPr>
          <w:lang w:val="en-US"/>
        </w:rPr>
        <w:br/>
        <w:t xml:space="preserve">If this </w:t>
      </w:r>
      <w:r w:rsidR="00967D03">
        <w:rPr>
          <w:lang w:val="en-US"/>
        </w:rPr>
        <w:t xml:space="preserve">ASN.1 is agreed, the procedure </w:t>
      </w:r>
      <w:r w:rsidR="0003289D">
        <w:rPr>
          <w:lang w:val="en-US"/>
        </w:rPr>
        <w:t xml:space="preserve">for configuring the UE with candidate UE-side data collection configurations and reporting them </w:t>
      </w:r>
      <w:r w:rsidR="00967D03">
        <w:rPr>
          <w:lang w:val="en-US"/>
        </w:rPr>
        <w:t>could be written in a similarly generic way to that described in Section 2.2 for reporting the applicability of sets of inference-related parameters.</w:t>
      </w:r>
    </w:p>
    <w:p w14:paraId="3B68A404" w14:textId="6ACA1373" w:rsidR="006502DB" w:rsidRPr="006502DB" w:rsidRDefault="00967D03" w:rsidP="00267879">
      <w:r w:rsidRPr="0003289D">
        <w:rPr>
          <w:b/>
          <w:bCs/>
          <w:lang w:val="en-US"/>
        </w:rPr>
        <w:t>Proposal</w:t>
      </w:r>
      <w:r w:rsidR="00003F91">
        <w:rPr>
          <w:b/>
          <w:bCs/>
          <w:lang w:val="en-US"/>
        </w:rPr>
        <w:t xml:space="preserve"> 11</w:t>
      </w:r>
      <w:r w:rsidRPr="0003289D">
        <w:rPr>
          <w:b/>
          <w:bCs/>
          <w:lang w:val="en-US"/>
        </w:rPr>
        <w:t xml:space="preserve">: </w:t>
      </w:r>
      <w:r w:rsidR="001E58FA" w:rsidRPr="0003289D">
        <w:rPr>
          <w:b/>
          <w:bCs/>
          <w:lang w:val="en-US"/>
        </w:rPr>
        <w:t xml:space="preserve">The UE will report its preference for a candidate for UE-side data collection </w:t>
      </w:r>
      <w:r w:rsidR="007B7184" w:rsidRPr="0003289D">
        <w:rPr>
          <w:b/>
          <w:bCs/>
          <w:lang w:val="en-US"/>
        </w:rPr>
        <w:t xml:space="preserve">by sending </w:t>
      </w:r>
      <w:r w:rsidR="00E11547" w:rsidRPr="0003289D">
        <w:rPr>
          <w:b/>
          <w:bCs/>
          <w:lang w:val="en-US"/>
        </w:rPr>
        <w:t>a UEAssistanceInformation message</w:t>
      </w:r>
      <w:r w:rsidR="00185377">
        <w:rPr>
          <w:b/>
          <w:bCs/>
          <w:lang w:val="en-US"/>
        </w:rPr>
        <w:t>. FFS how to signal, e.g.,</w:t>
      </w:r>
      <w:r w:rsidR="00AE1D07">
        <w:rPr>
          <w:b/>
          <w:bCs/>
          <w:lang w:val="en-US"/>
        </w:rPr>
        <w:t xml:space="preserve"> 1) UE indicates list of preferred configuration(s)</w:t>
      </w:r>
      <w:r w:rsidR="00393722">
        <w:rPr>
          <w:b/>
          <w:bCs/>
          <w:lang w:val="en-US"/>
        </w:rPr>
        <w:t>, wherein the presence indicates “start”, and the absence indicates “stop”</w:t>
      </w:r>
      <w:r w:rsidR="00131929">
        <w:rPr>
          <w:b/>
          <w:bCs/>
          <w:lang w:val="en-US"/>
        </w:rPr>
        <w:t xml:space="preserve"> 2) UE indicates a start list and a stop list, each containing a list of zero or more data collection candidate configurations or 3) </w:t>
      </w:r>
      <w:r w:rsidR="004D1F57">
        <w:rPr>
          <w:b/>
          <w:bCs/>
          <w:lang w:val="en-US"/>
        </w:rPr>
        <w:t>UE indicates a list of data collection candidate configurations, each with a corresponding “start” or “stop” indication</w:t>
      </w:r>
      <w:r w:rsidR="007B7184" w:rsidRPr="0003289D">
        <w:rPr>
          <w:b/>
          <w:bCs/>
          <w:i/>
          <w:iCs/>
          <w:lang w:val="en-US"/>
        </w:rPr>
        <w:t>.</w:t>
      </w:r>
    </w:p>
    <w:p w14:paraId="674D819A" w14:textId="4A08E18C" w:rsidR="00E73CE3" w:rsidRDefault="00E73CE3" w:rsidP="00E73CE3">
      <w:pPr>
        <w:pStyle w:val="Heading2"/>
      </w:pPr>
      <w:r>
        <w:t>2.4 Summary</w:t>
      </w:r>
    </w:p>
    <w:p w14:paraId="43FC7AF8" w14:textId="5B5A2BC8" w:rsidR="00E73CE3" w:rsidRPr="005061B7" w:rsidRDefault="00E73CE3" w:rsidP="008B549E">
      <w:r>
        <w:t xml:space="preserve">In summary, we have proposed to </w:t>
      </w:r>
      <w:r w:rsidR="007D1F12">
        <w:t xml:space="preserve">use </w:t>
      </w:r>
      <w:r w:rsidR="007D1F12">
        <w:rPr>
          <w:i/>
          <w:iCs/>
        </w:rPr>
        <w:t>CSI-ReportConfig</w:t>
      </w:r>
      <w:r w:rsidR="007D1F12">
        <w:t xml:space="preserve"> to configure the UE with sets of inference-related parameters for applicability reporting and to configure the UE with candidates for UE-side data collection. To simplify the specification and future extensions to new configuration types for applicability reporting and UE-side data collection, </w:t>
      </w:r>
      <w:r w:rsidR="00936F87">
        <w:t xml:space="preserve">an outer-level IE has been proposed for each, such that a single type of ID would be used to report the applicability of a set of inference-related parameters and another single type of ID would be used to report </w:t>
      </w:r>
      <w:r w:rsidR="006B1419">
        <w:t>preferred candidates for UE-side data collection. Where possible, the data structures have been flattened for simplicity.</w:t>
      </w:r>
    </w:p>
    <w:p w14:paraId="16CB5684" w14:textId="77777777" w:rsidR="008B549E" w:rsidRPr="006E13D1" w:rsidRDefault="008B549E" w:rsidP="008B549E">
      <w:pPr>
        <w:pStyle w:val="Heading1"/>
      </w:pPr>
      <w:r>
        <w:t>3</w:t>
      </w:r>
      <w:r w:rsidRPr="006E13D1">
        <w:tab/>
      </w:r>
      <w:r>
        <w:t>Conclusion</w:t>
      </w:r>
    </w:p>
    <w:p w14:paraId="11C2BA2E" w14:textId="77777777" w:rsidR="008B549E" w:rsidRDefault="008B549E" w:rsidP="008B549E">
      <w:r>
        <w:t>Always echo in the conclusion all proposals made above.</w:t>
      </w:r>
    </w:p>
    <w:p w14:paraId="766D4156" w14:textId="77777777" w:rsidR="008B549E" w:rsidRDefault="008B549E" w:rsidP="008B549E">
      <w:r>
        <w:t>This document has made the following observations:</w:t>
      </w:r>
    </w:p>
    <w:p w14:paraId="582992BF" w14:textId="77777777" w:rsidR="00003F91" w:rsidRPr="004E3EE4" w:rsidRDefault="00003F91" w:rsidP="00003F91">
      <w:pPr>
        <w:rPr>
          <w:b/>
          <w:bCs/>
        </w:rPr>
      </w:pPr>
      <w:r w:rsidRPr="004E3EE4">
        <w:rPr>
          <w:b/>
          <w:bCs/>
        </w:rPr>
        <w:t>Observation</w:t>
      </w:r>
      <w:r>
        <w:rPr>
          <w:b/>
          <w:bCs/>
        </w:rPr>
        <w:t xml:space="preserve"> 1</w:t>
      </w:r>
      <w:r w:rsidRPr="004E3EE4">
        <w:rPr>
          <w:b/>
          <w:bCs/>
        </w:rPr>
        <w:t xml:space="preserve">: Configurations for inference, sets of inference-related parameters and UE-side data collection options are inherently related, and all of the parameters necessary for inference-related parameters and UE-side data collection options are wholly contained inside the configuration </w:t>
      </w:r>
      <w:r>
        <w:rPr>
          <w:b/>
          <w:bCs/>
        </w:rPr>
        <w:t>IE f</w:t>
      </w:r>
      <w:r w:rsidRPr="004E3EE4">
        <w:rPr>
          <w:b/>
          <w:bCs/>
        </w:rPr>
        <w:t>or inference</w:t>
      </w:r>
      <w:r>
        <w:rPr>
          <w:b/>
          <w:bCs/>
        </w:rPr>
        <w:t xml:space="preserve">, e.g., </w:t>
      </w:r>
      <w:r>
        <w:rPr>
          <w:b/>
          <w:bCs/>
          <w:i/>
          <w:iCs/>
        </w:rPr>
        <w:t>CSI-ReportConfig</w:t>
      </w:r>
      <w:r w:rsidRPr="004E3EE4">
        <w:rPr>
          <w:b/>
          <w:bCs/>
        </w:rPr>
        <w:t>.</w:t>
      </w:r>
    </w:p>
    <w:p w14:paraId="47EB46F5" w14:textId="77777777" w:rsidR="00003F91" w:rsidRDefault="00003F91" w:rsidP="00003F91">
      <w:pPr>
        <w:rPr>
          <w:b/>
          <w:bCs/>
          <w:lang w:val="en-US"/>
        </w:rPr>
      </w:pPr>
      <w:r w:rsidRPr="00AB3FAE">
        <w:rPr>
          <w:b/>
          <w:bCs/>
          <w:lang w:val="en-US"/>
        </w:rPr>
        <w:t>Observation</w:t>
      </w:r>
      <w:r>
        <w:rPr>
          <w:b/>
          <w:bCs/>
          <w:lang w:val="en-US"/>
        </w:rPr>
        <w:t xml:space="preserve"> 2</w:t>
      </w:r>
      <w:r w:rsidRPr="00AB3FAE">
        <w:rPr>
          <w:b/>
          <w:bCs/>
          <w:lang w:val="en-US"/>
        </w:rPr>
        <w:t xml:space="preserve">: RAN2#129 agreed to reconsider the use of </w:t>
      </w:r>
      <w:r w:rsidRPr="00AB3FAE">
        <w:rPr>
          <w:b/>
          <w:bCs/>
          <w:i/>
          <w:iCs/>
          <w:lang w:val="en-US"/>
        </w:rPr>
        <w:t>CSI-ReportConfig</w:t>
      </w:r>
      <w:r w:rsidRPr="00AB3FAE">
        <w:rPr>
          <w:b/>
          <w:bCs/>
          <w:lang w:val="en-US"/>
        </w:rPr>
        <w:t xml:space="preserve"> for option B if all of the inference-related parameters are contained in </w:t>
      </w:r>
      <w:r w:rsidRPr="00AB3FAE">
        <w:rPr>
          <w:b/>
          <w:bCs/>
          <w:i/>
          <w:iCs/>
          <w:lang w:val="en-US"/>
        </w:rPr>
        <w:t>CSI-ReportConfig</w:t>
      </w:r>
      <w:r w:rsidRPr="00AB3FAE">
        <w:rPr>
          <w:b/>
          <w:bCs/>
          <w:lang w:val="en-US"/>
        </w:rPr>
        <w:t>.</w:t>
      </w:r>
    </w:p>
    <w:p w14:paraId="3AB54BCC" w14:textId="280E08F6" w:rsidR="00003F91" w:rsidRDefault="00003F91" w:rsidP="00003F91">
      <w:pPr>
        <w:rPr>
          <w:b/>
          <w:bCs/>
          <w:iCs/>
          <w:lang w:val="en-US"/>
        </w:rPr>
      </w:pPr>
      <w:r>
        <w:rPr>
          <w:b/>
          <w:bCs/>
          <w:lang w:val="en-US"/>
        </w:rPr>
        <w:t xml:space="preserve">Observation 3: </w:t>
      </w:r>
      <w:r w:rsidRPr="00AB3FAE">
        <w:rPr>
          <w:b/>
          <w:bCs/>
          <w:lang w:val="en-US"/>
        </w:rPr>
        <w:t>RAN1#12</w:t>
      </w:r>
      <w:r>
        <w:rPr>
          <w:b/>
          <w:bCs/>
          <w:lang w:val="en-US"/>
        </w:rPr>
        <w:t>1</w:t>
      </w:r>
      <w:r w:rsidRPr="00AB3FAE">
        <w:rPr>
          <w:b/>
          <w:bCs/>
          <w:lang w:val="en-US"/>
        </w:rPr>
        <w:t xml:space="preserve"> agreed to the following list of parameters to be reused for signaling sets of inference-related parameters: </w:t>
      </w:r>
      <w:r w:rsidRPr="00AB3FAE">
        <w:rPr>
          <w:b/>
          <w:bCs/>
          <w:i/>
          <w:iCs/>
          <w:lang w:val="en-US"/>
        </w:rPr>
        <w:t>associatedIDforSetA-r19</w:t>
      </w:r>
      <w:r w:rsidRPr="00AB3FAE">
        <w:rPr>
          <w:b/>
          <w:bCs/>
          <w:lang w:val="en-US"/>
        </w:rPr>
        <w:t xml:space="preserve">, </w:t>
      </w:r>
      <w:r w:rsidRPr="00AB3FAE">
        <w:rPr>
          <w:b/>
          <w:bCs/>
          <w:i/>
          <w:iCs/>
          <w:lang w:val="en-US"/>
        </w:rPr>
        <w:t>resorucesForSetA-r19</w:t>
      </w:r>
      <w:r w:rsidRPr="00AB3FAE">
        <w:rPr>
          <w:b/>
          <w:bCs/>
          <w:lang w:val="en-US"/>
        </w:rPr>
        <w:t xml:space="preserve">, </w:t>
      </w:r>
      <w:r w:rsidRPr="00AB3FAE">
        <w:rPr>
          <w:b/>
          <w:bCs/>
          <w:i/>
          <w:iCs/>
          <w:lang w:val="en-US"/>
        </w:rPr>
        <w:t>resourcesForChannelMeasurement</w:t>
      </w:r>
      <w:r w:rsidRPr="00AB3FAE">
        <w:rPr>
          <w:b/>
          <w:bCs/>
          <w:lang w:val="en-US"/>
        </w:rPr>
        <w:t xml:space="preserve">, </w:t>
      </w:r>
      <w:r w:rsidRPr="00AB3FAE">
        <w:rPr>
          <w:b/>
          <w:bCs/>
          <w:i/>
          <w:iCs/>
          <w:lang w:val="en-US"/>
        </w:rPr>
        <w:t>associatedIDforSetB-r19</w:t>
      </w:r>
      <w:r w:rsidRPr="00AB3FAE">
        <w:rPr>
          <w:b/>
          <w:bCs/>
          <w:lang w:val="en-US"/>
        </w:rPr>
        <w:t xml:space="preserve">, </w:t>
      </w:r>
      <w:r w:rsidRPr="00AB3FAE">
        <w:rPr>
          <w:b/>
          <w:bCs/>
          <w:i/>
          <w:iCs/>
          <w:lang w:val="en-US"/>
        </w:rPr>
        <w:t>reportQuantity-r19</w:t>
      </w:r>
      <w:r w:rsidRPr="00AB3FAE">
        <w:rPr>
          <w:b/>
          <w:bCs/>
          <w:lang w:val="en-US"/>
        </w:rPr>
        <w:t xml:space="preserve">, </w:t>
      </w:r>
      <w:r w:rsidRPr="00AB3FAE">
        <w:rPr>
          <w:b/>
          <w:bCs/>
          <w:i/>
          <w:iCs/>
          <w:lang w:val="en-US"/>
        </w:rPr>
        <w:t>reportConfigType</w:t>
      </w:r>
      <w:r w:rsidRPr="00AB3FAE">
        <w:rPr>
          <w:b/>
          <w:bCs/>
          <w:lang w:val="en-US"/>
        </w:rPr>
        <w:t xml:space="preserve">, </w:t>
      </w:r>
      <w:r w:rsidRPr="00AB3FAE">
        <w:rPr>
          <w:b/>
          <w:bCs/>
          <w:i/>
          <w:iCs/>
          <w:lang w:val="en-US"/>
        </w:rPr>
        <w:t>nrofreportedpredictedrs-r19</w:t>
      </w:r>
      <w:r w:rsidRPr="00AB3FAE">
        <w:rPr>
          <w:b/>
          <w:bCs/>
          <w:lang w:val="en-US"/>
        </w:rPr>
        <w:t xml:space="preserve">, </w:t>
      </w:r>
      <w:r w:rsidRPr="00AB3FAE">
        <w:rPr>
          <w:b/>
          <w:bCs/>
          <w:i/>
          <w:iCs/>
          <w:lang w:val="en-US"/>
        </w:rPr>
        <w:t>TimeGap-r19</w:t>
      </w:r>
      <w:r w:rsidRPr="00AB3FAE">
        <w:rPr>
          <w:b/>
          <w:bCs/>
          <w:iCs/>
          <w:lang w:val="en-US"/>
        </w:rPr>
        <w:t xml:space="preserve">, and </w:t>
      </w:r>
      <w:r w:rsidRPr="00AB3FAE">
        <w:rPr>
          <w:b/>
          <w:bCs/>
          <w:i/>
          <w:lang w:val="en-US"/>
        </w:rPr>
        <w:t>nroftimeinstance-r19</w:t>
      </w:r>
      <w:r w:rsidRPr="00AB3FAE">
        <w:rPr>
          <w:b/>
          <w:bCs/>
          <w:iCs/>
          <w:lang w:val="en-US"/>
        </w:rPr>
        <w:t xml:space="preserve">, whose presence in </w:t>
      </w:r>
      <w:r w:rsidRPr="00AB3FAE">
        <w:rPr>
          <w:b/>
          <w:bCs/>
          <w:i/>
          <w:lang w:val="en-US"/>
        </w:rPr>
        <w:t>CSI-ReportConfig</w:t>
      </w:r>
      <w:r w:rsidRPr="00AB3FAE">
        <w:rPr>
          <w:b/>
          <w:bCs/>
          <w:iCs/>
          <w:lang w:val="en-US"/>
        </w:rPr>
        <w:t xml:space="preserve"> has been confirmed in the parameters list provided after RAN</w:t>
      </w:r>
      <w:r>
        <w:rPr>
          <w:b/>
          <w:bCs/>
          <w:iCs/>
          <w:lang w:val="en-US"/>
        </w:rPr>
        <w:t>1</w:t>
      </w:r>
      <w:r w:rsidRPr="00AB3FAE">
        <w:rPr>
          <w:b/>
          <w:bCs/>
          <w:iCs/>
          <w:lang w:val="en-US"/>
        </w:rPr>
        <w:t>#121.</w:t>
      </w:r>
    </w:p>
    <w:p w14:paraId="40CD68AD" w14:textId="77777777" w:rsidR="00003F91" w:rsidRPr="001E7070" w:rsidRDefault="00003F91" w:rsidP="00003F91">
      <w:pPr>
        <w:rPr>
          <w:b/>
          <w:bCs/>
        </w:rPr>
      </w:pPr>
      <w:r w:rsidRPr="004E3EE4">
        <w:rPr>
          <w:b/>
          <w:bCs/>
        </w:rPr>
        <w:t>Observation</w:t>
      </w:r>
      <w:r>
        <w:rPr>
          <w:b/>
          <w:bCs/>
        </w:rPr>
        <w:t xml:space="preserve"> 4</w:t>
      </w:r>
      <w:r w:rsidRPr="004E3EE4">
        <w:rPr>
          <w:b/>
          <w:bCs/>
        </w:rPr>
        <w:t xml:space="preserve">: The overhead incurred by reusing </w:t>
      </w:r>
      <w:r w:rsidRPr="004E3EE4">
        <w:rPr>
          <w:b/>
          <w:bCs/>
          <w:i/>
          <w:iCs/>
        </w:rPr>
        <w:t xml:space="preserve">CSI-ReportConfig </w:t>
      </w:r>
      <w:r w:rsidRPr="004E3EE4">
        <w:rPr>
          <w:b/>
          <w:bCs/>
        </w:rPr>
        <w:t>for signaling sets of inference-related parameters and UE-side data collection options is 8 bytes.</w:t>
      </w:r>
    </w:p>
    <w:p w14:paraId="193F6497" w14:textId="77777777" w:rsidR="00003F91" w:rsidRPr="000333F5" w:rsidRDefault="00003F91" w:rsidP="00003F91">
      <w:pPr>
        <w:rPr>
          <w:b/>
          <w:bCs/>
          <w:lang w:val="en-US"/>
        </w:rPr>
      </w:pPr>
      <w:r w:rsidRPr="000333F5">
        <w:rPr>
          <w:b/>
          <w:bCs/>
          <w:lang w:val="en-US"/>
        </w:rPr>
        <w:t>Observation</w:t>
      </w:r>
      <w:r>
        <w:rPr>
          <w:b/>
          <w:bCs/>
          <w:lang w:val="en-US"/>
        </w:rPr>
        <w:t xml:space="preserve"> 5</w:t>
      </w:r>
      <w:r w:rsidRPr="000333F5">
        <w:rPr>
          <w:b/>
          <w:bCs/>
          <w:lang w:val="en-US"/>
        </w:rPr>
        <w:t xml:space="preserve">: During RAN2#130, it was agreed that the following parameters are included in candidate data collection configurations: </w:t>
      </w:r>
      <w:r w:rsidRPr="000333F5">
        <w:rPr>
          <w:b/>
          <w:bCs/>
          <w:i/>
          <w:iCs/>
          <w:lang w:val="en-US"/>
        </w:rPr>
        <w:t>CSI-ResourceConfigId</w:t>
      </w:r>
      <w:r w:rsidRPr="000333F5">
        <w:rPr>
          <w:b/>
          <w:bCs/>
          <w:lang w:val="en-US"/>
        </w:rPr>
        <w:t xml:space="preserve"> of Set A, </w:t>
      </w:r>
      <w:r w:rsidRPr="000333F5">
        <w:rPr>
          <w:b/>
          <w:bCs/>
          <w:i/>
          <w:iCs/>
          <w:lang w:val="en-US"/>
        </w:rPr>
        <w:t>CSI-ResourceConfigId</w:t>
      </w:r>
      <w:r w:rsidRPr="000333F5">
        <w:rPr>
          <w:b/>
          <w:bCs/>
          <w:lang w:val="en-US"/>
        </w:rPr>
        <w:t xml:space="preserve"> of Set B, and one or two associated IDs, e.g., </w:t>
      </w:r>
      <w:r w:rsidRPr="000333F5">
        <w:rPr>
          <w:b/>
          <w:bCs/>
          <w:i/>
          <w:iCs/>
          <w:lang w:val="en-US"/>
        </w:rPr>
        <w:t>associatedIdforSetB-r19</w:t>
      </w:r>
      <w:r w:rsidRPr="000333F5">
        <w:rPr>
          <w:b/>
          <w:bCs/>
          <w:lang w:val="en-US"/>
        </w:rPr>
        <w:t xml:space="preserve"> and </w:t>
      </w:r>
      <w:r w:rsidRPr="000333F5">
        <w:rPr>
          <w:b/>
          <w:bCs/>
          <w:i/>
          <w:iCs/>
          <w:lang w:val="en-US"/>
        </w:rPr>
        <w:t>associatedIdforSetB-r19</w:t>
      </w:r>
      <w:r w:rsidRPr="000333F5">
        <w:rPr>
          <w:b/>
          <w:bCs/>
          <w:lang w:val="en-US"/>
        </w:rPr>
        <w:t>.</w:t>
      </w:r>
    </w:p>
    <w:p w14:paraId="03B48E8D" w14:textId="7156D2AB" w:rsidR="00003F91" w:rsidRDefault="00003F91" w:rsidP="00003F91">
      <w:pPr>
        <w:rPr>
          <w:b/>
          <w:bCs/>
          <w:lang w:val="en-US"/>
        </w:rPr>
      </w:pPr>
      <w:r w:rsidRPr="0014116C">
        <w:rPr>
          <w:b/>
          <w:bCs/>
          <w:lang w:val="en-US"/>
        </w:rPr>
        <w:t>Observation</w:t>
      </w:r>
      <w:r>
        <w:rPr>
          <w:b/>
          <w:bCs/>
          <w:lang w:val="en-US"/>
        </w:rPr>
        <w:t xml:space="preserve"> 6</w:t>
      </w:r>
      <w:r w:rsidRPr="0014116C">
        <w:rPr>
          <w:b/>
          <w:bCs/>
          <w:lang w:val="en-US"/>
        </w:rPr>
        <w:t>: Every parameter of</w:t>
      </w:r>
      <w:r>
        <w:rPr>
          <w:b/>
          <w:bCs/>
          <w:lang w:val="en-US"/>
        </w:rPr>
        <w:t xml:space="preserve"> UE-side</w:t>
      </w:r>
      <w:r w:rsidRPr="0014116C">
        <w:rPr>
          <w:b/>
          <w:bCs/>
          <w:lang w:val="en-US"/>
        </w:rPr>
        <w:t xml:space="preserve"> candidate data collection configurations exists in </w:t>
      </w:r>
      <w:r w:rsidRPr="0014116C">
        <w:rPr>
          <w:b/>
          <w:bCs/>
          <w:i/>
          <w:iCs/>
          <w:lang w:val="en-US"/>
        </w:rPr>
        <w:t>CSI-ReportConfig</w:t>
      </w:r>
      <w:r w:rsidRPr="0014116C">
        <w:rPr>
          <w:b/>
          <w:bCs/>
          <w:lang w:val="en-US"/>
        </w:rPr>
        <w:t>.</w:t>
      </w:r>
    </w:p>
    <w:p w14:paraId="73DD9D76" w14:textId="77777777" w:rsidR="00003F91" w:rsidRDefault="00003F91" w:rsidP="00003F91">
      <w:pPr>
        <w:rPr>
          <w:b/>
          <w:bCs/>
        </w:rPr>
      </w:pPr>
      <w:r w:rsidRPr="00102E02">
        <w:rPr>
          <w:b/>
          <w:bCs/>
        </w:rPr>
        <w:t>Observation</w:t>
      </w:r>
      <w:r>
        <w:rPr>
          <w:b/>
          <w:bCs/>
        </w:rPr>
        <w:t xml:space="preserve"> 7</w:t>
      </w:r>
      <w:r w:rsidRPr="00102E02">
        <w:rPr>
          <w:b/>
          <w:bCs/>
        </w:rPr>
        <w:t xml:space="preserve">: </w:t>
      </w:r>
      <w:r>
        <w:rPr>
          <w:b/>
          <w:bCs/>
        </w:rPr>
        <w:t>Using a</w:t>
      </w:r>
      <w:r w:rsidRPr="00102E02">
        <w:rPr>
          <w:b/>
          <w:bCs/>
        </w:rPr>
        <w:t xml:space="preserve"> high-level container for sets of inference-related parameters, i.e., </w:t>
      </w:r>
      <w:r w:rsidRPr="00102E02">
        <w:rPr>
          <w:b/>
          <w:bCs/>
          <w:i/>
          <w:iCs/>
        </w:rPr>
        <w:t>InferenceRelatedSet-r19</w:t>
      </w:r>
      <w:r w:rsidRPr="00102E02">
        <w:rPr>
          <w:b/>
          <w:bCs/>
        </w:rPr>
        <w:t>, a single procedure can be defined to report applicability based on inference-related parameters for all</w:t>
      </w:r>
      <w:r>
        <w:rPr>
          <w:b/>
          <w:bCs/>
        </w:rPr>
        <w:t xml:space="preserve"> current and</w:t>
      </w:r>
      <w:r w:rsidRPr="00102E02">
        <w:rPr>
          <w:b/>
          <w:bCs/>
        </w:rPr>
        <w:t xml:space="preserve"> future use cases and would reuse the same set of IDs identifying sets of inference-related parameters.</w:t>
      </w:r>
    </w:p>
    <w:p w14:paraId="516D9443" w14:textId="11A8F836" w:rsidR="00003F91" w:rsidRDefault="00003F91" w:rsidP="00003F91">
      <w:pPr>
        <w:rPr>
          <w:b/>
          <w:bCs/>
        </w:rPr>
      </w:pPr>
      <w:r w:rsidRPr="005D37EE">
        <w:rPr>
          <w:b/>
          <w:bCs/>
        </w:rPr>
        <w:t>Observation</w:t>
      </w:r>
      <w:r>
        <w:rPr>
          <w:b/>
          <w:bCs/>
        </w:rPr>
        <w:t xml:space="preserve"> 8</w:t>
      </w:r>
      <w:r w:rsidRPr="005D37EE">
        <w:rPr>
          <w:b/>
          <w:bCs/>
        </w:rPr>
        <w:t>: It might not be useful to allow a UE to request the release of a set of inference-related parameters and could cause unnecessary overhead if the sets of inference-related parameters are not configured with an AddMod / Release.</w:t>
      </w:r>
    </w:p>
    <w:p w14:paraId="2582197B" w14:textId="3BE9277B" w:rsidR="00003F91" w:rsidRPr="00003F91" w:rsidRDefault="00003F91" w:rsidP="00003F91">
      <w:pPr>
        <w:rPr>
          <w:b/>
          <w:bCs/>
          <w:iCs/>
        </w:rPr>
      </w:pPr>
      <w:r w:rsidRPr="003C0D7D">
        <w:rPr>
          <w:b/>
          <w:bCs/>
          <w:iCs/>
        </w:rPr>
        <w:t>Observation</w:t>
      </w:r>
      <w:r>
        <w:rPr>
          <w:b/>
          <w:bCs/>
          <w:iCs/>
        </w:rPr>
        <w:t xml:space="preserve"> 9</w:t>
      </w:r>
      <w:r w:rsidRPr="003C0D7D">
        <w:rPr>
          <w:b/>
          <w:bCs/>
          <w:iCs/>
        </w:rPr>
        <w:t>: As with InferenceRelatedSet-r19, a field description would be provided for the field dataCollectionCandidateConfigType-r19 to describe which fields of a particular configuration type, e.g., CSI-ReportConfig are relevant for the UE to evaluate a candidate UE-side data collection configuration.</w:t>
      </w:r>
    </w:p>
    <w:p w14:paraId="6FF43D0F" w14:textId="77777777" w:rsidR="008B549E" w:rsidRPr="004F4540" w:rsidRDefault="008B549E" w:rsidP="008B549E">
      <w:pPr>
        <w:rPr>
          <w:bCs/>
        </w:rPr>
      </w:pPr>
      <w:r>
        <w:rPr>
          <w:bCs/>
        </w:rPr>
        <w:t>And proposed the following:</w:t>
      </w:r>
    </w:p>
    <w:p w14:paraId="72DFB8DE" w14:textId="77777777" w:rsidR="00003F91" w:rsidRPr="00AB3FAE" w:rsidRDefault="00003F91" w:rsidP="00003F91">
      <w:pPr>
        <w:rPr>
          <w:b/>
          <w:bCs/>
          <w:iCs/>
          <w:lang w:val="en-US"/>
        </w:rPr>
      </w:pPr>
      <w:r w:rsidRPr="00AB3FAE">
        <w:rPr>
          <w:b/>
          <w:bCs/>
          <w:iCs/>
          <w:lang w:val="en-US"/>
        </w:rPr>
        <w:t>Proposa</w:t>
      </w:r>
      <w:r>
        <w:rPr>
          <w:b/>
          <w:bCs/>
          <w:iCs/>
          <w:lang w:val="en-US"/>
        </w:rPr>
        <w:t xml:space="preserve">1 </w:t>
      </w:r>
      <w:r w:rsidRPr="00AB3FAE">
        <w:rPr>
          <w:b/>
          <w:bCs/>
          <w:iCs/>
          <w:lang w:val="en-US"/>
        </w:rPr>
        <w:t xml:space="preserve">l: Use </w:t>
      </w:r>
      <w:r w:rsidRPr="00AB3FAE">
        <w:rPr>
          <w:b/>
          <w:bCs/>
          <w:i/>
          <w:lang w:val="en-US"/>
        </w:rPr>
        <w:t>CSI-ReportConfig</w:t>
      </w:r>
      <w:r w:rsidRPr="00AB3FAE">
        <w:rPr>
          <w:b/>
          <w:bCs/>
          <w:iCs/>
          <w:lang w:val="en-US"/>
        </w:rPr>
        <w:t xml:space="preserve"> as the IE to configure the UE with sets of inference-related parameters, each </w:t>
      </w:r>
      <w:r w:rsidRPr="00AB3FAE">
        <w:rPr>
          <w:b/>
          <w:bCs/>
          <w:i/>
          <w:lang w:val="en-US"/>
        </w:rPr>
        <w:t>CSI-ReportConfig</w:t>
      </w:r>
      <w:r w:rsidRPr="00AB3FAE">
        <w:rPr>
          <w:b/>
          <w:bCs/>
          <w:iCs/>
          <w:lang w:val="en-US"/>
        </w:rPr>
        <w:t xml:space="preserve"> representing one set of inference-related parameters.</w:t>
      </w:r>
    </w:p>
    <w:p w14:paraId="24C41D20" w14:textId="77777777" w:rsidR="00003F91" w:rsidRPr="00AB3FAE" w:rsidRDefault="00003F91" w:rsidP="00003F91">
      <w:pPr>
        <w:rPr>
          <w:b/>
          <w:bCs/>
          <w:iCs/>
          <w:lang w:val="en-US"/>
        </w:rPr>
      </w:pPr>
      <w:r w:rsidRPr="00AB3FAE">
        <w:rPr>
          <w:b/>
          <w:bCs/>
          <w:iCs/>
          <w:lang w:val="en-US"/>
        </w:rPr>
        <w:t>Proposal</w:t>
      </w:r>
      <w:r>
        <w:rPr>
          <w:b/>
          <w:bCs/>
          <w:iCs/>
          <w:lang w:val="en-US"/>
        </w:rPr>
        <w:t xml:space="preserve"> 2</w:t>
      </w:r>
      <w:r w:rsidRPr="00AB3FAE">
        <w:rPr>
          <w:b/>
          <w:bCs/>
          <w:iCs/>
          <w:lang w:val="en-US"/>
        </w:rPr>
        <w:t xml:space="preserve">: Use </w:t>
      </w:r>
      <w:r w:rsidRPr="00AB3FAE">
        <w:rPr>
          <w:b/>
          <w:bCs/>
          <w:i/>
          <w:lang w:val="en-US"/>
        </w:rPr>
        <w:t>CSI-ReportConfig</w:t>
      </w:r>
      <w:r w:rsidRPr="00AB3FAE">
        <w:rPr>
          <w:b/>
          <w:bCs/>
          <w:iCs/>
          <w:lang w:val="en-US"/>
        </w:rPr>
        <w:t xml:space="preserve"> as the IE to configure the UE with </w:t>
      </w:r>
      <w:r>
        <w:rPr>
          <w:b/>
          <w:bCs/>
          <w:iCs/>
          <w:lang w:val="en-US"/>
        </w:rPr>
        <w:t>UE-side candidate data collection configurations</w:t>
      </w:r>
      <w:r w:rsidRPr="00AB3FAE">
        <w:rPr>
          <w:b/>
          <w:bCs/>
          <w:iCs/>
          <w:lang w:val="en-US"/>
        </w:rPr>
        <w:t xml:space="preserve">, each </w:t>
      </w:r>
      <w:r w:rsidRPr="00AB3FAE">
        <w:rPr>
          <w:b/>
          <w:bCs/>
          <w:i/>
          <w:lang w:val="en-US"/>
        </w:rPr>
        <w:t>CSI-ReportConfig</w:t>
      </w:r>
      <w:r w:rsidRPr="00AB3FAE">
        <w:rPr>
          <w:b/>
          <w:bCs/>
          <w:iCs/>
          <w:lang w:val="en-US"/>
        </w:rPr>
        <w:t xml:space="preserve"> representing one </w:t>
      </w:r>
      <w:r>
        <w:rPr>
          <w:b/>
          <w:bCs/>
          <w:iCs/>
          <w:lang w:val="en-US"/>
        </w:rPr>
        <w:t>UE-side candidate data collection configuration</w:t>
      </w:r>
      <w:r w:rsidRPr="00AB3FAE">
        <w:rPr>
          <w:b/>
          <w:bCs/>
          <w:iCs/>
          <w:lang w:val="en-US"/>
        </w:rPr>
        <w:t>.</w:t>
      </w:r>
    </w:p>
    <w:p w14:paraId="11A9D629" w14:textId="77777777" w:rsidR="00003F91" w:rsidRPr="0024197B" w:rsidRDefault="00003F91" w:rsidP="00003F91">
      <w:pPr>
        <w:rPr>
          <w:b/>
          <w:bCs/>
          <w:iCs/>
        </w:rPr>
      </w:pPr>
      <w:r>
        <w:rPr>
          <w:b/>
          <w:bCs/>
        </w:rPr>
        <w:t xml:space="preserve">Proposal 3: The CSI-ReportConfig configured in </w:t>
      </w:r>
      <w:r>
        <w:rPr>
          <w:b/>
          <w:bCs/>
          <w:i/>
          <w:iCs/>
        </w:rPr>
        <w:t>inferenceRelatedSetConfig-r19</w:t>
      </w:r>
      <w:r>
        <w:rPr>
          <w:b/>
          <w:bCs/>
          <w:iCs/>
        </w:rPr>
        <w:t xml:space="preserve"> is not to be passed to lower layers for configuration. That is, there shall be no RAN1 impact due to the reuse of </w:t>
      </w:r>
      <w:r>
        <w:rPr>
          <w:b/>
          <w:bCs/>
          <w:i/>
        </w:rPr>
        <w:t>CSI-ReportConfig</w:t>
      </w:r>
      <w:r>
        <w:rPr>
          <w:b/>
          <w:bCs/>
          <w:iCs/>
        </w:rPr>
        <w:t>.</w:t>
      </w:r>
    </w:p>
    <w:p w14:paraId="3B899C4A" w14:textId="77777777" w:rsidR="00003F91" w:rsidRPr="00FE5522" w:rsidRDefault="00003F91" w:rsidP="00003F91">
      <w:pPr>
        <w:rPr>
          <w:b/>
          <w:bCs/>
        </w:rPr>
      </w:pPr>
      <w:r w:rsidRPr="00FE5522">
        <w:rPr>
          <w:b/>
          <w:bCs/>
        </w:rPr>
        <w:t>Proposal</w:t>
      </w:r>
      <w:r>
        <w:rPr>
          <w:b/>
          <w:bCs/>
        </w:rPr>
        <w:t xml:space="preserve"> 4</w:t>
      </w:r>
      <w:r w:rsidRPr="00FE5522">
        <w:rPr>
          <w:b/>
          <w:bCs/>
        </w:rPr>
        <w:t xml:space="preserve">: Define a new IE called </w:t>
      </w:r>
      <w:r w:rsidRPr="00FE5522">
        <w:rPr>
          <w:b/>
          <w:bCs/>
          <w:i/>
          <w:iCs/>
        </w:rPr>
        <w:t>InferenceRelatedSet-r19</w:t>
      </w:r>
      <w:r w:rsidRPr="00FE5522">
        <w:rPr>
          <w:b/>
          <w:bCs/>
        </w:rPr>
        <w:t xml:space="preserve">, which is configured with an identifier, </w:t>
      </w:r>
      <w:r w:rsidRPr="00FE5522">
        <w:rPr>
          <w:b/>
          <w:bCs/>
          <w:i/>
          <w:iCs/>
        </w:rPr>
        <w:t>inferenceRelatedSetId-r19</w:t>
      </w:r>
      <w:r w:rsidRPr="00FE5522">
        <w:rPr>
          <w:b/>
          <w:bCs/>
        </w:rPr>
        <w:t xml:space="preserve"> for use as a reference in the applicability report and a configuration containing a set of inference-related parameters, </w:t>
      </w:r>
      <w:r w:rsidRPr="00FE5522">
        <w:rPr>
          <w:b/>
          <w:bCs/>
          <w:i/>
          <w:iCs/>
        </w:rPr>
        <w:t>inferenceRelatedSetConfig-r19</w:t>
      </w:r>
      <w:r w:rsidRPr="00FE5522">
        <w:rPr>
          <w:b/>
          <w:bCs/>
          <w:iCs/>
        </w:rPr>
        <w:t xml:space="preserve">, which will minimally include </w:t>
      </w:r>
      <w:r w:rsidRPr="00FE5522">
        <w:rPr>
          <w:b/>
          <w:bCs/>
          <w:i/>
        </w:rPr>
        <w:t>CSI-ReportConfig</w:t>
      </w:r>
      <w:r w:rsidRPr="00FE5522">
        <w:rPr>
          <w:b/>
          <w:bCs/>
        </w:rPr>
        <w:t xml:space="preserve"> as one of the choices.</w:t>
      </w:r>
    </w:p>
    <w:p w14:paraId="062AC169" w14:textId="77777777" w:rsidR="00003F91" w:rsidRPr="005E201C" w:rsidRDefault="00003F91" w:rsidP="00003F91">
      <w:pPr>
        <w:rPr>
          <w:b/>
          <w:bCs/>
        </w:rPr>
      </w:pPr>
      <w:r w:rsidRPr="005E201C">
        <w:rPr>
          <w:b/>
          <w:bCs/>
        </w:rPr>
        <w:t>Proposal</w:t>
      </w:r>
      <w:r>
        <w:rPr>
          <w:b/>
          <w:bCs/>
        </w:rPr>
        <w:t xml:space="preserve"> 5</w:t>
      </w:r>
      <w:r w:rsidRPr="005E201C">
        <w:rPr>
          <w:b/>
          <w:bCs/>
        </w:rPr>
        <w:t xml:space="preserve">: The field description for </w:t>
      </w:r>
      <w:r w:rsidRPr="005E201C">
        <w:rPr>
          <w:b/>
          <w:bCs/>
          <w:i/>
          <w:iCs/>
        </w:rPr>
        <w:t>inferenceRelatedSetConfig-r19</w:t>
      </w:r>
      <w:r w:rsidRPr="005E201C">
        <w:rPr>
          <w:b/>
          <w:bCs/>
        </w:rPr>
        <w:t xml:space="preserve"> will be used to specify which fields are relevant for the applicability determination using sets of inference-related parameters based on the type of configuration.</w:t>
      </w:r>
    </w:p>
    <w:p w14:paraId="43246833" w14:textId="77777777" w:rsidR="00003F91" w:rsidRPr="00560718" w:rsidRDefault="00003F91" w:rsidP="00003F91">
      <w:pPr>
        <w:rPr>
          <w:b/>
          <w:bCs/>
        </w:rPr>
      </w:pPr>
      <w:r w:rsidRPr="00560718">
        <w:rPr>
          <w:b/>
          <w:bCs/>
        </w:rPr>
        <w:t>Proposal</w:t>
      </w:r>
      <w:r>
        <w:rPr>
          <w:b/>
          <w:bCs/>
        </w:rPr>
        <w:t xml:space="preserve"> 6</w:t>
      </w:r>
      <w:r w:rsidRPr="00560718">
        <w:rPr>
          <w:b/>
          <w:bCs/>
        </w:rPr>
        <w:t xml:space="preserve">: Add </w:t>
      </w:r>
      <w:r w:rsidRPr="00560718">
        <w:rPr>
          <w:b/>
          <w:bCs/>
          <w:i/>
          <w:iCs/>
        </w:rPr>
        <w:t>inferenceRelatedSetId</w:t>
      </w:r>
      <w:r w:rsidRPr="00560718">
        <w:rPr>
          <w:b/>
          <w:bCs/>
        </w:rPr>
        <w:t xml:space="preserve"> as a choice in </w:t>
      </w:r>
      <w:r w:rsidRPr="00560718">
        <w:rPr>
          <w:b/>
          <w:bCs/>
          <w:i/>
          <w:iCs/>
        </w:rPr>
        <w:t>applicabilityReportConfigId-r19</w:t>
      </w:r>
      <w:r w:rsidRPr="00560718">
        <w:rPr>
          <w:b/>
          <w:bCs/>
        </w:rPr>
        <w:t xml:space="preserve"> under </w:t>
      </w:r>
      <w:r w:rsidRPr="00560718">
        <w:rPr>
          <w:b/>
          <w:bCs/>
          <w:i/>
          <w:iCs/>
        </w:rPr>
        <w:t>Applicability</w:t>
      </w:r>
      <w:r>
        <w:rPr>
          <w:b/>
          <w:bCs/>
          <w:i/>
          <w:iCs/>
        </w:rPr>
        <w:t>ReportConfigIdList</w:t>
      </w:r>
      <w:r w:rsidRPr="00560718">
        <w:rPr>
          <w:b/>
          <w:bCs/>
          <w:i/>
          <w:iCs/>
        </w:rPr>
        <w:t>-r19</w:t>
      </w:r>
      <w:r>
        <w:rPr>
          <w:b/>
          <w:bCs/>
        </w:rPr>
        <w:t xml:space="preserve"> to support the reporting of the applicability of sets of inference-related parameters</w:t>
      </w:r>
      <w:r w:rsidRPr="00560718">
        <w:rPr>
          <w:b/>
          <w:bCs/>
        </w:rPr>
        <w:t>.</w:t>
      </w:r>
    </w:p>
    <w:p w14:paraId="4170614C" w14:textId="77777777" w:rsidR="00003F91" w:rsidRPr="00026735" w:rsidRDefault="00003F91" w:rsidP="00003F91">
      <w:pPr>
        <w:rPr>
          <w:b/>
          <w:bCs/>
        </w:rPr>
      </w:pPr>
      <w:r w:rsidRPr="00026735">
        <w:rPr>
          <w:b/>
          <w:bCs/>
        </w:rPr>
        <w:t>Proposal</w:t>
      </w:r>
      <w:r>
        <w:rPr>
          <w:b/>
          <w:bCs/>
        </w:rPr>
        <w:t xml:space="preserve"> 7</w:t>
      </w:r>
      <w:r w:rsidRPr="00026735">
        <w:rPr>
          <w:b/>
          <w:bCs/>
        </w:rPr>
        <w:t xml:space="preserve">: Move </w:t>
      </w:r>
      <w:r w:rsidRPr="00026735">
        <w:rPr>
          <w:b/>
          <w:bCs/>
          <w:i/>
          <w:iCs/>
        </w:rPr>
        <w:t>applicabilityCellId-r19</w:t>
      </w:r>
      <w:r w:rsidRPr="00026735">
        <w:rPr>
          <w:b/>
          <w:bCs/>
        </w:rPr>
        <w:t xml:space="preserve"> to the </w:t>
      </w:r>
      <w:r w:rsidRPr="00026735">
        <w:rPr>
          <w:b/>
          <w:bCs/>
          <w:i/>
          <w:iCs/>
        </w:rPr>
        <w:t>ApplicabilityReportConfigIdList-r19</w:t>
      </w:r>
      <w:r w:rsidRPr="00026735">
        <w:rPr>
          <w:b/>
          <w:bCs/>
        </w:rPr>
        <w:t>.</w:t>
      </w:r>
    </w:p>
    <w:p w14:paraId="0C6A90CF" w14:textId="0BCE8EA2" w:rsidR="00003F91" w:rsidRPr="001576E2" w:rsidRDefault="00003F91" w:rsidP="00003F91">
      <w:pPr>
        <w:rPr>
          <w:b/>
          <w:bCs/>
        </w:rPr>
      </w:pPr>
      <w:r w:rsidRPr="001576E2">
        <w:rPr>
          <w:b/>
          <w:bCs/>
        </w:rPr>
        <w:t>Proposal</w:t>
      </w:r>
      <w:r>
        <w:rPr>
          <w:b/>
          <w:bCs/>
        </w:rPr>
        <w:t xml:space="preserve"> 8</w:t>
      </w:r>
      <w:r w:rsidRPr="001576E2">
        <w:rPr>
          <w:b/>
          <w:bCs/>
        </w:rPr>
        <w:t xml:space="preserve">: </w:t>
      </w:r>
      <w:r w:rsidR="0085600D">
        <w:rPr>
          <w:b/>
          <w:bCs/>
        </w:rPr>
        <w:t>RAN2 to discuss a</w:t>
      </w:r>
      <w:r w:rsidRPr="001576E2">
        <w:rPr>
          <w:b/>
          <w:bCs/>
        </w:rPr>
        <w:t>dopt</w:t>
      </w:r>
      <w:r w:rsidR="0085600D">
        <w:rPr>
          <w:b/>
          <w:bCs/>
        </w:rPr>
        <w:t>ing</w:t>
      </w:r>
      <w:r w:rsidRPr="001576E2">
        <w:rPr>
          <w:b/>
          <w:bCs/>
        </w:rPr>
        <w:t xml:space="preserve"> the ASN.1 definition of Figure 2.2-1 to simplify the reporting of applicability, reporting the applicability of configurations pertaining to any cell in the same flat list.</w:t>
      </w:r>
    </w:p>
    <w:p w14:paraId="6F7E5641" w14:textId="41EFAFCC" w:rsidR="00003F91" w:rsidRDefault="00003F91" w:rsidP="00003F91">
      <w:pPr>
        <w:rPr>
          <w:b/>
          <w:bCs/>
        </w:rPr>
      </w:pPr>
      <w:r w:rsidRPr="00247FC9">
        <w:rPr>
          <w:b/>
          <w:bCs/>
        </w:rPr>
        <w:t>Proposal</w:t>
      </w:r>
      <w:r>
        <w:rPr>
          <w:b/>
          <w:bCs/>
        </w:rPr>
        <w:t xml:space="preserve"> 9</w:t>
      </w:r>
      <w:r w:rsidRPr="00247FC9">
        <w:rPr>
          <w:b/>
          <w:bCs/>
        </w:rPr>
        <w:t xml:space="preserve">: </w:t>
      </w:r>
      <w:r w:rsidR="0085600D">
        <w:rPr>
          <w:b/>
          <w:bCs/>
        </w:rPr>
        <w:t>RAN2 to discuss a</w:t>
      </w:r>
      <w:r w:rsidRPr="00247FC9">
        <w:rPr>
          <w:b/>
          <w:bCs/>
        </w:rPr>
        <w:t>dop</w:t>
      </w:r>
      <w:r w:rsidR="00B42B43">
        <w:rPr>
          <w:b/>
          <w:bCs/>
        </w:rPr>
        <w:t>t</w:t>
      </w:r>
      <w:r w:rsidR="0085600D">
        <w:rPr>
          <w:b/>
          <w:bCs/>
        </w:rPr>
        <w:t>ing</w:t>
      </w:r>
      <w:r w:rsidRPr="00247FC9">
        <w:rPr>
          <w:b/>
          <w:bCs/>
        </w:rPr>
        <w:t xml:space="preserve"> a generic procedure to support the reporting of the applicability of sets of inference-related parameters as exemplified in the provided procedural text prototype.</w:t>
      </w:r>
    </w:p>
    <w:p w14:paraId="46D1AB2D" w14:textId="55F96E97" w:rsidR="00003F91" w:rsidRPr="00247FC9" w:rsidRDefault="00003F91" w:rsidP="00003F91">
      <w:pPr>
        <w:rPr>
          <w:b/>
          <w:bCs/>
        </w:rPr>
      </w:pPr>
      <w:r w:rsidRPr="004E3EE4">
        <w:rPr>
          <w:b/>
          <w:bCs/>
        </w:rPr>
        <w:t>Proposal</w:t>
      </w:r>
      <w:r>
        <w:rPr>
          <w:b/>
          <w:bCs/>
        </w:rPr>
        <w:t xml:space="preserve"> 10</w:t>
      </w:r>
      <w:r w:rsidRPr="004E3EE4">
        <w:rPr>
          <w:b/>
          <w:bCs/>
        </w:rPr>
        <w:t xml:space="preserve">: Adopt the structure of </w:t>
      </w:r>
      <w:r>
        <w:rPr>
          <w:b/>
          <w:bCs/>
          <w:i/>
          <w:iCs/>
        </w:rPr>
        <w:t>DataCollectionCanddiateConfig</w:t>
      </w:r>
      <w:r w:rsidRPr="004E3EE4">
        <w:rPr>
          <w:b/>
          <w:bCs/>
          <w:i/>
          <w:iCs/>
        </w:rPr>
        <w:t>-r19</w:t>
      </w:r>
      <w:r w:rsidRPr="004E3EE4">
        <w:rPr>
          <w:b/>
          <w:bCs/>
        </w:rPr>
        <w:t xml:space="preserve"> defined in the provided ASN.1 example</w:t>
      </w:r>
      <w:r>
        <w:rPr>
          <w:b/>
          <w:bCs/>
        </w:rPr>
        <w:t xml:space="preserve">, which includes a </w:t>
      </w:r>
      <w:r>
        <w:rPr>
          <w:b/>
          <w:bCs/>
          <w:i/>
          <w:iCs/>
        </w:rPr>
        <w:t>dataCollectionCandidateConfigId</w:t>
      </w:r>
      <w:r>
        <w:rPr>
          <w:b/>
          <w:bCs/>
        </w:rPr>
        <w:t xml:space="preserve"> and a </w:t>
      </w:r>
      <w:r>
        <w:rPr>
          <w:b/>
          <w:bCs/>
          <w:i/>
          <w:iCs/>
        </w:rPr>
        <w:t>dataCollectionCandidateConfigType</w:t>
      </w:r>
      <w:r>
        <w:rPr>
          <w:b/>
          <w:bCs/>
        </w:rPr>
        <w:t>, which is a choice between different configuration types which could be used to indicate preference for UE-side data collection</w:t>
      </w:r>
      <w:r w:rsidRPr="004E3EE4">
        <w:rPr>
          <w:b/>
          <w:bCs/>
        </w:rPr>
        <w:t>.</w:t>
      </w:r>
    </w:p>
    <w:p w14:paraId="35F222F4" w14:textId="1299F78B" w:rsidR="00080512" w:rsidRDefault="0085600D" w:rsidP="0085600D">
      <w:pPr>
        <w:rPr>
          <w:b/>
          <w:bCs/>
          <w:lang w:val="en-US"/>
        </w:rPr>
      </w:pPr>
      <w:r w:rsidRPr="0003289D">
        <w:rPr>
          <w:b/>
          <w:bCs/>
          <w:lang w:val="en-US"/>
        </w:rPr>
        <w:t>Proposal</w:t>
      </w:r>
      <w:r>
        <w:rPr>
          <w:b/>
          <w:bCs/>
          <w:lang w:val="en-US"/>
        </w:rPr>
        <w:t xml:space="preserve"> 11</w:t>
      </w:r>
      <w:r w:rsidRPr="0003289D">
        <w:rPr>
          <w:b/>
          <w:bCs/>
          <w:lang w:val="en-US"/>
        </w:rPr>
        <w:t>: The UE will report its preference for a candidate for UE-side data collection by sending a UEAssistanceInformation message</w:t>
      </w:r>
      <w:r>
        <w:rPr>
          <w:b/>
          <w:bCs/>
          <w:lang w:val="en-US"/>
        </w:rPr>
        <w:t>. FFS how to signal, e.g., 1) UE indicates list of preferred configuration(s), wherein the presence indicates “start”, and the absence indicates “stop” 2) UE indicates a start list and a stop list, each containing a list of zero or more data collection candidate configurations or 3) UE indicates a list of data collection candidate configurations, each with a corresponding “start” or “stop” indication</w:t>
      </w:r>
      <w:r w:rsidRPr="0003289D">
        <w:rPr>
          <w:b/>
          <w:bCs/>
          <w:i/>
          <w:iCs/>
          <w:lang w:val="en-US"/>
        </w:rPr>
        <w:t>.</w:t>
      </w:r>
    </w:p>
    <w:p w14:paraId="5E124E03" w14:textId="31035762" w:rsidR="00D30022" w:rsidRDefault="00D30022" w:rsidP="00D30022">
      <w:pPr>
        <w:pStyle w:val="Heading1"/>
      </w:pPr>
      <w:r>
        <w:t>References</w:t>
      </w:r>
    </w:p>
    <w:p w14:paraId="30258C60" w14:textId="1E78A6ED" w:rsidR="00DA585D" w:rsidRDefault="00DA585D" w:rsidP="00D30022">
      <w:r>
        <w:t xml:space="preserve">[1] </w:t>
      </w:r>
      <w:hyperlink r:id="rId13" w:history="1">
        <w:r w:rsidR="007C7E3D" w:rsidRPr="0014097F">
          <w:rPr>
            <w:rStyle w:val="Hyperlink"/>
          </w:rPr>
          <w:t>R2-2501702</w:t>
        </w:r>
      </w:hyperlink>
      <w:r w:rsidR="007C7E3D">
        <w:t xml:space="preserve">, </w:t>
      </w:r>
      <w:r w:rsidR="000A689D" w:rsidRPr="000A689D">
        <w:t>Report of 3GPP TSG RAN WG2 meeting #129, Athens, Greece</w:t>
      </w:r>
      <w:r w:rsidR="000A689D">
        <w:t>, ETSI MCC</w:t>
      </w:r>
    </w:p>
    <w:p w14:paraId="48AABFDD" w14:textId="1E9D4A75" w:rsidR="00D75D60" w:rsidRDefault="00DA585D" w:rsidP="00916FE9">
      <w:r>
        <w:t xml:space="preserve">[2] </w:t>
      </w:r>
      <w:hyperlink r:id="rId14" w:history="1">
        <w:r w:rsidR="00916FE9" w:rsidRPr="001859B7">
          <w:rPr>
            <w:rStyle w:val="Hyperlink"/>
          </w:rPr>
          <w:t>R1</w:t>
        </w:r>
        <w:r w:rsidR="001859B7" w:rsidRPr="001859B7">
          <w:rPr>
            <w:rStyle w:val="Hyperlink"/>
          </w:rPr>
          <w:t>-250xxxx</w:t>
        </w:r>
      </w:hyperlink>
      <w:r w:rsidR="001859B7">
        <w:t xml:space="preserve">, </w:t>
      </w:r>
      <w:r w:rsidR="00916FE9">
        <w:t>Draft Report of 3GPP TSG RAN WG1 #121 v0.2.0 (St Julian’s, Malta, May 19th – 23rd, 2025)</w:t>
      </w:r>
    </w:p>
    <w:p w14:paraId="6662F3D1" w14:textId="545A39AE" w:rsidR="00D30022" w:rsidRDefault="00DA585D" w:rsidP="00D30022">
      <w:r>
        <w:t>[</w:t>
      </w:r>
      <w:r w:rsidR="00D75D60">
        <w:t>3</w:t>
      </w:r>
      <w:r>
        <w:t xml:space="preserve">] </w:t>
      </w:r>
      <w:hyperlink r:id="rId15" w:history="1">
        <w:r w:rsidR="00EA68AA" w:rsidRPr="00B602C9">
          <w:rPr>
            <w:rStyle w:val="Hyperlink"/>
          </w:rPr>
          <w:t>R</w:t>
        </w:r>
        <w:r w:rsidR="009C1ABB" w:rsidRPr="00B602C9">
          <w:rPr>
            <w:rStyle w:val="Hyperlink"/>
          </w:rPr>
          <w:t>2</w:t>
        </w:r>
        <w:r w:rsidR="00EA68AA" w:rsidRPr="00B602C9">
          <w:rPr>
            <w:rStyle w:val="Hyperlink"/>
          </w:rPr>
          <w:t>-250</w:t>
        </w:r>
        <w:r w:rsidR="000B2299" w:rsidRPr="00B602C9">
          <w:rPr>
            <w:rStyle w:val="Hyperlink"/>
          </w:rPr>
          <w:t>3</w:t>
        </w:r>
        <w:r w:rsidR="009C1ABB" w:rsidRPr="00B602C9">
          <w:rPr>
            <w:rStyle w:val="Hyperlink"/>
          </w:rPr>
          <w:t>314</w:t>
        </w:r>
      </w:hyperlink>
      <w:r w:rsidR="00304E06">
        <w:t xml:space="preserve">, </w:t>
      </w:r>
      <w:r w:rsidR="00304E06" w:rsidRPr="0039367E">
        <w:t>LS on Re</w:t>
      </w:r>
      <w:r w:rsidR="00304E06">
        <w:t>l</w:t>
      </w:r>
      <w:r w:rsidR="00304E06" w:rsidRPr="0039367E">
        <w:t>-1</w:t>
      </w:r>
      <w:r w:rsidR="00304E06">
        <w:t>9</w:t>
      </w:r>
      <w:r w:rsidR="00304E06" w:rsidRPr="0039367E">
        <w:t xml:space="preserve"> </w:t>
      </w:r>
      <w:r w:rsidR="00304E06">
        <w:t>higher layers</w:t>
      </w:r>
      <w:r w:rsidR="00304E06" w:rsidRPr="0039367E">
        <w:t xml:space="preserve"> parameter</w:t>
      </w:r>
      <w:r w:rsidR="00304E06">
        <w:t>s</w:t>
      </w:r>
      <w:r w:rsidR="00304E06" w:rsidRPr="0039367E">
        <w:t xml:space="preserve"> list</w:t>
      </w:r>
      <w:r w:rsidR="00304E06">
        <w:t xml:space="preserve"> Post RAN1#120bis</w:t>
      </w:r>
    </w:p>
    <w:p w14:paraId="320C971F" w14:textId="4ADD90E5" w:rsidR="00D75D60" w:rsidRPr="00D30022" w:rsidRDefault="00D75D60" w:rsidP="00D30022">
      <w:r>
        <w:t xml:space="preserve">[4] </w:t>
      </w:r>
      <w:hyperlink r:id="rId16" w:history="1">
        <w:r w:rsidR="00026179" w:rsidRPr="00026179">
          <w:rPr>
            <w:rStyle w:val="Hyperlink"/>
          </w:rPr>
          <w:t>R2-250xxxx</w:t>
        </w:r>
      </w:hyperlink>
      <w:r w:rsidR="00894E7C">
        <w:t>,</w:t>
      </w:r>
      <w:r w:rsidR="00026179">
        <w:t xml:space="preserve"> </w:t>
      </w:r>
      <w:r w:rsidR="00894E7C">
        <w:t xml:space="preserve">Draft </w:t>
      </w:r>
      <w:r w:rsidR="00894E7C" w:rsidRPr="00894E7C">
        <w:t>Report of 3GPP TSG RAN WG2 meeting #130, St Julian's, Malta</w:t>
      </w:r>
      <w:r w:rsidR="00894E7C">
        <w:t>, ETSI MCC</w:t>
      </w:r>
    </w:p>
    <w:sectPr w:rsidR="00D75D60" w:rsidRPr="00D30022">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9C7428" w14:textId="77777777" w:rsidR="006A7E5E" w:rsidRDefault="006A7E5E">
      <w:r>
        <w:separator/>
      </w:r>
    </w:p>
  </w:endnote>
  <w:endnote w:type="continuationSeparator" w:id="0">
    <w:p w14:paraId="4DE81BEC" w14:textId="77777777" w:rsidR="006A7E5E" w:rsidRDefault="006A7E5E">
      <w:r>
        <w:continuationSeparator/>
      </w:r>
    </w:p>
  </w:endnote>
  <w:endnote w:type="continuationNotice" w:id="1">
    <w:p w14:paraId="5241ACF3" w14:textId="77777777" w:rsidR="006A7E5E" w:rsidRDefault="006A7E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11CDB3" w14:textId="77777777" w:rsidR="006A7E5E" w:rsidRDefault="006A7E5E">
      <w:r>
        <w:separator/>
      </w:r>
    </w:p>
  </w:footnote>
  <w:footnote w:type="continuationSeparator" w:id="0">
    <w:p w14:paraId="54DA02AA" w14:textId="77777777" w:rsidR="006A7E5E" w:rsidRDefault="006A7E5E">
      <w:r>
        <w:continuationSeparator/>
      </w:r>
    </w:p>
  </w:footnote>
  <w:footnote w:type="continuationNotice" w:id="1">
    <w:p w14:paraId="39B9B03D" w14:textId="77777777" w:rsidR="006A7E5E" w:rsidRDefault="006A7E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091BAF"/>
    <w:multiLevelType w:val="hybridMultilevel"/>
    <w:tmpl w:val="2FC2ABFC"/>
    <w:lvl w:ilvl="0" w:tplc="90FC9D08">
      <w:start w:val="1"/>
      <w:numFmt w:val="lowerLetter"/>
      <w:lvlText w:val="%1."/>
      <w:lvlJc w:val="left"/>
      <w:pPr>
        <w:ind w:left="360" w:hanging="360"/>
      </w:pPr>
      <w:rPr>
        <w:rFonts w:ascii="Arial" w:eastAsia="Times New Roman" w:hAnsi="Arial" w:cs="Arial"/>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3" w15:restartNumberingAfterBreak="0">
    <w:nsid w:val="211C6322"/>
    <w:multiLevelType w:val="hybridMultilevel"/>
    <w:tmpl w:val="358EDC26"/>
    <w:lvl w:ilvl="0" w:tplc="8B42F2D8">
      <w:start w:val="1"/>
      <w:numFmt w:val="decimal"/>
      <w:lvlText w:val="%1."/>
      <w:lvlJc w:val="left"/>
      <w:pPr>
        <w:ind w:left="1020" w:hanging="360"/>
      </w:pPr>
    </w:lvl>
    <w:lvl w:ilvl="1" w:tplc="448ACFE8">
      <w:start w:val="1"/>
      <w:numFmt w:val="upperLetter"/>
      <w:lvlText w:val="%2."/>
      <w:lvlJc w:val="left"/>
      <w:pPr>
        <w:ind w:left="1740" w:hanging="360"/>
      </w:pPr>
    </w:lvl>
    <w:lvl w:ilvl="2" w:tplc="F24CE9CC">
      <w:start w:val="1"/>
      <w:numFmt w:val="decimal"/>
      <w:lvlText w:val="%3."/>
      <w:lvlJc w:val="left"/>
      <w:pPr>
        <w:ind w:left="1020" w:hanging="360"/>
      </w:pPr>
    </w:lvl>
    <w:lvl w:ilvl="3" w:tplc="EF788936">
      <w:start w:val="1"/>
      <w:numFmt w:val="decimal"/>
      <w:lvlText w:val="%4."/>
      <w:lvlJc w:val="left"/>
      <w:pPr>
        <w:ind w:left="1020" w:hanging="360"/>
      </w:pPr>
    </w:lvl>
    <w:lvl w:ilvl="4" w:tplc="41AE4438">
      <w:start w:val="1"/>
      <w:numFmt w:val="decimal"/>
      <w:lvlText w:val="%5."/>
      <w:lvlJc w:val="left"/>
      <w:pPr>
        <w:ind w:left="1020" w:hanging="360"/>
      </w:pPr>
    </w:lvl>
    <w:lvl w:ilvl="5" w:tplc="9E6AEFC6">
      <w:start w:val="1"/>
      <w:numFmt w:val="decimal"/>
      <w:lvlText w:val="%6."/>
      <w:lvlJc w:val="left"/>
      <w:pPr>
        <w:ind w:left="1020" w:hanging="360"/>
      </w:pPr>
    </w:lvl>
    <w:lvl w:ilvl="6" w:tplc="03FAF74C">
      <w:start w:val="1"/>
      <w:numFmt w:val="decimal"/>
      <w:lvlText w:val="%7."/>
      <w:lvlJc w:val="left"/>
      <w:pPr>
        <w:ind w:left="1020" w:hanging="360"/>
      </w:pPr>
    </w:lvl>
    <w:lvl w:ilvl="7" w:tplc="B680BD80">
      <w:start w:val="1"/>
      <w:numFmt w:val="decimal"/>
      <w:lvlText w:val="%8."/>
      <w:lvlJc w:val="left"/>
      <w:pPr>
        <w:ind w:left="1020" w:hanging="360"/>
      </w:pPr>
    </w:lvl>
    <w:lvl w:ilvl="8" w:tplc="6B2AAB7E">
      <w:start w:val="1"/>
      <w:numFmt w:val="decimal"/>
      <w:lvlText w:val="%9."/>
      <w:lvlJc w:val="left"/>
      <w:pPr>
        <w:ind w:left="1020" w:hanging="360"/>
      </w:p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45324F24"/>
    <w:multiLevelType w:val="hybridMultilevel"/>
    <w:tmpl w:val="DEFE3458"/>
    <w:lvl w:ilvl="0" w:tplc="6D885C60">
      <w:start w:val="1"/>
      <w:numFmt w:val="bullet"/>
      <w:lvlText w:val=""/>
      <w:lvlJc w:val="left"/>
      <w:pPr>
        <w:tabs>
          <w:tab w:val="num" w:pos="360"/>
        </w:tabs>
        <w:ind w:left="360" w:hanging="360"/>
      </w:pPr>
      <w:rPr>
        <w:rFonts w:ascii="Symbol" w:hAnsi="Symbol" w:hint="default"/>
      </w:rPr>
    </w:lvl>
    <w:lvl w:ilvl="1" w:tplc="44E6A1CC">
      <w:numFmt w:val="bullet"/>
      <w:lvlText w:val="o"/>
      <w:lvlJc w:val="left"/>
      <w:pPr>
        <w:tabs>
          <w:tab w:val="num" w:pos="1080"/>
        </w:tabs>
        <w:ind w:left="1080" w:hanging="360"/>
      </w:pPr>
      <w:rPr>
        <w:rFonts w:ascii="Courier New" w:hAnsi="Courier New" w:hint="default"/>
      </w:rPr>
    </w:lvl>
    <w:lvl w:ilvl="2" w:tplc="AAF4C462" w:tentative="1">
      <w:start w:val="1"/>
      <w:numFmt w:val="bullet"/>
      <w:lvlText w:val=""/>
      <w:lvlJc w:val="left"/>
      <w:pPr>
        <w:tabs>
          <w:tab w:val="num" w:pos="1800"/>
        </w:tabs>
        <w:ind w:left="1800" w:hanging="360"/>
      </w:pPr>
      <w:rPr>
        <w:rFonts w:ascii="Symbol" w:hAnsi="Symbol" w:hint="default"/>
      </w:rPr>
    </w:lvl>
    <w:lvl w:ilvl="3" w:tplc="9710D0A2" w:tentative="1">
      <w:start w:val="1"/>
      <w:numFmt w:val="bullet"/>
      <w:lvlText w:val=""/>
      <w:lvlJc w:val="left"/>
      <w:pPr>
        <w:tabs>
          <w:tab w:val="num" w:pos="2520"/>
        </w:tabs>
        <w:ind w:left="2520" w:hanging="360"/>
      </w:pPr>
      <w:rPr>
        <w:rFonts w:ascii="Symbol" w:hAnsi="Symbol" w:hint="default"/>
      </w:rPr>
    </w:lvl>
    <w:lvl w:ilvl="4" w:tplc="5B7C1E80" w:tentative="1">
      <w:start w:val="1"/>
      <w:numFmt w:val="bullet"/>
      <w:lvlText w:val=""/>
      <w:lvlJc w:val="left"/>
      <w:pPr>
        <w:tabs>
          <w:tab w:val="num" w:pos="3240"/>
        </w:tabs>
        <w:ind w:left="3240" w:hanging="360"/>
      </w:pPr>
      <w:rPr>
        <w:rFonts w:ascii="Symbol" w:hAnsi="Symbol" w:hint="default"/>
      </w:rPr>
    </w:lvl>
    <w:lvl w:ilvl="5" w:tplc="8D5CABD2" w:tentative="1">
      <w:start w:val="1"/>
      <w:numFmt w:val="bullet"/>
      <w:lvlText w:val=""/>
      <w:lvlJc w:val="left"/>
      <w:pPr>
        <w:tabs>
          <w:tab w:val="num" w:pos="3960"/>
        </w:tabs>
        <w:ind w:left="3960" w:hanging="360"/>
      </w:pPr>
      <w:rPr>
        <w:rFonts w:ascii="Symbol" w:hAnsi="Symbol" w:hint="default"/>
      </w:rPr>
    </w:lvl>
    <w:lvl w:ilvl="6" w:tplc="4B24FA68" w:tentative="1">
      <w:start w:val="1"/>
      <w:numFmt w:val="bullet"/>
      <w:lvlText w:val=""/>
      <w:lvlJc w:val="left"/>
      <w:pPr>
        <w:tabs>
          <w:tab w:val="num" w:pos="4680"/>
        </w:tabs>
        <w:ind w:left="4680" w:hanging="360"/>
      </w:pPr>
      <w:rPr>
        <w:rFonts w:ascii="Symbol" w:hAnsi="Symbol" w:hint="default"/>
      </w:rPr>
    </w:lvl>
    <w:lvl w:ilvl="7" w:tplc="FF18D71A" w:tentative="1">
      <w:start w:val="1"/>
      <w:numFmt w:val="bullet"/>
      <w:lvlText w:val=""/>
      <w:lvlJc w:val="left"/>
      <w:pPr>
        <w:tabs>
          <w:tab w:val="num" w:pos="5400"/>
        </w:tabs>
        <w:ind w:left="5400" w:hanging="360"/>
      </w:pPr>
      <w:rPr>
        <w:rFonts w:ascii="Symbol" w:hAnsi="Symbol" w:hint="default"/>
      </w:rPr>
    </w:lvl>
    <w:lvl w:ilvl="8" w:tplc="AB882412" w:tentative="1">
      <w:start w:val="1"/>
      <w:numFmt w:val="bullet"/>
      <w:lvlText w:val=""/>
      <w:lvlJc w:val="left"/>
      <w:pPr>
        <w:tabs>
          <w:tab w:val="num" w:pos="6120"/>
        </w:tabs>
        <w:ind w:left="6120" w:hanging="360"/>
      </w:pPr>
      <w:rPr>
        <w:rFonts w:ascii="Symbol" w:hAnsi="Symbol" w:hint="default"/>
      </w:rPr>
    </w:lvl>
  </w:abstractNum>
  <w:abstractNum w:abstractNumId="1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15:restartNumberingAfterBreak="0">
    <w:nsid w:val="795D484F"/>
    <w:multiLevelType w:val="hybridMultilevel"/>
    <w:tmpl w:val="A350D058"/>
    <w:lvl w:ilvl="0" w:tplc="6D885C6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5"/>
  </w:num>
  <w:num w:numId="5" w16cid:durableId="630793192">
    <w:abstractNumId w:val="14"/>
  </w:num>
  <w:num w:numId="6" w16cid:durableId="1154301696">
    <w:abstractNumId w:val="17"/>
  </w:num>
  <w:num w:numId="7" w16cid:durableId="1489399165">
    <w:abstractNumId w:val="18"/>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322198798">
    <w:abstractNumId w:val="12"/>
  </w:num>
  <w:num w:numId="19" w16cid:durableId="515315121">
    <w:abstractNumId w:val="16"/>
  </w:num>
  <w:num w:numId="20" w16cid:durableId="1965384029">
    <w:abstractNumId w:val="19"/>
  </w:num>
  <w:num w:numId="21" w16cid:durableId="96084188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F91"/>
    <w:rsid w:val="00006C10"/>
    <w:rsid w:val="00012A1D"/>
    <w:rsid w:val="000145A1"/>
    <w:rsid w:val="00016557"/>
    <w:rsid w:val="00023C40"/>
    <w:rsid w:val="0002507D"/>
    <w:rsid w:val="00026179"/>
    <w:rsid w:val="00026735"/>
    <w:rsid w:val="00031BEF"/>
    <w:rsid w:val="0003289D"/>
    <w:rsid w:val="00033397"/>
    <w:rsid w:val="000333F5"/>
    <w:rsid w:val="00034F0C"/>
    <w:rsid w:val="00040095"/>
    <w:rsid w:val="000418DD"/>
    <w:rsid w:val="0004639A"/>
    <w:rsid w:val="00061471"/>
    <w:rsid w:val="00065268"/>
    <w:rsid w:val="000659E2"/>
    <w:rsid w:val="00067874"/>
    <w:rsid w:val="00073C9C"/>
    <w:rsid w:val="0007508C"/>
    <w:rsid w:val="00076412"/>
    <w:rsid w:val="00076DC6"/>
    <w:rsid w:val="00080512"/>
    <w:rsid w:val="00090468"/>
    <w:rsid w:val="00093DFA"/>
    <w:rsid w:val="00094568"/>
    <w:rsid w:val="000A07B1"/>
    <w:rsid w:val="000A59FF"/>
    <w:rsid w:val="000A689D"/>
    <w:rsid w:val="000A6EB6"/>
    <w:rsid w:val="000B209E"/>
    <w:rsid w:val="000B2299"/>
    <w:rsid w:val="000B7BCF"/>
    <w:rsid w:val="000C169E"/>
    <w:rsid w:val="000C1AB3"/>
    <w:rsid w:val="000C4D1F"/>
    <w:rsid w:val="000C522B"/>
    <w:rsid w:val="000C7917"/>
    <w:rsid w:val="000D3DFC"/>
    <w:rsid w:val="000D58AB"/>
    <w:rsid w:val="00102E02"/>
    <w:rsid w:val="00106059"/>
    <w:rsid w:val="00107657"/>
    <w:rsid w:val="0011046F"/>
    <w:rsid w:val="00112F1A"/>
    <w:rsid w:val="001173E2"/>
    <w:rsid w:val="00125351"/>
    <w:rsid w:val="00125531"/>
    <w:rsid w:val="0012610D"/>
    <w:rsid w:val="00131929"/>
    <w:rsid w:val="00133D91"/>
    <w:rsid w:val="0014097F"/>
    <w:rsid w:val="0014116C"/>
    <w:rsid w:val="00141590"/>
    <w:rsid w:val="0014289D"/>
    <w:rsid w:val="0014389D"/>
    <w:rsid w:val="00145075"/>
    <w:rsid w:val="00146EDD"/>
    <w:rsid w:val="00147645"/>
    <w:rsid w:val="001576E2"/>
    <w:rsid w:val="0016361F"/>
    <w:rsid w:val="00163A64"/>
    <w:rsid w:val="00173191"/>
    <w:rsid w:val="00173B3E"/>
    <w:rsid w:val="001741A0"/>
    <w:rsid w:val="00175FA0"/>
    <w:rsid w:val="00185377"/>
    <w:rsid w:val="0018542A"/>
    <w:rsid w:val="001859B7"/>
    <w:rsid w:val="00194CD0"/>
    <w:rsid w:val="001A2D59"/>
    <w:rsid w:val="001B0E99"/>
    <w:rsid w:val="001B49C9"/>
    <w:rsid w:val="001C1AE6"/>
    <w:rsid w:val="001C229F"/>
    <w:rsid w:val="001C23F4"/>
    <w:rsid w:val="001C4F79"/>
    <w:rsid w:val="001E1214"/>
    <w:rsid w:val="001E35AF"/>
    <w:rsid w:val="001E58FA"/>
    <w:rsid w:val="001E7070"/>
    <w:rsid w:val="001F168B"/>
    <w:rsid w:val="001F74EA"/>
    <w:rsid w:val="001F7831"/>
    <w:rsid w:val="002013C2"/>
    <w:rsid w:val="00204045"/>
    <w:rsid w:val="0020712B"/>
    <w:rsid w:val="00214E9A"/>
    <w:rsid w:val="0021716B"/>
    <w:rsid w:val="00217467"/>
    <w:rsid w:val="002219F6"/>
    <w:rsid w:val="002223F0"/>
    <w:rsid w:val="0022606D"/>
    <w:rsid w:val="00231728"/>
    <w:rsid w:val="00241795"/>
    <w:rsid w:val="0024197B"/>
    <w:rsid w:val="00244A05"/>
    <w:rsid w:val="00247FC9"/>
    <w:rsid w:val="00250404"/>
    <w:rsid w:val="00256B74"/>
    <w:rsid w:val="002610D8"/>
    <w:rsid w:val="00263EB6"/>
    <w:rsid w:val="00267879"/>
    <w:rsid w:val="002747EC"/>
    <w:rsid w:val="002779AB"/>
    <w:rsid w:val="002855BF"/>
    <w:rsid w:val="0029063E"/>
    <w:rsid w:val="00290A7C"/>
    <w:rsid w:val="002B2988"/>
    <w:rsid w:val="002B30BC"/>
    <w:rsid w:val="002B7D4E"/>
    <w:rsid w:val="002D4934"/>
    <w:rsid w:val="002E071E"/>
    <w:rsid w:val="002E7A1B"/>
    <w:rsid w:val="002F00B5"/>
    <w:rsid w:val="002F0D22"/>
    <w:rsid w:val="00304E06"/>
    <w:rsid w:val="00311B17"/>
    <w:rsid w:val="00315FA8"/>
    <w:rsid w:val="003172DC"/>
    <w:rsid w:val="00324642"/>
    <w:rsid w:val="00325AE3"/>
    <w:rsid w:val="00326069"/>
    <w:rsid w:val="00331FB6"/>
    <w:rsid w:val="003367B2"/>
    <w:rsid w:val="003402B3"/>
    <w:rsid w:val="0035462D"/>
    <w:rsid w:val="00361504"/>
    <w:rsid w:val="00363FAE"/>
    <w:rsid w:val="0036459E"/>
    <w:rsid w:val="00364B1D"/>
    <w:rsid w:val="00364B41"/>
    <w:rsid w:val="00365EED"/>
    <w:rsid w:val="00372DF8"/>
    <w:rsid w:val="00383096"/>
    <w:rsid w:val="0038476A"/>
    <w:rsid w:val="00390153"/>
    <w:rsid w:val="0039346C"/>
    <w:rsid w:val="00393722"/>
    <w:rsid w:val="00397FD3"/>
    <w:rsid w:val="003A2BE7"/>
    <w:rsid w:val="003A41EF"/>
    <w:rsid w:val="003A4ED8"/>
    <w:rsid w:val="003B40AD"/>
    <w:rsid w:val="003B47FC"/>
    <w:rsid w:val="003C0D7D"/>
    <w:rsid w:val="003C3C37"/>
    <w:rsid w:val="003C3D6F"/>
    <w:rsid w:val="003C4E37"/>
    <w:rsid w:val="003C6AFD"/>
    <w:rsid w:val="003C7385"/>
    <w:rsid w:val="003D0FD0"/>
    <w:rsid w:val="003D6B42"/>
    <w:rsid w:val="003D7AAB"/>
    <w:rsid w:val="003E16BE"/>
    <w:rsid w:val="003E5ACC"/>
    <w:rsid w:val="003F4E28"/>
    <w:rsid w:val="003F76B6"/>
    <w:rsid w:val="004006E8"/>
    <w:rsid w:val="00401855"/>
    <w:rsid w:val="00402DCF"/>
    <w:rsid w:val="0040523D"/>
    <w:rsid w:val="00413D6E"/>
    <w:rsid w:val="00426F1F"/>
    <w:rsid w:val="00445B26"/>
    <w:rsid w:val="00446C3A"/>
    <w:rsid w:val="00457837"/>
    <w:rsid w:val="00465587"/>
    <w:rsid w:val="00466822"/>
    <w:rsid w:val="00477455"/>
    <w:rsid w:val="00483950"/>
    <w:rsid w:val="00485A44"/>
    <w:rsid w:val="00495A15"/>
    <w:rsid w:val="004A1F7B"/>
    <w:rsid w:val="004A39F0"/>
    <w:rsid w:val="004B11D7"/>
    <w:rsid w:val="004B7CDC"/>
    <w:rsid w:val="004C44D2"/>
    <w:rsid w:val="004C6604"/>
    <w:rsid w:val="004D1F57"/>
    <w:rsid w:val="004D3578"/>
    <w:rsid w:val="004D380D"/>
    <w:rsid w:val="004E0DD0"/>
    <w:rsid w:val="004E213A"/>
    <w:rsid w:val="004E7553"/>
    <w:rsid w:val="004F4540"/>
    <w:rsid w:val="004F73A7"/>
    <w:rsid w:val="00502538"/>
    <w:rsid w:val="00503171"/>
    <w:rsid w:val="005059E5"/>
    <w:rsid w:val="005061B7"/>
    <w:rsid w:val="00506C28"/>
    <w:rsid w:val="00525B66"/>
    <w:rsid w:val="00534DA0"/>
    <w:rsid w:val="005351C0"/>
    <w:rsid w:val="00535BFE"/>
    <w:rsid w:val="00537809"/>
    <w:rsid w:val="00537D26"/>
    <w:rsid w:val="00541A65"/>
    <w:rsid w:val="005432D9"/>
    <w:rsid w:val="00543E6C"/>
    <w:rsid w:val="00556C63"/>
    <w:rsid w:val="00556FE4"/>
    <w:rsid w:val="00560718"/>
    <w:rsid w:val="0056238A"/>
    <w:rsid w:val="00563F3C"/>
    <w:rsid w:val="00565087"/>
    <w:rsid w:val="0056573F"/>
    <w:rsid w:val="00571279"/>
    <w:rsid w:val="00573250"/>
    <w:rsid w:val="00575FC5"/>
    <w:rsid w:val="005802CC"/>
    <w:rsid w:val="005928F4"/>
    <w:rsid w:val="005A13AB"/>
    <w:rsid w:val="005A16B5"/>
    <w:rsid w:val="005A49C6"/>
    <w:rsid w:val="005A5862"/>
    <w:rsid w:val="005C0631"/>
    <w:rsid w:val="005C0E92"/>
    <w:rsid w:val="005C766E"/>
    <w:rsid w:val="005C7CD5"/>
    <w:rsid w:val="005D37EE"/>
    <w:rsid w:val="005E201C"/>
    <w:rsid w:val="005E7BFD"/>
    <w:rsid w:val="005F221F"/>
    <w:rsid w:val="005F2A90"/>
    <w:rsid w:val="005F74F1"/>
    <w:rsid w:val="00606FCC"/>
    <w:rsid w:val="00611566"/>
    <w:rsid w:val="0061722E"/>
    <w:rsid w:val="0062401A"/>
    <w:rsid w:val="00624F04"/>
    <w:rsid w:val="00631718"/>
    <w:rsid w:val="00642476"/>
    <w:rsid w:val="00646D99"/>
    <w:rsid w:val="006502DB"/>
    <w:rsid w:val="00656910"/>
    <w:rsid w:val="006574C0"/>
    <w:rsid w:val="00670B9D"/>
    <w:rsid w:val="00682408"/>
    <w:rsid w:val="00696821"/>
    <w:rsid w:val="006A26DB"/>
    <w:rsid w:val="006A2AF4"/>
    <w:rsid w:val="006A7E5E"/>
    <w:rsid w:val="006B1419"/>
    <w:rsid w:val="006B301F"/>
    <w:rsid w:val="006C66D8"/>
    <w:rsid w:val="006D1E24"/>
    <w:rsid w:val="006D35DE"/>
    <w:rsid w:val="006D78A2"/>
    <w:rsid w:val="006E1057"/>
    <w:rsid w:val="006E1417"/>
    <w:rsid w:val="006E33F4"/>
    <w:rsid w:val="006E3574"/>
    <w:rsid w:val="006E46AE"/>
    <w:rsid w:val="006F596D"/>
    <w:rsid w:val="006F6A2C"/>
    <w:rsid w:val="00702737"/>
    <w:rsid w:val="007069DC"/>
    <w:rsid w:val="00710201"/>
    <w:rsid w:val="00711E5E"/>
    <w:rsid w:val="0072073A"/>
    <w:rsid w:val="00723B23"/>
    <w:rsid w:val="0072700D"/>
    <w:rsid w:val="00731D42"/>
    <w:rsid w:val="007342B5"/>
    <w:rsid w:val="00734A5B"/>
    <w:rsid w:val="00734B99"/>
    <w:rsid w:val="0073658B"/>
    <w:rsid w:val="00744E76"/>
    <w:rsid w:val="00757D40"/>
    <w:rsid w:val="00760717"/>
    <w:rsid w:val="007658E9"/>
    <w:rsid w:val="007662B5"/>
    <w:rsid w:val="00767D5C"/>
    <w:rsid w:val="00781F0F"/>
    <w:rsid w:val="0078727C"/>
    <w:rsid w:val="0079049D"/>
    <w:rsid w:val="00793DC5"/>
    <w:rsid w:val="00796823"/>
    <w:rsid w:val="007A212D"/>
    <w:rsid w:val="007A2E55"/>
    <w:rsid w:val="007B18D8"/>
    <w:rsid w:val="007B7184"/>
    <w:rsid w:val="007B7FF6"/>
    <w:rsid w:val="007C095F"/>
    <w:rsid w:val="007C2DD0"/>
    <w:rsid w:val="007C7E3D"/>
    <w:rsid w:val="007D1F12"/>
    <w:rsid w:val="007D43C3"/>
    <w:rsid w:val="007E3C4C"/>
    <w:rsid w:val="007F2E08"/>
    <w:rsid w:val="008024FA"/>
    <w:rsid w:val="008028A4"/>
    <w:rsid w:val="00813245"/>
    <w:rsid w:val="008310CF"/>
    <w:rsid w:val="00840DE0"/>
    <w:rsid w:val="008473E8"/>
    <w:rsid w:val="00847CD0"/>
    <w:rsid w:val="0085600D"/>
    <w:rsid w:val="0086048C"/>
    <w:rsid w:val="008607A8"/>
    <w:rsid w:val="0086354A"/>
    <w:rsid w:val="008637CB"/>
    <w:rsid w:val="008768CA"/>
    <w:rsid w:val="00877EF9"/>
    <w:rsid w:val="00880559"/>
    <w:rsid w:val="0089243D"/>
    <w:rsid w:val="00894E7C"/>
    <w:rsid w:val="00897B5A"/>
    <w:rsid w:val="008A665C"/>
    <w:rsid w:val="008B5306"/>
    <w:rsid w:val="008B549E"/>
    <w:rsid w:val="008B54E8"/>
    <w:rsid w:val="008C11B2"/>
    <w:rsid w:val="008C21AC"/>
    <w:rsid w:val="008C2E2A"/>
    <w:rsid w:val="008C3057"/>
    <w:rsid w:val="008D0C8C"/>
    <w:rsid w:val="008D2E4D"/>
    <w:rsid w:val="008D3904"/>
    <w:rsid w:val="008D6D57"/>
    <w:rsid w:val="008E38D5"/>
    <w:rsid w:val="008F396F"/>
    <w:rsid w:val="008F3DCD"/>
    <w:rsid w:val="008F74E7"/>
    <w:rsid w:val="0090271F"/>
    <w:rsid w:val="00902DB9"/>
    <w:rsid w:val="0090466A"/>
    <w:rsid w:val="00905E5A"/>
    <w:rsid w:val="009076D6"/>
    <w:rsid w:val="00911F55"/>
    <w:rsid w:val="00916FE9"/>
    <w:rsid w:val="00917B5B"/>
    <w:rsid w:val="00923655"/>
    <w:rsid w:val="009248C6"/>
    <w:rsid w:val="0093287D"/>
    <w:rsid w:val="009339CB"/>
    <w:rsid w:val="00936071"/>
    <w:rsid w:val="00936F87"/>
    <w:rsid w:val="009376CD"/>
    <w:rsid w:val="00937E35"/>
    <w:rsid w:val="00940212"/>
    <w:rsid w:val="00942EC2"/>
    <w:rsid w:val="00944D7C"/>
    <w:rsid w:val="00961B32"/>
    <w:rsid w:val="00962509"/>
    <w:rsid w:val="00967D03"/>
    <w:rsid w:val="00970DB3"/>
    <w:rsid w:val="00970E22"/>
    <w:rsid w:val="00974BB0"/>
    <w:rsid w:val="00975BCD"/>
    <w:rsid w:val="009818A2"/>
    <w:rsid w:val="00983FC6"/>
    <w:rsid w:val="00984BAD"/>
    <w:rsid w:val="009861A5"/>
    <w:rsid w:val="009912A2"/>
    <w:rsid w:val="009928A9"/>
    <w:rsid w:val="009A0AF3"/>
    <w:rsid w:val="009A1155"/>
    <w:rsid w:val="009A19B8"/>
    <w:rsid w:val="009B07CD"/>
    <w:rsid w:val="009B2B0C"/>
    <w:rsid w:val="009B509B"/>
    <w:rsid w:val="009C0413"/>
    <w:rsid w:val="009C19E9"/>
    <w:rsid w:val="009C1ABB"/>
    <w:rsid w:val="009C5B86"/>
    <w:rsid w:val="009D4729"/>
    <w:rsid w:val="009D74A6"/>
    <w:rsid w:val="009E0E87"/>
    <w:rsid w:val="00A10F02"/>
    <w:rsid w:val="00A17176"/>
    <w:rsid w:val="00A204CA"/>
    <w:rsid w:val="00A209D6"/>
    <w:rsid w:val="00A22738"/>
    <w:rsid w:val="00A320DA"/>
    <w:rsid w:val="00A36F5F"/>
    <w:rsid w:val="00A42C23"/>
    <w:rsid w:val="00A430EC"/>
    <w:rsid w:val="00A44007"/>
    <w:rsid w:val="00A453EE"/>
    <w:rsid w:val="00A53724"/>
    <w:rsid w:val="00A54B2B"/>
    <w:rsid w:val="00A55701"/>
    <w:rsid w:val="00A63116"/>
    <w:rsid w:val="00A65092"/>
    <w:rsid w:val="00A65177"/>
    <w:rsid w:val="00A703B6"/>
    <w:rsid w:val="00A773B2"/>
    <w:rsid w:val="00A82346"/>
    <w:rsid w:val="00A826AA"/>
    <w:rsid w:val="00A83FA8"/>
    <w:rsid w:val="00A9092F"/>
    <w:rsid w:val="00A91A8A"/>
    <w:rsid w:val="00A94DEB"/>
    <w:rsid w:val="00A9671C"/>
    <w:rsid w:val="00AA1553"/>
    <w:rsid w:val="00AB3665"/>
    <w:rsid w:val="00AB3FAE"/>
    <w:rsid w:val="00AC2F11"/>
    <w:rsid w:val="00AC71EC"/>
    <w:rsid w:val="00AD1BEB"/>
    <w:rsid w:val="00AD4ACF"/>
    <w:rsid w:val="00AD7E7C"/>
    <w:rsid w:val="00AE1417"/>
    <w:rsid w:val="00AE1D07"/>
    <w:rsid w:val="00AE216A"/>
    <w:rsid w:val="00AE3102"/>
    <w:rsid w:val="00B05380"/>
    <w:rsid w:val="00B05962"/>
    <w:rsid w:val="00B105C9"/>
    <w:rsid w:val="00B1243E"/>
    <w:rsid w:val="00B14A90"/>
    <w:rsid w:val="00B15449"/>
    <w:rsid w:val="00B16C2F"/>
    <w:rsid w:val="00B24A69"/>
    <w:rsid w:val="00B27303"/>
    <w:rsid w:val="00B36366"/>
    <w:rsid w:val="00B368C5"/>
    <w:rsid w:val="00B40DB2"/>
    <w:rsid w:val="00B42B43"/>
    <w:rsid w:val="00B47FD1"/>
    <w:rsid w:val="00B50476"/>
    <w:rsid w:val="00B516BB"/>
    <w:rsid w:val="00B5204A"/>
    <w:rsid w:val="00B5751D"/>
    <w:rsid w:val="00B602C9"/>
    <w:rsid w:val="00B65481"/>
    <w:rsid w:val="00B669E9"/>
    <w:rsid w:val="00B67C20"/>
    <w:rsid w:val="00B71667"/>
    <w:rsid w:val="00B750A1"/>
    <w:rsid w:val="00B7538C"/>
    <w:rsid w:val="00B84DB2"/>
    <w:rsid w:val="00B859D3"/>
    <w:rsid w:val="00B868C5"/>
    <w:rsid w:val="00BB4878"/>
    <w:rsid w:val="00BB5B47"/>
    <w:rsid w:val="00BC1469"/>
    <w:rsid w:val="00BC3555"/>
    <w:rsid w:val="00BD0FEA"/>
    <w:rsid w:val="00BF5CF1"/>
    <w:rsid w:val="00C02517"/>
    <w:rsid w:val="00C07241"/>
    <w:rsid w:val="00C12B51"/>
    <w:rsid w:val="00C24650"/>
    <w:rsid w:val="00C25465"/>
    <w:rsid w:val="00C31806"/>
    <w:rsid w:val="00C33079"/>
    <w:rsid w:val="00C33FCF"/>
    <w:rsid w:val="00C55A12"/>
    <w:rsid w:val="00C6553E"/>
    <w:rsid w:val="00C67024"/>
    <w:rsid w:val="00C71F1B"/>
    <w:rsid w:val="00C8083C"/>
    <w:rsid w:val="00C83A13"/>
    <w:rsid w:val="00C862F8"/>
    <w:rsid w:val="00C86F10"/>
    <w:rsid w:val="00C9068C"/>
    <w:rsid w:val="00C92967"/>
    <w:rsid w:val="00CA38F9"/>
    <w:rsid w:val="00CA3D0C"/>
    <w:rsid w:val="00CA4E5D"/>
    <w:rsid w:val="00CA654B"/>
    <w:rsid w:val="00CB183F"/>
    <w:rsid w:val="00CB72B8"/>
    <w:rsid w:val="00CC1834"/>
    <w:rsid w:val="00CC5176"/>
    <w:rsid w:val="00CD0BA8"/>
    <w:rsid w:val="00CD4C7B"/>
    <w:rsid w:val="00CD58FE"/>
    <w:rsid w:val="00CF7467"/>
    <w:rsid w:val="00CF7EEA"/>
    <w:rsid w:val="00D02F4D"/>
    <w:rsid w:val="00D07969"/>
    <w:rsid w:val="00D25DCE"/>
    <w:rsid w:val="00D275B9"/>
    <w:rsid w:val="00D30022"/>
    <w:rsid w:val="00D33BE3"/>
    <w:rsid w:val="00D3534A"/>
    <w:rsid w:val="00D3792D"/>
    <w:rsid w:val="00D54820"/>
    <w:rsid w:val="00D55E47"/>
    <w:rsid w:val="00D62E19"/>
    <w:rsid w:val="00D6524B"/>
    <w:rsid w:val="00D67CD1"/>
    <w:rsid w:val="00D738D6"/>
    <w:rsid w:val="00D73F6D"/>
    <w:rsid w:val="00D75D60"/>
    <w:rsid w:val="00D76427"/>
    <w:rsid w:val="00D80795"/>
    <w:rsid w:val="00D854BE"/>
    <w:rsid w:val="00D87E00"/>
    <w:rsid w:val="00D9134D"/>
    <w:rsid w:val="00D95FEA"/>
    <w:rsid w:val="00D96D11"/>
    <w:rsid w:val="00DA1415"/>
    <w:rsid w:val="00DA585D"/>
    <w:rsid w:val="00DA7A03"/>
    <w:rsid w:val="00DB0C92"/>
    <w:rsid w:val="00DB0DB8"/>
    <w:rsid w:val="00DB1818"/>
    <w:rsid w:val="00DB31D3"/>
    <w:rsid w:val="00DC309B"/>
    <w:rsid w:val="00DC4DA2"/>
    <w:rsid w:val="00DC5261"/>
    <w:rsid w:val="00DD165E"/>
    <w:rsid w:val="00DD700E"/>
    <w:rsid w:val="00DE0AE4"/>
    <w:rsid w:val="00DE25D2"/>
    <w:rsid w:val="00DF7C20"/>
    <w:rsid w:val="00E038FB"/>
    <w:rsid w:val="00E04857"/>
    <w:rsid w:val="00E11547"/>
    <w:rsid w:val="00E13D19"/>
    <w:rsid w:val="00E42A2B"/>
    <w:rsid w:val="00E46C08"/>
    <w:rsid w:val="00E471CF"/>
    <w:rsid w:val="00E47AFB"/>
    <w:rsid w:val="00E62835"/>
    <w:rsid w:val="00E6480E"/>
    <w:rsid w:val="00E73773"/>
    <w:rsid w:val="00E73CE3"/>
    <w:rsid w:val="00E750E5"/>
    <w:rsid w:val="00E77645"/>
    <w:rsid w:val="00E80DEA"/>
    <w:rsid w:val="00E819F4"/>
    <w:rsid w:val="00E83697"/>
    <w:rsid w:val="00E858F4"/>
    <w:rsid w:val="00E859B6"/>
    <w:rsid w:val="00E862B3"/>
    <w:rsid w:val="00EA2581"/>
    <w:rsid w:val="00EA3FAC"/>
    <w:rsid w:val="00EA66C9"/>
    <w:rsid w:val="00EA68AA"/>
    <w:rsid w:val="00EB5D32"/>
    <w:rsid w:val="00EC48E1"/>
    <w:rsid w:val="00EC4A25"/>
    <w:rsid w:val="00ED1014"/>
    <w:rsid w:val="00ED1312"/>
    <w:rsid w:val="00ED1C74"/>
    <w:rsid w:val="00ED1E9B"/>
    <w:rsid w:val="00ED2703"/>
    <w:rsid w:val="00ED3156"/>
    <w:rsid w:val="00EE72AC"/>
    <w:rsid w:val="00EF612C"/>
    <w:rsid w:val="00F025A2"/>
    <w:rsid w:val="00F036E9"/>
    <w:rsid w:val="00F0668C"/>
    <w:rsid w:val="00F07388"/>
    <w:rsid w:val="00F2026E"/>
    <w:rsid w:val="00F2210A"/>
    <w:rsid w:val="00F31372"/>
    <w:rsid w:val="00F31B05"/>
    <w:rsid w:val="00F31C95"/>
    <w:rsid w:val="00F37743"/>
    <w:rsid w:val="00F40C2F"/>
    <w:rsid w:val="00F42493"/>
    <w:rsid w:val="00F438D3"/>
    <w:rsid w:val="00F54A3D"/>
    <w:rsid w:val="00F54CB0"/>
    <w:rsid w:val="00F579CD"/>
    <w:rsid w:val="00F653B8"/>
    <w:rsid w:val="00F71B89"/>
    <w:rsid w:val="00F7353C"/>
    <w:rsid w:val="00F76F8F"/>
    <w:rsid w:val="00F87048"/>
    <w:rsid w:val="00F87257"/>
    <w:rsid w:val="00F941DF"/>
    <w:rsid w:val="00FA1266"/>
    <w:rsid w:val="00FB34E4"/>
    <w:rsid w:val="00FB36FA"/>
    <w:rsid w:val="00FB647E"/>
    <w:rsid w:val="00FC1192"/>
    <w:rsid w:val="00FD5550"/>
    <w:rsid w:val="00FE106D"/>
    <w:rsid w:val="00FE251B"/>
    <w:rsid w:val="00FE25BF"/>
    <w:rsid w:val="00FE2EE3"/>
    <w:rsid w:val="00FE5522"/>
    <w:rsid w:val="00FF3BB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C0C8E37F-5799-443C-ABC9-D51FAB94F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760717"/>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uiPriority w:val="99"/>
    <w:qFormat/>
    <w:rsid w:val="003F76B6"/>
  </w:style>
  <w:style w:type="character" w:customStyle="1" w:styleId="CommentTextChar">
    <w:name w:val="Comment Text Char"/>
    <w:basedOn w:val="DefaultParagraphFont"/>
    <w:link w:val="CommentText"/>
    <w:uiPriority w:val="99"/>
    <w:qForma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Bullets,- Bullets,Lista1,?? ??,?????,????,列出段落1,中等深浅网格 1 - 着色 21,목록 단락,リスト段落,列表段落,列出段落,¥¡¡¡¡ì¬º¥¹¥È¶ÎÂä,ÁÐ³ö¶ÎÂä,列表段落1,—ño’i—Ž,¥ê¥¹¥È¶ÎÂä,1st level - Bullet List Paragraph,List Paragraph1,Lettre d'introduction,Paragrafo elenco,P,列,목록단락"/>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qFormat/>
    <w:rsid w:val="005A5862"/>
    <w:rPr>
      <w:sz w:val="16"/>
      <w:szCs w:val="16"/>
    </w:rPr>
  </w:style>
  <w:style w:type="table" w:styleId="TableGrid">
    <w:name w:val="Table Grid"/>
    <w:aliases w:val="TableGrid,网格型"/>
    <w:basedOn w:val="TableNormal"/>
    <w:qFormat/>
    <w:rsid w:val="005061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lets Char,- Bullets Char,Lista1 Char,?? ?? Char,????? Char,???? Char,列出段落1 Char,中等深浅网格 1 - 着色 21 Char,목록 단락 Char,リスト段落 Char,列表段落 Char,列出段落 Char,¥¡¡¡¡ì¬º¥¹¥È¶ÎÂä Char,ÁÐ³ö¶ÎÂä Char,列表段落1 Char,—ño’i—Ž Char,¥ê¥¹¥È¶ÎÂä Char,P Char"/>
    <w:link w:val="ListParagraph"/>
    <w:uiPriority w:val="34"/>
    <w:qFormat/>
    <w:locked/>
    <w:rsid w:val="005061B7"/>
    <w:rPr>
      <w:lang w:eastAsia="en-US"/>
    </w:rPr>
  </w:style>
  <w:style w:type="character" w:customStyle="1" w:styleId="PLChar">
    <w:name w:val="PL Char"/>
    <w:link w:val="PL"/>
    <w:qFormat/>
    <w:rsid w:val="00CC1834"/>
    <w:rPr>
      <w:rFonts w:ascii="Courier New" w:hAnsi="Courier New"/>
      <w:noProof/>
      <w:sz w:val="16"/>
      <w:lang w:eastAsia="en-US"/>
    </w:rPr>
  </w:style>
  <w:style w:type="paragraph" w:styleId="Revision">
    <w:name w:val="Revision"/>
    <w:hidden/>
    <w:uiPriority w:val="99"/>
    <w:semiHidden/>
    <w:rsid w:val="000659E2"/>
    <w:rPr>
      <w:lang w:eastAsia="en-US"/>
    </w:rPr>
  </w:style>
  <w:style w:type="character" w:styleId="FollowedHyperlink">
    <w:name w:val="FollowedHyperlink"/>
    <w:basedOn w:val="DefaultParagraphFont"/>
    <w:rsid w:val="0010605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29bis/Docs/R2-2501702.zi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s://www.3gpp.org/ftp/tsg_ran/WG1_RL1/TSGR1_121/Docs/R1-2503243.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ran/WG2_RL2/TSGR2_130/Report/Draft_RAN2_130_Meeting_Report_v3.zip"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ran/WG2_RL2/TSGR2_130/LSin/R2-2503314.zip"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21/Report/Draft_Minutes_report_RAN1%23121_v020.zip"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RBI5PAMIO524-1616901215-52964</_dlc_DocId>
    <_dlc_DocIdUrl xmlns="71c5aaf6-e6ce-465b-b873-5148d2a4c105">
      <Url>https://nokia.sharepoint.com/sites/gxp/_layouts/15/DocIdRedir.aspx?ID=RBI5PAMIO524-1616901215-52964</Url>
      <Description>RBI5PAMIO524-1616901215-52964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40</TotalTime>
  <Pages>3</Pages>
  <Words>4957</Words>
  <Characters>28261</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33152</CharactersWithSpaces>
  <SharedDoc>false</SharedDoc>
  <HyperlinkBase/>
  <HLinks>
    <vt:vector size="6" baseType="variant">
      <vt:variant>
        <vt:i4>7929927</vt:i4>
      </vt:variant>
      <vt:variant>
        <vt:i4>0</vt:i4>
      </vt:variant>
      <vt:variant>
        <vt:i4>0</vt:i4>
      </vt:variant>
      <vt:variant>
        <vt:i4>5</vt:i4>
      </vt:variant>
      <vt:variant>
        <vt:lpwstr>https://www.3gpp.org/ftp/tsg_ran/WG1_RL1/TSGR1_121/Docs/R1-2503243.zip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31</cp:revision>
  <dcterms:created xsi:type="dcterms:W3CDTF">2025-08-11T00:00:00Z</dcterms:created>
  <dcterms:modified xsi:type="dcterms:W3CDTF">2025-08-14T20:30:00Z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776a0627-bd94-4075-a753-f95546e49b43</vt:lpwstr>
  </property>
</Properties>
</file>