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5F350" w14:textId="6C53875C" w:rsidR="00CA309D" w:rsidRDefault="00CA309D" w:rsidP="00CA309D"/>
    <w:p w14:paraId="0E33917E" w14:textId="4C345EE0" w:rsidR="00312E0F" w:rsidRDefault="00312E0F" w:rsidP="00312E0F">
      <w:pPr>
        <w:tabs>
          <w:tab w:val="left" w:pos="1985"/>
        </w:tabs>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Pr>
          <w:rFonts w:ascii="Arial" w:eastAsia="Malgun Gothic" w:hAnsi="Arial"/>
          <w:b/>
          <w:sz w:val="24"/>
          <w:lang w:eastAsia="en-US"/>
        </w:rPr>
        <w:t>131</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t xml:space="preserve">           </w:t>
      </w:r>
      <w:r>
        <w:rPr>
          <w:rFonts w:ascii="Arial" w:eastAsia="Malgun Gothic" w:hAnsi="Arial"/>
          <w:b/>
          <w:sz w:val="24"/>
          <w:lang w:eastAsia="en-US"/>
        </w:rPr>
        <w:tab/>
      </w:r>
      <w:r>
        <w:rPr>
          <w:rFonts w:ascii="Arial" w:eastAsia="Malgun Gothic" w:hAnsi="Arial"/>
          <w:b/>
          <w:sz w:val="24"/>
          <w:lang w:eastAsia="en-US"/>
        </w:rPr>
        <w:tab/>
      </w:r>
      <w:bookmarkStart w:id="0" w:name="_GoBack"/>
      <w:r w:rsidR="00AD01E1" w:rsidRPr="00AD01E1">
        <w:rPr>
          <w:rFonts w:ascii="Arial" w:eastAsia="Malgun Gothic" w:hAnsi="Arial"/>
          <w:b/>
          <w:sz w:val="24"/>
          <w:lang w:eastAsia="en-US"/>
        </w:rPr>
        <w:t>R2-2505525</w:t>
      </w:r>
      <w:bookmarkEnd w:id="0"/>
    </w:p>
    <w:p w14:paraId="6B614492" w14:textId="77777777" w:rsidR="00312E0F" w:rsidRPr="00DD1B6D" w:rsidRDefault="00312E0F" w:rsidP="00312E0F">
      <w:pPr>
        <w:tabs>
          <w:tab w:val="left" w:pos="1985"/>
        </w:tabs>
        <w:ind w:left="2040" w:hangingChars="850" w:hanging="2040"/>
        <w:jc w:val="both"/>
        <w:rPr>
          <w:rFonts w:ascii="Arial" w:eastAsia="Malgun Gothic" w:hAnsi="Arial"/>
          <w:b/>
          <w:sz w:val="24"/>
          <w:lang w:eastAsia="en-US"/>
        </w:rPr>
      </w:pPr>
      <w:r w:rsidRPr="00DD1B6D">
        <w:rPr>
          <w:rFonts w:ascii="Arial" w:eastAsia="Malgun Gothic" w:hAnsi="Arial"/>
          <w:b/>
          <w:sz w:val="24"/>
          <w:lang w:eastAsia="en-US"/>
        </w:rPr>
        <w:t>Bangalore, India, August 25</w:t>
      </w:r>
      <w:r>
        <w:rPr>
          <w:rFonts w:ascii="Arial" w:eastAsia="Malgun Gothic" w:hAnsi="Arial"/>
          <w:b/>
          <w:sz w:val="24"/>
          <w:lang w:eastAsia="en-US"/>
        </w:rPr>
        <w:t xml:space="preserve"> </w:t>
      </w:r>
      <w:r w:rsidRPr="00DD1B6D">
        <w:rPr>
          <w:rFonts w:ascii="Arial" w:eastAsia="Malgun Gothic" w:hAnsi="Arial"/>
          <w:b/>
          <w:sz w:val="24"/>
          <w:lang w:eastAsia="en-US"/>
        </w:rPr>
        <w:t>-</w:t>
      </w:r>
      <w:r>
        <w:rPr>
          <w:rFonts w:ascii="Arial" w:eastAsia="Malgun Gothic" w:hAnsi="Arial"/>
          <w:b/>
          <w:sz w:val="24"/>
          <w:lang w:eastAsia="en-US"/>
        </w:rPr>
        <w:t xml:space="preserve"> </w:t>
      </w:r>
      <w:r w:rsidRPr="00DD1B6D">
        <w:rPr>
          <w:rFonts w:ascii="Arial" w:eastAsia="Malgun Gothic" w:hAnsi="Arial"/>
          <w:b/>
          <w:sz w:val="24"/>
          <w:lang w:eastAsia="en-US"/>
        </w:rPr>
        <w:t>29, 2025</w:t>
      </w:r>
    </w:p>
    <w:p w14:paraId="0D907EEB" w14:textId="77777777" w:rsidR="00312E0F" w:rsidRDefault="00312E0F" w:rsidP="00312E0F">
      <w:pPr>
        <w:pStyle w:val="CRCoverPage"/>
        <w:tabs>
          <w:tab w:val="left" w:pos="1985"/>
        </w:tabs>
        <w:spacing w:after="0"/>
        <w:jc w:val="both"/>
        <w:rPr>
          <w:rFonts w:asciiTheme="minorHAnsi" w:hAnsiTheme="minorHAnsi" w:cstheme="minorHAnsi"/>
          <w:b/>
          <w:bCs/>
          <w:sz w:val="28"/>
        </w:rPr>
      </w:pPr>
    </w:p>
    <w:p w14:paraId="7B61A3CE" w14:textId="16FAD17E" w:rsidR="00312E0F" w:rsidRPr="003C2E7A" w:rsidRDefault="00312E0F" w:rsidP="00312E0F">
      <w:pPr>
        <w:pStyle w:val="CRCoverPage"/>
        <w:tabs>
          <w:tab w:val="left" w:pos="1985"/>
        </w:tabs>
        <w:spacing w:after="0"/>
        <w:jc w:val="both"/>
        <w:rPr>
          <w:rFonts w:asciiTheme="minorHAnsi" w:hAnsiTheme="minorHAnsi" w:cstheme="minorHAnsi"/>
          <w:b/>
          <w:bCs/>
          <w:sz w:val="28"/>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854DA1" w:rsidRPr="000D6F49">
        <w:rPr>
          <w:rFonts w:asciiTheme="minorHAnsi" w:hAnsiTheme="minorHAnsi" w:cstheme="minorHAnsi"/>
          <w:b/>
          <w:bCs/>
          <w:sz w:val="28"/>
        </w:rPr>
        <w:t>8.0</w:t>
      </w:r>
    </w:p>
    <w:p w14:paraId="6BD61D01" w14:textId="175CB2FD" w:rsidR="00312E0F" w:rsidRPr="003C2E7A" w:rsidRDefault="00312E0F" w:rsidP="00312E0F">
      <w:pP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r w:rsidR="00C25818">
        <w:rPr>
          <w:rFonts w:eastAsia="SimSun" w:cstheme="minorHAnsi"/>
          <w:b/>
          <w:bCs/>
          <w:sz w:val="28"/>
          <w:szCs w:val="20"/>
          <w:lang w:val="en-GB" w:eastAsia="en-US"/>
        </w:rPr>
        <w:t>, Xiaomi</w:t>
      </w:r>
    </w:p>
    <w:p w14:paraId="1023A348" w14:textId="5E1C2D2C" w:rsidR="00312E0F" w:rsidRPr="003C2E7A" w:rsidRDefault="00312E0F" w:rsidP="00312E0F">
      <w:pP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Per band and per BC capability</w:t>
      </w:r>
    </w:p>
    <w:p w14:paraId="423BB4A2" w14:textId="77777777" w:rsidR="00312E0F" w:rsidRPr="003C2E7A" w:rsidRDefault="00312E0F" w:rsidP="00312E0F">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1D0F3C24" w14:textId="77777777" w:rsidR="00312E0F" w:rsidRDefault="00312E0F" w:rsidP="00312E0F">
      <w:pPr>
        <w:pStyle w:val="Heading1"/>
        <w:numPr>
          <w:ilvl w:val="0"/>
          <w:numId w:val="3"/>
        </w:numPr>
        <w:jc w:val="both"/>
      </w:pPr>
      <w:bookmarkStart w:id="1" w:name="_Toc197625189"/>
      <w:r>
        <w:t>Introduction</w:t>
      </w:r>
      <w:bookmarkEnd w:id="1"/>
    </w:p>
    <w:p w14:paraId="6D85C238" w14:textId="7B3CB3D3" w:rsidR="008D2712" w:rsidRDefault="00312E0F" w:rsidP="00C425E3">
      <w:pPr>
        <w:jc w:val="both"/>
      </w:pPr>
      <w:r>
        <w:t>We observe that RAN1 defines increasing number of per band and per BC capability signaling</w:t>
      </w:r>
      <w:r w:rsidR="0017449F">
        <w:t xml:space="preserve"> (more than 50 potentially in Rel-19 compared with Rel-18 which has around 30 per band and per BC capabilities)</w:t>
      </w:r>
      <w:r>
        <w:t xml:space="preserve">. However, there was no general discussion on handling of per band and per BC capability since Rel-16 [1]. Therefore, in this contribution, we would like to discuss general understanding to ensure that the specification is clear. </w:t>
      </w:r>
    </w:p>
    <w:p w14:paraId="17D18B6C" w14:textId="4E005986" w:rsidR="00312E0F" w:rsidRDefault="00312E0F" w:rsidP="00312E0F">
      <w:pPr>
        <w:pStyle w:val="Heading1"/>
        <w:numPr>
          <w:ilvl w:val="0"/>
          <w:numId w:val="3"/>
        </w:numPr>
        <w:jc w:val="both"/>
      </w:pPr>
      <w:r>
        <w:t>Discussion</w:t>
      </w:r>
    </w:p>
    <w:p w14:paraId="21AC6D81" w14:textId="3E0CB954" w:rsidR="00D06F50" w:rsidRDefault="00015A73" w:rsidP="00C425E3">
      <w:pPr>
        <w:jc w:val="both"/>
      </w:pPr>
      <w:r>
        <w:t xml:space="preserve">First, we would like to clarify what is per band and per BC capability signaling because it is not indicated in the column of “per”. </w:t>
      </w:r>
      <w:r w:rsidR="00D06F50">
        <w:t xml:space="preserve">In our understanding, per band and per BC capability means that UE </w:t>
      </w:r>
      <w:r w:rsidR="000D6F49">
        <w:t>capability</w:t>
      </w:r>
      <w:r w:rsidR="00D06F50">
        <w:t xml:space="preserve"> </w:t>
      </w:r>
      <w:r w:rsidR="000D6F49">
        <w:t>is</w:t>
      </w:r>
      <w:r w:rsidR="00D06F50">
        <w:t xml:space="preserve"> defined in both per band and per BC with same </w:t>
      </w:r>
      <w:r w:rsidR="00B10E07">
        <w:t xml:space="preserve">feature </w:t>
      </w:r>
      <w:r w:rsidR="00D06F50">
        <w:t>components.</w:t>
      </w:r>
    </w:p>
    <w:p w14:paraId="790C57AF" w14:textId="7E72AF8F" w:rsidR="00015A73" w:rsidRPr="000D6F49" w:rsidRDefault="000D6F49" w:rsidP="00C425E3">
      <w:pPr>
        <w:jc w:val="both"/>
        <w:rPr>
          <w:b/>
        </w:rPr>
      </w:pPr>
      <w:r>
        <w:rPr>
          <w:rFonts w:hint="eastAsia"/>
          <w:b/>
        </w:rPr>
        <w:t>O</w:t>
      </w:r>
      <w:r>
        <w:rPr>
          <w:b/>
        </w:rPr>
        <w:t xml:space="preserve">bservation </w:t>
      </w:r>
      <w:r>
        <w:rPr>
          <w:b/>
        </w:rPr>
        <w:fldChar w:fldCharType="begin"/>
      </w:r>
      <w:r>
        <w:rPr>
          <w:b/>
        </w:rPr>
        <w:instrText xml:space="preserve"> SEQ obj \* MERGEFORMAT </w:instrText>
      </w:r>
      <w:r>
        <w:rPr>
          <w:b/>
        </w:rPr>
        <w:fldChar w:fldCharType="separate"/>
      </w:r>
      <w:r w:rsidR="005B0AAC">
        <w:rPr>
          <w:b/>
          <w:noProof/>
        </w:rPr>
        <w:t>1</w:t>
      </w:r>
      <w:r>
        <w:rPr>
          <w:b/>
        </w:rPr>
        <w:fldChar w:fldCharType="end"/>
      </w:r>
      <w:r w:rsidRPr="00BE6523">
        <w:rPr>
          <w:b/>
        </w:rPr>
        <w:t xml:space="preserve">: </w:t>
      </w:r>
      <w:r>
        <w:rPr>
          <w:b/>
        </w:rPr>
        <w:t xml:space="preserve">per band and per BC capability refers to UE capability is defined in both per band and per BC with same feature components. </w:t>
      </w:r>
    </w:p>
    <w:p w14:paraId="575FDC60" w14:textId="77777777" w:rsidR="000D6F49" w:rsidRDefault="000D6F49" w:rsidP="00C425E3">
      <w:pPr>
        <w:jc w:val="both"/>
      </w:pPr>
    </w:p>
    <w:p w14:paraId="5A6E53C1" w14:textId="1C54B765" w:rsidR="00312E0F" w:rsidRDefault="00312E0F" w:rsidP="00C425E3">
      <w:pPr>
        <w:jc w:val="both"/>
      </w:pPr>
      <w:r>
        <w:t xml:space="preserve">According to Rel-16 discussion, per BC capability is indicated when further limitation is needed for the capability indicated in per band. Therefore, the final UE capability is determined considering both per band and per BC capability. Based on it, the following highlighted sentence is included in </w:t>
      </w:r>
      <w:r w:rsidR="006C54EB" w:rsidRPr="006C54EB">
        <w:t>codebookComboParametersAdditionPerBC-r16</w:t>
      </w:r>
      <w:r w:rsidR="006C54EB">
        <w:t xml:space="preserve">. However, it is not described for the features introduced in the later release. </w:t>
      </w:r>
    </w:p>
    <w:p w14:paraId="3090836D" w14:textId="16F908FD" w:rsidR="0046797F" w:rsidRDefault="0046797F" w:rsidP="00C425E3">
      <w:pPr>
        <w:jc w:val="both"/>
        <w:rPr>
          <w:b/>
        </w:rPr>
      </w:pPr>
      <w:r>
        <w:rPr>
          <w:rFonts w:hint="eastAsia"/>
          <w:b/>
        </w:rPr>
        <w:t>O</w:t>
      </w:r>
      <w:r>
        <w:rPr>
          <w:b/>
        </w:rPr>
        <w:t xml:space="preserve">bservation </w:t>
      </w:r>
      <w:r w:rsidR="000D6F49">
        <w:rPr>
          <w:b/>
        </w:rPr>
        <w:fldChar w:fldCharType="begin"/>
      </w:r>
      <w:r w:rsidR="000D6F49">
        <w:rPr>
          <w:b/>
        </w:rPr>
        <w:instrText xml:space="preserve"> SEQ obj \* MERGEFORMAT </w:instrText>
      </w:r>
      <w:r w:rsidR="000D6F49">
        <w:rPr>
          <w:b/>
        </w:rPr>
        <w:fldChar w:fldCharType="separate"/>
      </w:r>
      <w:r w:rsidR="005B0AAC">
        <w:rPr>
          <w:b/>
          <w:noProof/>
        </w:rPr>
        <w:t>2</w:t>
      </w:r>
      <w:r w:rsidR="000D6F49">
        <w:rPr>
          <w:b/>
        </w:rPr>
        <w:fldChar w:fldCharType="end"/>
      </w:r>
      <w:r w:rsidRPr="00BE6523">
        <w:rPr>
          <w:b/>
        </w:rPr>
        <w:t xml:space="preserve">: </w:t>
      </w:r>
      <w:r>
        <w:rPr>
          <w:b/>
        </w:rPr>
        <w:t xml:space="preserve">the relationship between per band and per BC capability is not described for all the capabilities.  </w:t>
      </w:r>
    </w:p>
    <w:p w14:paraId="243E439C" w14:textId="77777777" w:rsidR="00312E0F" w:rsidRDefault="00312E0F" w:rsidP="00312E0F"/>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312E0F" w14:paraId="059D89BE" w14:textId="77777777" w:rsidTr="00312E0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D49B222" w14:textId="77777777" w:rsidR="00312E0F" w:rsidRDefault="00312E0F">
            <w:pPr>
              <w:pStyle w:val="TAL"/>
              <w:spacing w:line="252" w:lineRule="auto"/>
              <w:rPr>
                <w:b/>
                <w:bCs/>
                <w:i/>
                <w:iCs/>
              </w:rPr>
            </w:pPr>
            <w:r>
              <w:rPr>
                <w:b/>
                <w:bCs/>
                <w:i/>
                <w:iCs/>
              </w:rPr>
              <w:t>codebookComboParametersAdditionPerBC-r16</w:t>
            </w:r>
          </w:p>
          <w:p w14:paraId="1F43B2AC" w14:textId="77777777" w:rsidR="00312E0F" w:rsidRDefault="00312E0F">
            <w:pPr>
              <w:pStyle w:val="TAL"/>
              <w:spacing w:line="252" w:lineRule="auto"/>
            </w:pPr>
            <w:r>
              <w:t xml:space="preserve">Indicates the list of supported CSI-RS resources across all bands in a band combination by referring to </w:t>
            </w:r>
            <w:proofErr w:type="spellStart"/>
            <w:r>
              <w:rPr>
                <w:i/>
                <w:iCs/>
              </w:rPr>
              <w:t>codebookVariantsList</w:t>
            </w:r>
            <w:proofErr w:type="spellEnd"/>
            <w:r>
              <w:t xml:space="preserve"> for the mixed codebook types. For mixed codebook types, UE reports support active CSI-RS resources and ports for up to 4 mixed codebook combinations in any slot. The following parameters are included in </w:t>
            </w:r>
            <w:proofErr w:type="spellStart"/>
            <w:r>
              <w:rPr>
                <w:i/>
                <w:iCs/>
              </w:rPr>
              <w:t>codebookVariantsList</w:t>
            </w:r>
            <w:proofErr w:type="spellEnd"/>
            <w:r>
              <w:t xml:space="preserve"> for each code book type:</w:t>
            </w:r>
          </w:p>
          <w:p w14:paraId="032A2EAE" w14:textId="77777777" w:rsidR="00312E0F" w:rsidRDefault="00312E0F">
            <w:pPr>
              <w:pStyle w:val="B1"/>
              <w:spacing w:after="0" w:line="252" w:lineRule="auto"/>
              <w:rPr>
                <w:rFonts w:ascii="Arial" w:hAnsi="Arial" w:cs="Arial"/>
                <w:sz w:val="18"/>
                <w:szCs w:val="18"/>
              </w:rPr>
            </w:pPr>
            <w:r>
              <w:rPr>
                <w:rFonts w:ascii="Arial" w:hAnsi="Arial" w:cs="Arial"/>
                <w:sz w:val="18"/>
                <w:szCs w:val="18"/>
              </w:rPr>
              <w:t xml:space="preserve">-    </w:t>
            </w:r>
            <w:proofErr w:type="spellStart"/>
            <w:r>
              <w:rPr>
                <w:rFonts w:ascii="Arial" w:hAnsi="Arial" w:cs="Arial"/>
                <w:i/>
                <w:iCs/>
                <w:sz w:val="18"/>
                <w:szCs w:val="18"/>
              </w:rPr>
              <w:t>maxNumberTxPortsPerResource</w:t>
            </w:r>
            <w:proofErr w:type="spellEnd"/>
            <w:r>
              <w:rPr>
                <w:rFonts w:ascii="Arial" w:hAnsi="Arial" w:cs="Arial"/>
                <w:sz w:val="18"/>
                <w:szCs w:val="18"/>
              </w:rPr>
              <w:t xml:space="preserve"> indicates the maximum number of Tx ports in a resource across all bands within a band combination;</w:t>
            </w:r>
          </w:p>
          <w:p w14:paraId="044D738D" w14:textId="77777777" w:rsidR="00312E0F" w:rsidRDefault="00312E0F">
            <w:pPr>
              <w:pStyle w:val="B1"/>
              <w:spacing w:after="0" w:line="252" w:lineRule="auto"/>
              <w:rPr>
                <w:rFonts w:ascii="Arial" w:hAnsi="Arial" w:cs="Arial"/>
                <w:sz w:val="18"/>
                <w:szCs w:val="18"/>
              </w:rPr>
            </w:pPr>
            <w:r>
              <w:rPr>
                <w:rFonts w:ascii="Arial" w:hAnsi="Arial" w:cs="Arial"/>
                <w:sz w:val="18"/>
                <w:szCs w:val="18"/>
              </w:rPr>
              <w:t xml:space="preserve">-    </w:t>
            </w:r>
            <w:proofErr w:type="spellStart"/>
            <w:r>
              <w:rPr>
                <w:rFonts w:ascii="Arial" w:hAnsi="Arial" w:cs="Arial"/>
                <w:i/>
                <w:iCs/>
                <w:sz w:val="18"/>
                <w:szCs w:val="18"/>
              </w:rPr>
              <w:t>maxNumberResourcesPerBand</w:t>
            </w:r>
            <w:proofErr w:type="spellEnd"/>
            <w:r>
              <w:rPr>
                <w:rFonts w:ascii="Arial" w:hAnsi="Arial" w:cs="Arial"/>
                <w:sz w:val="18"/>
                <w:szCs w:val="18"/>
              </w:rPr>
              <w:t xml:space="preserve"> indicates the maximum number of resources across all CCs within a band combination, simultaneously;</w:t>
            </w:r>
          </w:p>
          <w:p w14:paraId="2A568D64" w14:textId="77777777" w:rsidR="00312E0F" w:rsidRDefault="00312E0F">
            <w:pPr>
              <w:pStyle w:val="B1"/>
              <w:spacing w:after="0" w:line="252" w:lineRule="auto"/>
              <w:rPr>
                <w:rFonts w:ascii="Arial" w:hAnsi="Arial" w:cs="Arial"/>
                <w:sz w:val="18"/>
                <w:szCs w:val="18"/>
              </w:rPr>
            </w:pPr>
            <w:r>
              <w:rPr>
                <w:rFonts w:ascii="Arial" w:hAnsi="Arial" w:cs="Arial"/>
                <w:sz w:val="18"/>
                <w:szCs w:val="18"/>
              </w:rPr>
              <w:t xml:space="preserve">-    </w:t>
            </w:r>
            <w:proofErr w:type="spellStart"/>
            <w:r>
              <w:rPr>
                <w:rFonts w:ascii="Arial" w:hAnsi="Arial" w:cs="Arial"/>
                <w:i/>
                <w:iCs/>
                <w:sz w:val="18"/>
                <w:szCs w:val="18"/>
              </w:rPr>
              <w:t>totalNumberTxPortsPerBand</w:t>
            </w:r>
            <w:proofErr w:type="spellEnd"/>
            <w:r>
              <w:rPr>
                <w:rFonts w:ascii="Arial" w:hAnsi="Arial" w:cs="Arial"/>
                <w:sz w:val="18"/>
                <w:szCs w:val="18"/>
              </w:rPr>
              <w:t xml:space="preserve"> indicates the total number of Tx ports across all CCs within a band combination, simultaneously.</w:t>
            </w:r>
          </w:p>
          <w:p w14:paraId="557B0365" w14:textId="77777777" w:rsidR="00312E0F" w:rsidRDefault="00312E0F">
            <w:pPr>
              <w:pStyle w:val="TAL"/>
              <w:spacing w:line="252" w:lineRule="auto"/>
              <w:rPr>
                <w:b/>
                <w:bCs/>
                <w:i/>
                <w:iCs/>
                <w:szCs w:val="18"/>
              </w:rPr>
            </w:pPr>
            <w:r>
              <w:rPr>
                <w:highlight w:val="yellow"/>
              </w:rPr>
              <w:t xml:space="preserve">For each band in a band combination, supported values for these three parameters are determined in conjunction with </w:t>
            </w:r>
            <w:r>
              <w:rPr>
                <w:i/>
                <w:iCs/>
                <w:highlight w:val="yellow"/>
              </w:rPr>
              <w:t xml:space="preserve">codebookComboParametersAddition-r16 </w:t>
            </w:r>
            <w:r>
              <w:rPr>
                <w:highlight w:val="yellow"/>
              </w:rPr>
              <w:t xml:space="preserve">reported in </w:t>
            </w:r>
            <w:r>
              <w:rPr>
                <w:i/>
                <w:iCs/>
                <w:highlight w:val="yellow"/>
              </w:rPr>
              <w:t>MIMO-</w:t>
            </w:r>
            <w:proofErr w:type="spellStart"/>
            <w:r>
              <w:rPr>
                <w:i/>
                <w:iCs/>
                <w:highlight w:val="yellow"/>
              </w:rPr>
              <w:t>ParametersPerBand</w:t>
            </w:r>
            <w:proofErr w:type="spellEnd"/>
            <w:r>
              <w:rPr>
                <w:highlight w:val="yellow"/>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3E0E9F" w14:textId="77777777" w:rsidR="00312E0F" w:rsidRDefault="00312E0F">
            <w:pPr>
              <w:pStyle w:val="TAL"/>
              <w:spacing w:line="252" w:lineRule="auto"/>
              <w:jc w:val="center"/>
              <w:rPr>
                <w:sz w:val="20"/>
                <w:szCs w:val="20"/>
              </w:rPr>
            </w:pPr>
            <w: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6C3D283" w14:textId="77777777" w:rsidR="00312E0F" w:rsidRDefault="00312E0F">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16FC308" w14:textId="77777777" w:rsidR="00312E0F" w:rsidRDefault="00312E0F">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99E2C6" w14:textId="77777777" w:rsidR="00312E0F" w:rsidRDefault="00312E0F">
            <w:pPr>
              <w:pStyle w:val="TAL"/>
              <w:spacing w:line="252" w:lineRule="auto"/>
              <w:jc w:val="center"/>
            </w:pPr>
            <w:r>
              <w:t>N/A</w:t>
            </w:r>
          </w:p>
        </w:tc>
      </w:tr>
    </w:tbl>
    <w:p w14:paraId="071C946D" w14:textId="77777777" w:rsidR="00312E0F" w:rsidRDefault="00312E0F" w:rsidP="00312E0F"/>
    <w:p w14:paraId="501E1A37" w14:textId="5A7BADFB" w:rsidR="00312E0F" w:rsidRDefault="00312E0F" w:rsidP="00C425E3">
      <w:pPr>
        <w:jc w:val="both"/>
      </w:pPr>
      <w:r>
        <w:lastRenderedPageBreak/>
        <w:t xml:space="preserve">Given that there are many per band and per BC capabilities to be introduced, it would be desirable to confirm RAN2’s understanding and if agreeable, to capture it in the spec. </w:t>
      </w:r>
    </w:p>
    <w:p w14:paraId="0C0D6356" w14:textId="7145734F" w:rsidR="00B10C0B" w:rsidRDefault="00312E0F" w:rsidP="00C425E3">
      <w:pPr>
        <w:jc w:val="both"/>
      </w:pPr>
      <w:r>
        <w:t xml:space="preserve">Furthermore, “in </w:t>
      </w:r>
      <w:proofErr w:type="spellStart"/>
      <w:r>
        <w:t>conjuction</w:t>
      </w:r>
      <w:proofErr w:type="spellEnd"/>
      <w:r>
        <w:t xml:space="preserve"> with” may not be so straightforward </w:t>
      </w:r>
      <w:r w:rsidR="00B10C0B">
        <w:t>considering</w:t>
      </w:r>
      <w:r>
        <w:t xml:space="preserve"> </w:t>
      </w:r>
      <w:r w:rsidR="00B10C0B">
        <w:t xml:space="preserve">the complicated characteristics of </w:t>
      </w:r>
      <w:r>
        <w:t xml:space="preserve">UE capabilities. </w:t>
      </w:r>
      <w:r w:rsidR="00C425E3">
        <w:t>Based on Rel-16 discussion</w:t>
      </w:r>
      <w:r w:rsidR="005C067E">
        <w:t xml:space="preserve">, per band and per BC capabilities are introduced to have further restriction in a certain BC on top of per </w:t>
      </w:r>
      <w:r w:rsidR="00C25818" w:rsidRPr="00C425E3">
        <w:t>band</w:t>
      </w:r>
      <w:r w:rsidR="005C067E">
        <w:t xml:space="preserve"> capability i.e. under-reporting purpose.  With this assumption, per BC capability should not simply override per band capability. </w:t>
      </w:r>
    </w:p>
    <w:p w14:paraId="1A5C2197" w14:textId="25000004" w:rsidR="00312E0F" w:rsidRDefault="00312E0F" w:rsidP="00C425E3">
      <w:pPr>
        <w:jc w:val="both"/>
      </w:pPr>
      <w:r>
        <w:t xml:space="preserve">The following is our understanding on how to interpret “in conjunction with”.  </w:t>
      </w:r>
    </w:p>
    <w:p w14:paraId="492B80FB" w14:textId="77777777" w:rsidR="00B10C0B" w:rsidRDefault="00B10C0B" w:rsidP="00312E0F"/>
    <w:p w14:paraId="5432C3C5" w14:textId="31D0F9DA" w:rsidR="00312E0F" w:rsidRDefault="0031733A" w:rsidP="00C425E3">
      <w:pPr>
        <w:pStyle w:val="ListParagraph"/>
        <w:numPr>
          <w:ilvl w:val="0"/>
          <w:numId w:val="5"/>
        </w:numPr>
        <w:jc w:val="both"/>
      </w:pPr>
      <w:r w:rsidRPr="0031733A">
        <w:t>The lower capability derived based on both per band and per BC capability is applied. That is, it doesn’t mean that per BC capability always override per band capability or vice versa</w:t>
      </w:r>
      <w:r w:rsidR="00312E0F">
        <w:t xml:space="preserve">. </w:t>
      </w:r>
    </w:p>
    <w:p w14:paraId="7D4E7A1B" w14:textId="37472354" w:rsidR="00D14EAA" w:rsidRDefault="00D14EAA" w:rsidP="00D14EAA">
      <w:pPr>
        <w:pStyle w:val="ListParagraph"/>
        <w:numPr>
          <w:ilvl w:val="0"/>
          <w:numId w:val="5"/>
        </w:numPr>
        <w:jc w:val="both"/>
      </w:pPr>
      <w:r>
        <w:t>If per band capability is absent for a band, the feature is not supported for the band regardless of per BC capability</w:t>
      </w:r>
      <w:r w:rsidR="00F553DB">
        <w:t xml:space="preserve"> i.e. </w:t>
      </w:r>
      <w:r w:rsidR="00F553DB" w:rsidRPr="00F553DB">
        <w:t>even if per BC capability is indicated for a BC associating the band</w:t>
      </w:r>
      <w:r>
        <w:t xml:space="preserve">.   </w:t>
      </w:r>
    </w:p>
    <w:p w14:paraId="7828115B" w14:textId="12468ACA" w:rsidR="006C3588" w:rsidRDefault="00D14EAA" w:rsidP="00C425E3">
      <w:pPr>
        <w:pStyle w:val="ListParagraph"/>
        <w:numPr>
          <w:ilvl w:val="0"/>
          <w:numId w:val="5"/>
        </w:numPr>
        <w:jc w:val="both"/>
      </w:pPr>
      <w:r>
        <w:t>P</w:t>
      </w:r>
      <w:r w:rsidR="006C3588" w:rsidRPr="006C3588">
        <w:t>er BC capability can be indicated when at least one band in a BC indicates corresponding per band capability</w:t>
      </w:r>
      <w:r w:rsidR="00F553DB">
        <w:t>.</w:t>
      </w:r>
      <w:r w:rsidR="006C3588">
        <w:t xml:space="preserve"> </w:t>
      </w:r>
      <w:r w:rsidR="00F553DB">
        <w:t>S</w:t>
      </w:r>
      <w:r>
        <w:t>ince</w:t>
      </w:r>
      <w:r w:rsidR="006C3588">
        <w:t xml:space="preserve"> </w:t>
      </w:r>
      <w:r>
        <w:t xml:space="preserve">absence of per band capability means UE cannot support the feature, if UE cannot support a feature in all bands in a BC, there is no meaning to allow per BC capability.  </w:t>
      </w:r>
    </w:p>
    <w:p w14:paraId="4E9A9224" w14:textId="2823BE34" w:rsidR="0002005C" w:rsidRDefault="0002005C" w:rsidP="00C425E3">
      <w:pPr>
        <w:pStyle w:val="ListParagraph"/>
        <w:numPr>
          <w:ilvl w:val="0"/>
          <w:numId w:val="5"/>
        </w:numPr>
        <w:jc w:val="both"/>
      </w:pPr>
      <w:r>
        <w:t>If per BC capability is absent for a BC, per band capability is applied</w:t>
      </w:r>
      <w:r w:rsidR="00F553DB">
        <w:t xml:space="preserve"> by default</w:t>
      </w:r>
      <w:r>
        <w:t xml:space="preserve">. </w:t>
      </w:r>
    </w:p>
    <w:p w14:paraId="74C233A2" w14:textId="791F6AC1" w:rsidR="006C54EB" w:rsidRDefault="006C54EB" w:rsidP="00C425E3">
      <w:pPr>
        <w:jc w:val="both"/>
      </w:pPr>
    </w:p>
    <w:p w14:paraId="454F7330" w14:textId="7B6A7433" w:rsidR="006C3588" w:rsidRDefault="006C3588" w:rsidP="00C425E3">
      <w:pPr>
        <w:jc w:val="both"/>
      </w:pPr>
      <w:r>
        <w:t xml:space="preserve">It would be helpful if RAN2 can check if our understanding is correct on per band and per BC capability. </w:t>
      </w:r>
    </w:p>
    <w:p w14:paraId="3DF8BB9E" w14:textId="77777777" w:rsidR="00F553DB" w:rsidRDefault="00F553DB" w:rsidP="00C425E3">
      <w:pPr>
        <w:jc w:val="both"/>
      </w:pPr>
    </w:p>
    <w:p w14:paraId="0ABC2EA0" w14:textId="5B982002" w:rsidR="0002005C" w:rsidRDefault="006C54EB" w:rsidP="00C425E3">
      <w:pPr>
        <w:jc w:val="both"/>
        <w:rPr>
          <w:b/>
        </w:rPr>
      </w:pPr>
      <w:r w:rsidRPr="00BE6523">
        <w:rPr>
          <w:b/>
        </w:rPr>
        <w:t xml:space="preserve">Proposal </w:t>
      </w:r>
      <w:r w:rsidR="00227841" w:rsidRPr="00ED5E23">
        <w:rPr>
          <w:b/>
          <w:bCs/>
        </w:rPr>
        <w:fldChar w:fldCharType="begin"/>
      </w:r>
      <w:r w:rsidR="00227841" w:rsidRPr="00ED5E23">
        <w:rPr>
          <w:b/>
          <w:bCs/>
        </w:rPr>
        <w:instrText xml:space="preserve"> SEQ pro \* MERGEFORMAT  \* MERGEFORMAT </w:instrText>
      </w:r>
      <w:r w:rsidR="00227841" w:rsidRPr="00ED5E23">
        <w:rPr>
          <w:b/>
          <w:bCs/>
        </w:rPr>
        <w:fldChar w:fldCharType="separate"/>
      </w:r>
      <w:r w:rsidR="005B0AAC">
        <w:rPr>
          <w:b/>
          <w:bCs/>
          <w:noProof/>
        </w:rPr>
        <w:t>1</w:t>
      </w:r>
      <w:r w:rsidR="00227841" w:rsidRPr="00ED5E23">
        <w:rPr>
          <w:b/>
          <w:bCs/>
        </w:rPr>
        <w:fldChar w:fldCharType="end"/>
      </w:r>
      <w:r w:rsidRPr="00BE6523">
        <w:rPr>
          <w:b/>
        </w:rPr>
        <w:t xml:space="preserve">: </w:t>
      </w:r>
      <w:r w:rsidR="0002005C">
        <w:rPr>
          <w:b/>
        </w:rPr>
        <w:t>T</w:t>
      </w:r>
      <w:r w:rsidR="0002005C" w:rsidRPr="0002005C">
        <w:rPr>
          <w:b/>
        </w:rPr>
        <w:t xml:space="preserve">he lower capability </w:t>
      </w:r>
      <w:r w:rsidR="0031733A">
        <w:rPr>
          <w:b/>
        </w:rPr>
        <w:t>derived based on both</w:t>
      </w:r>
      <w:r w:rsidR="0002005C" w:rsidRPr="0002005C">
        <w:rPr>
          <w:b/>
        </w:rPr>
        <w:t xml:space="preserve"> per band and per BC capability is applied. </w:t>
      </w:r>
    </w:p>
    <w:p w14:paraId="39524B1D" w14:textId="7D4532D8" w:rsidR="005C067E" w:rsidRPr="00C425E3" w:rsidRDefault="005C067E" w:rsidP="00C425E3">
      <w:pPr>
        <w:jc w:val="both"/>
        <w:rPr>
          <w:b/>
        </w:rPr>
      </w:pPr>
      <w:r w:rsidRPr="00C425E3">
        <w:rPr>
          <w:b/>
        </w:rPr>
        <w:t xml:space="preserve">Proposal </w:t>
      </w:r>
      <w:r w:rsidR="00015A73" w:rsidRPr="004167EE">
        <w:rPr>
          <w:b/>
        </w:rPr>
        <w:fldChar w:fldCharType="begin"/>
      </w:r>
      <w:r w:rsidR="00015A73" w:rsidRPr="004167EE">
        <w:rPr>
          <w:b/>
        </w:rPr>
        <w:instrText xml:space="preserve"> SEQ pro \* MERGEFORMAT  \* MERGEFORMAT </w:instrText>
      </w:r>
      <w:r w:rsidR="00015A73" w:rsidRPr="004167EE">
        <w:rPr>
          <w:b/>
        </w:rPr>
        <w:fldChar w:fldCharType="separate"/>
      </w:r>
      <w:r w:rsidR="005B0AAC">
        <w:rPr>
          <w:b/>
          <w:noProof/>
        </w:rPr>
        <w:t>2</w:t>
      </w:r>
      <w:r w:rsidR="00015A73" w:rsidRPr="004167EE">
        <w:rPr>
          <w:b/>
        </w:rPr>
        <w:fldChar w:fldCharType="end"/>
      </w:r>
      <w:r w:rsidRPr="00C425E3">
        <w:rPr>
          <w:b/>
        </w:rPr>
        <w:t>: If per band capability is absent for a band, the feature is not supported for the band even if per BC capability is indicated for a BC associating the band.</w:t>
      </w:r>
    </w:p>
    <w:p w14:paraId="09F0AE3F" w14:textId="746F9044" w:rsidR="00D14EAA" w:rsidRPr="00C425E3" w:rsidRDefault="00D14EAA" w:rsidP="00D14EAA">
      <w:pPr>
        <w:jc w:val="both"/>
        <w:rPr>
          <w:b/>
          <w:color w:val="7030A0"/>
        </w:rPr>
      </w:pPr>
      <w:r w:rsidRPr="00C425E3">
        <w:rPr>
          <w:b/>
        </w:rPr>
        <w:t xml:space="preserve">Proposal </w:t>
      </w:r>
      <w:r w:rsidRPr="00C425E3">
        <w:rPr>
          <w:b/>
        </w:rPr>
        <w:fldChar w:fldCharType="begin"/>
      </w:r>
      <w:r w:rsidRPr="00C425E3">
        <w:rPr>
          <w:b/>
        </w:rPr>
        <w:instrText xml:space="preserve"> SEQ pro \* MERGEFORMAT  \* MERGEFORMAT </w:instrText>
      </w:r>
      <w:r w:rsidRPr="00C425E3">
        <w:rPr>
          <w:b/>
        </w:rPr>
        <w:fldChar w:fldCharType="separate"/>
      </w:r>
      <w:r w:rsidR="005B0AAC">
        <w:rPr>
          <w:b/>
          <w:noProof/>
        </w:rPr>
        <w:t>3</w:t>
      </w:r>
      <w:r w:rsidRPr="00C425E3">
        <w:rPr>
          <w:b/>
        </w:rPr>
        <w:fldChar w:fldCharType="end"/>
      </w:r>
      <w:r w:rsidRPr="00C425E3">
        <w:rPr>
          <w:b/>
        </w:rPr>
        <w:t>: per BC capability can be indicated when at least one band in a BC indicates corresponding</w:t>
      </w:r>
      <w:r>
        <w:rPr>
          <w:color w:val="7030A0"/>
        </w:rPr>
        <w:t xml:space="preserve"> </w:t>
      </w:r>
      <w:r w:rsidRPr="00C425E3">
        <w:rPr>
          <w:b/>
        </w:rPr>
        <w:t xml:space="preserve">per band capability. </w:t>
      </w:r>
    </w:p>
    <w:p w14:paraId="2AC6A959" w14:textId="19B5D7DC" w:rsidR="0002005C" w:rsidRDefault="0002005C" w:rsidP="00C425E3">
      <w:pPr>
        <w:jc w:val="both"/>
        <w:rPr>
          <w:b/>
        </w:rPr>
      </w:pPr>
      <w:r>
        <w:rPr>
          <w:b/>
        </w:rPr>
        <w:t xml:space="preserve">Proposal </w:t>
      </w:r>
      <w:r w:rsidR="00227841" w:rsidRPr="00ED5E23">
        <w:rPr>
          <w:b/>
          <w:bCs/>
        </w:rPr>
        <w:fldChar w:fldCharType="begin"/>
      </w:r>
      <w:r w:rsidR="00227841" w:rsidRPr="00ED5E23">
        <w:rPr>
          <w:b/>
          <w:bCs/>
        </w:rPr>
        <w:instrText xml:space="preserve"> SEQ pro \* MERGEFORMAT  \* MERGEFORMAT </w:instrText>
      </w:r>
      <w:r w:rsidR="00227841" w:rsidRPr="00ED5E23">
        <w:rPr>
          <w:b/>
          <w:bCs/>
        </w:rPr>
        <w:fldChar w:fldCharType="separate"/>
      </w:r>
      <w:r w:rsidR="005B0AAC">
        <w:rPr>
          <w:b/>
          <w:bCs/>
          <w:noProof/>
        </w:rPr>
        <w:t>4</w:t>
      </w:r>
      <w:r w:rsidR="00227841" w:rsidRPr="00ED5E23">
        <w:rPr>
          <w:b/>
          <w:bCs/>
        </w:rPr>
        <w:fldChar w:fldCharType="end"/>
      </w:r>
      <w:r>
        <w:rPr>
          <w:b/>
        </w:rPr>
        <w:t xml:space="preserve">: </w:t>
      </w:r>
      <w:r w:rsidRPr="0002005C">
        <w:rPr>
          <w:b/>
        </w:rPr>
        <w:t>If per BC capability is absent for a BC, per band capability is applied</w:t>
      </w:r>
      <w:r>
        <w:rPr>
          <w:b/>
        </w:rPr>
        <w:t xml:space="preserve"> for the BC</w:t>
      </w:r>
      <w:r w:rsidRPr="0002005C">
        <w:rPr>
          <w:b/>
        </w:rPr>
        <w:t>.</w:t>
      </w:r>
    </w:p>
    <w:p w14:paraId="7445F966" w14:textId="1CD4EEDD" w:rsidR="006C54EB" w:rsidRDefault="006C54EB" w:rsidP="00C425E3">
      <w:pPr>
        <w:jc w:val="both"/>
        <w:rPr>
          <w:b/>
        </w:rPr>
      </w:pPr>
      <w:r w:rsidRPr="00BE6523">
        <w:rPr>
          <w:b/>
        </w:rPr>
        <w:t xml:space="preserve">Proposal </w:t>
      </w:r>
      <w:r w:rsidR="00227841" w:rsidRPr="00ED5E23">
        <w:rPr>
          <w:b/>
          <w:bCs/>
        </w:rPr>
        <w:fldChar w:fldCharType="begin"/>
      </w:r>
      <w:r w:rsidR="00227841" w:rsidRPr="00ED5E23">
        <w:rPr>
          <w:b/>
          <w:bCs/>
        </w:rPr>
        <w:instrText xml:space="preserve"> SEQ pro \* MERGEFORMAT  \* MERGEFORMAT </w:instrText>
      </w:r>
      <w:r w:rsidR="00227841" w:rsidRPr="00ED5E23">
        <w:rPr>
          <w:b/>
          <w:bCs/>
        </w:rPr>
        <w:fldChar w:fldCharType="separate"/>
      </w:r>
      <w:r w:rsidR="005B0AAC">
        <w:rPr>
          <w:b/>
          <w:bCs/>
          <w:noProof/>
        </w:rPr>
        <w:t>5</w:t>
      </w:r>
      <w:r w:rsidR="00227841" w:rsidRPr="00ED5E23">
        <w:rPr>
          <w:b/>
          <w:bCs/>
        </w:rPr>
        <w:fldChar w:fldCharType="end"/>
      </w:r>
      <w:r w:rsidRPr="00BE6523">
        <w:rPr>
          <w:b/>
        </w:rPr>
        <w:t>: if proposal 1</w:t>
      </w:r>
      <w:r w:rsidR="00551C4D">
        <w:rPr>
          <w:b/>
        </w:rPr>
        <w:t>-</w:t>
      </w:r>
      <w:r w:rsidR="00854DA1">
        <w:rPr>
          <w:b/>
        </w:rPr>
        <w:t>4</w:t>
      </w:r>
      <w:r w:rsidRPr="00BE6523">
        <w:rPr>
          <w:b/>
        </w:rPr>
        <w:t xml:space="preserve"> is agreed, RAN2 agree to add high level description for per band and per BC capabilities in TS38.306. </w:t>
      </w:r>
    </w:p>
    <w:p w14:paraId="665F629C" w14:textId="33A533E3" w:rsidR="00AF69D6" w:rsidRDefault="00AF69D6" w:rsidP="00C425E3">
      <w:pPr>
        <w:jc w:val="both"/>
        <w:rPr>
          <w:b/>
        </w:rPr>
      </w:pPr>
      <w:r w:rsidRPr="00BE6523">
        <w:rPr>
          <w:b/>
        </w:rPr>
        <w:t xml:space="preserve">Proposal </w:t>
      </w:r>
      <w:r w:rsidR="00227841" w:rsidRPr="00ED5E23">
        <w:rPr>
          <w:b/>
          <w:bCs/>
        </w:rPr>
        <w:fldChar w:fldCharType="begin"/>
      </w:r>
      <w:r w:rsidR="00227841" w:rsidRPr="00ED5E23">
        <w:rPr>
          <w:b/>
          <w:bCs/>
        </w:rPr>
        <w:instrText xml:space="preserve"> SEQ pro \* MERGEFORMAT  \* MERGEFORMAT </w:instrText>
      </w:r>
      <w:r w:rsidR="00227841" w:rsidRPr="00ED5E23">
        <w:rPr>
          <w:b/>
          <w:bCs/>
        </w:rPr>
        <w:fldChar w:fldCharType="separate"/>
      </w:r>
      <w:r w:rsidR="005B0AAC">
        <w:rPr>
          <w:b/>
          <w:bCs/>
          <w:noProof/>
        </w:rPr>
        <w:t>6</w:t>
      </w:r>
      <w:r w:rsidR="00227841" w:rsidRPr="00ED5E23">
        <w:rPr>
          <w:b/>
          <w:bCs/>
        </w:rPr>
        <w:fldChar w:fldCharType="end"/>
      </w:r>
      <w:r w:rsidRPr="00BE6523">
        <w:rPr>
          <w:b/>
        </w:rPr>
        <w:t>: if proposal 1</w:t>
      </w:r>
      <w:r>
        <w:rPr>
          <w:b/>
        </w:rPr>
        <w:t>-</w:t>
      </w:r>
      <w:r w:rsidR="00854DA1">
        <w:rPr>
          <w:b/>
        </w:rPr>
        <w:t>4</w:t>
      </w:r>
      <w:r w:rsidRPr="00BE6523">
        <w:rPr>
          <w:b/>
        </w:rPr>
        <w:t xml:space="preserve"> is agreed, </w:t>
      </w:r>
      <w:r w:rsidR="0031733A">
        <w:rPr>
          <w:b/>
          <w:bCs/>
        </w:rPr>
        <w:t xml:space="preserve">RAN2 agree to send </w:t>
      </w:r>
      <w:proofErr w:type="gramStart"/>
      <w:r w:rsidR="0031733A">
        <w:rPr>
          <w:b/>
          <w:bCs/>
        </w:rPr>
        <w:t>an</w:t>
      </w:r>
      <w:proofErr w:type="gramEnd"/>
      <w:r w:rsidR="0031733A">
        <w:rPr>
          <w:b/>
          <w:bCs/>
        </w:rPr>
        <w:t xml:space="preserve"> LS to RAN1 to check if the assumptions are correct for per band and per BC capabilities that they introduced.</w:t>
      </w:r>
    </w:p>
    <w:p w14:paraId="514C46C8" w14:textId="23AFC6C1" w:rsidR="00AF69D6" w:rsidRDefault="00AF69D6" w:rsidP="00C425E3">
      <w:pPr>
        <w:jc w:val="both"/>
        <w:rPr>
          <w:b/>
        </w:rPr>
      </w:pPr>
    </w:p>
    <w:p w14:paraId="26577134" w14:textId="7642E6EC" w:rsidR="00781C06" w:rsidRDefault="005E6511" w:rsidP="00C425E3">
      <w:pPr>
        <w:jc w:val="both"/>
      </w:pPr>
      <w:r w:rsidRPr="00C425E3">
        <w:t xml:space="preserve">One more </w:t>
      </w:r>
      <w:r>
        <w:t xml:space="preserve">aspect to discuss is pre-requisite for per band and per BC capabilities. In the current specification, pre-requisite is defined for per band and per BC separately. </w:t>
      </w:r>
      <w:r w:rsidR="00781C06">
        <w:t>For example, when f</w:t>
      </w:r>
      <w:r>
        <w:t>eature A is pre-requisite of feature B</w:t>
      </w:r>
      <w:r w:rsidR="00781C06">
        <w:t>,</w:t>
      </w:r>
      <w:r>
        <w:t xml:space="preserve"> UE supporting feature B in per band capability shall support feature A in per band </w:t>
      </w:r>
      <w:r w:rsidR="00781C06">
        <w:t>capability and</w:t>
      </w:r>
      <w:r>
        <w:t xml:space="preserve"> UE supporting feature B in per BC capability shall support feature A in per BC capability</w:t>
      </w:r>
      <w:r w:rsidR="00781C06">
        <w:t xml:space="preserve"> according to the current specification</w:t>
      </w:r>
      <w:r>
        <w:t xml:space="preserve">. There is no critical issue with this approach but it is not clear if it is aligned with RAN1 assumption because RAN1 didn’t indicate any specific relationship between per band and per BC capabilities in terms of pre-requisite. </w:t>
      </w:r>
      <w:r w:rsidR="00781C06">
        <w:t xml:space="preserve">And also, given that both per band and per BC capability indicates the same feature, combined interpretation might be possible. For example, UE could indicate per </w:t>
      </w:r>
      <w:r w:rsidR="005B0AAC">
        <w:t xml:space="preserve">band and per </w:t>
      </w:r>
      <w:r w:rsidR="00781C06">
        <w:t>BC</w:t>
      </w:r>
      <w:r w:rsidR="005B0AAC">
        <w:t xml:space="preserve"> capability for feature B even if UE indicate per band capability for feature A.</w:t>
      </w:r>
    </w:p>
    <w:p w14:paraId="15CAF53D" w14:textId="77777777" w:rsidR="005E6511" w:rsidRPr="00C425E3" w:rsidRDefault="005E6511" w:rsidP="00C425E3">
      <w:pPr>
        <w:jc w:val="both"/>
      </w:pPr>
    </w:p>
    <w:p w14:paraId="3EBF9EB3" w14:textId="00C56F22" w:rsidR="005E6511" w:rsidRDefault="005E6511" w:rsidP="00C425E3">
      <w:pPr>
        <w:jc w:val="both"/>
        <w:rPr>
          <w:b/>
        </w:rPr>
      </w:pPr>
      <w:r w:rsidRPr="00BE6523">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sidR="005B0AAC">
        <w:rPr>
          <w:b/>
          <w:bCs/>
          <w:noProof/>
        </w:rPr>
        <w:t>7</w:t>
      </w:r>
      <w:r w:rsidRPr="00ED5E23">
        <w:rPr>
          <w:b/>
          <w:bCs/>
        </w:rPr>
        <w:fldChar w:fldCharType="end"/>
      </w:r>
      <w:r w:rsidRPr="00BE6523">
        <w:rPr>
          <w:b/>
        </w:rPr>
        <w:t xml:space="preserve">: </w:t>
      </w:r>
      <w:r>
        <w:rPr>
          <w:b/>
          <w:bCs/>
        </w:rPr>
        <w:t xml:space="preserve">RAN2 agree to ask RAN1 to </w:t>
      </w:r>
      <w:r w:rsidR="00854DA1">
        <w:rPr>
          <w:b/>
          <w:bCs/>
        </w:rPr>
        <w:t>confirm</w:t>
      </w:r>
      <w:r>
        <w:rPr>
          <w:b/>
          <w:bCs/>
        </w:rPr>
        <w:t xml:space="preserve"> if </w:t>
      </w:r>
      <w:r w:rsidR="00854DA1">
        <w:rPr>
          <w:b/>
          <w:bCs/>
        </w:rPr>
        <w:t>it is correct to assume that</w:t>
      </w:r>
      <w:r>
        <w:rPr>
          <w:b/>
          <w:bCs/>
        </w:rPr>
        <w:t xml:space="preserve"> </w:t>
      </w:r>
      <w:r w:rsidR="00854DA1">
        <w:rPr>
          <w:b/>
          <w:bCs/>
        </w:rPr>
        <w:t xml:space="preserve">pre-requisite for </w:t>
      </w:r>
      <w:r>
        <w:rPr>
          <w:b/>
          <w:bCs/>
        </w:rPr>
        <w:t xml:space="preserve">per band and per BC capabilities </w:t>
      </w:r>
      <w:r w:rsidR="00854DA1">
        <w:rPr>
          <w:b/>
          <w:bCs/>
        </w:rPr>
        <w:t>is defined for per band and per BC separately</w:t>
      </w:r>
      <w:r>
        <w:rPr>
          <w:b/>
          <w:bCs/>
        </w:rPr>
        <w:t>.</w:t>
      </w:r>
    </w:p>
    <w:p w14:paraId="55FFEDED" w14:textId="68CCDB2C" w:rsidR="006C54EB" w:rsidRDefault="006C54EB" w:rsidP="006C54EB"/>
    <w:p w14:paraId="5F5389BC" w14:textId="61BB4204" w:rsidR="00312E0F" w:rsidRDefault="005B0AAC" w:rsidP="00312E0F">
      <w:pPr>
        <w:pStyle w:val="Heading1"/>
        <w:numPr>
          <w:ilvl w:val="0"/>
          <w:numId w:val="3"/>
        </w:numPr>
        <w:jc w:val="both"/>
      </w:pPr>
      <w:r>
        <w:t>Conclusion</w:t>
      </w:r>
    </w:p>
    <w:p w14:paraId="267B32AB" w14:textId="49C3E664" w:rsidR="00312E0F" w:rsidRDefault="005B0AAC" w:rsidP="00312E0F">
      <w:r>
        <w:t>In t</w:t>
      </w:r>
      <w:r w:rsidR="00F553DB">
        <w:t xml:space="preserve">his contribution, we clarified the per band and per BC capability and propose the following observations and proposals. </w:t>
      </w:r>
    </w:p>
    <w:p w14:paraId="29ECBE0F" w14:textId="20A54040" w:rsidR="005B0AAC" w:rsidRDefault="005B0AAC" w:rsidP="005B0AAC">
      <w:pPr>
        <w:jc w:val="both"/>
        <w:rPr>
          <w:b/>
        </w:rPr>
      </w:pPr>
      <w:r>
        <w:rPr>
          <w:rFonts w:hint="eastAsia"/>
          <w:b/>
        </w:rPr>
        <w:lastRenderedPageBreak/>
        <w:t>O</w:t>
      </w:r>
      <w:r>
        <w:rPr>
          <w:b/>
        </w:rPr>
        <w:t xml:space="preserve">bservation </w:t>
      </w:r>
      <w:r>
        <w:rPr>
          <w:b/>
        </w:rPr>
        <w:fldChar w:fldCharType="begin"/>
      </w:r>
      <w:r>
        <w:rPr>
          <w:b/>
        </w:rPr>
        <w:instrText xml:space="preserve"> SEQ obj \* MERGEFORMAT </w:instrText>
      </w:r>
      <w:r>
        <w:rPr>
          <w:b/>
        </w:rPr>
        <w:fldChar w:fldCharType="separate"/>
      </w:r>
      <w:r>
        <w:rPr>
          <w:b/>
          <w:noProof/>
        </w:rPr>
        <w:t>1</w:t>
      </w:r>
      <w:r>
        <w:rPr>
          <w:b/>
        </w:rPr>
        <w:fldChar w:fldCharType="end"/>
      </w:r>
      <w:r w:rsidRPr="00BE6523">
        <w:rPr>
          <w:b/>
        </w:rPr>
        <w:t xml:space="preserve">: </w:t>
      </w:r>
      <w:r>
        <w:rPr>
          <w:b/>
        </w:rPr>
        <w:t xml:space="preserve">per band and per BC capability refers to UE capability is defined in both per band and per BC with same feature components. </w:t>
      </w:r>
    </w:p>
    <w:p w14:paraId="24454759" w14:textId="77777777" w:rsidR="005B0AAC" w:rsidRDefault="005B0AAC" w:rsidP="005B0AAC">
      <w:pPr>
        <w:jc w:val="both"/>
        <w:rPr>
          <w:b/>
        </w:rPr>
      </w:pPr>
      <w:r>
        <w:rPr>
          <w:rFonts w:hint="eastAsia"/>
          <w:b/>
        </w:rPr>
        <w:t>O</w:t>
      </w:r>
      <w:r>
        <w:rPr>
          <w:b/>
        </w:rPr>
        <w:t xml:space="preserve">bservation </w:t>
      </w:r>
      <w:r>
        <w:rPr>
          <w:b/>
        </w:rPr>
        <w:fldChar w:fldCharType="begin"/>
      </w:r>
      <w:r>
        <w:rPr>
          <w:b/>
        </w:rPr>
        <w:instrText xml:space="preserve"> SEQ obj \* MERGEFORMAT </w:instrText>
      </w:r>
      <w:r>
        <w:rPr>
          <w:b/>
        </w:rPr>
        <w:fldChar w:fldCharType="separate"/>
      </w:r>
      <w:r>
        <w:rPr>
          <w:b/>
          <w:noProof/>
        </w:rPr>
        <w:t>2</w:t>
      </w:r>
      <w:r>
        <w:rPr>
          <w:b/>
        </w:rPr>
        <w:fldChar w:fldCharType="end"/>
      </w:r>
      <w:r w:rsidRPr="00BE6523">
        <w:rPr>
          <w:b/>
        </w:rPr>
        <w:t xml:space="preserve">: </w:t>
      </w:r>
      <w:r>
        <w:rPr>
          <w:b/>
        </w:rPr>
        <w:t xml:space="preserve">the relationship between per band and per BC capability is not described for all the capabilities.  </w:t>
      </w:r>
    </w:p>
    <w:p w14:paraId="7E9E919E" w14:textId="77777777" w:rsidR="005B0AAC" w:rsidRPr="000D6F49" w:rsidRDefault="005B0AAC" w:rsidP="005B0AAC">
      <w:pPr>
        <w:jc w:val="both"/>
        <w:rPr>
          <w:b/>
        </w:rPr>
      </w:pPr>
    </w:p>
    <w:p w14:paraId="0BB28EBF" w14:textId="77777777" w:rsidR="00C2686E" w:rsidRDefault="00C2686E" w:rsidP="00C2686E">
      <w:pPr>
        <w:jc w:val="both"/>
        <w:rPr>
          <w:b/>
        </w:rPr>
      </w:pPr>
      <w:r w:rsidRPr="00BE6523">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Pr>
          <w:b/>
          <w:bCs/>
          <w:noProof/>
        </w:rPr>
        <w:t>1</w:t>
      </w:r>
      <w:r w:rsidRPr="00ED5E23">
        <w:rPr>
          <w:b/>
          <w:bCs/>
        </w:rPr>
        <w:fldChar w:fldCharType="end"/>
      </w:r>
      <w:r w:rsidRPr="00BE6523">
        <w:rPr>
          <w:b/>
        </w:rPr>
        <w:t xml:space="preserve">: </w:t>
      </w:r>
      <w:r>
        <w:rPr>
          <w:b/>
        </w:rPr>
        <w:t>T</w:t>
      </w:r>
      <w:r w:rsidRPr="0002005C">
        <w:rPr>
          <w:b/>
        </w:rPr>
        <w:t xml:space="preserve">he lower capability </w:t>
      </w:r>
      <w:r>
        <w:rPr>
          <w:b/>
        </w:rPr>
        <w:t>derived based on both</w:t>
      </w:r>
      <w:r w:rsidRPr="0002005C">
        <w:rPr>
          <w:b/>
        </w:rPr>
        <w:t xml:space="preserve"> per band and per BC capability is applied. </w:t>
      </w:r>
    </w:p>
    <w:p w14:paraId="5C1AF599" w14:textId="77777777" w:rsidR="00C2686E" w:rsidRPr="00C425E3" w:rsidRDefault="00C2686E" w:rsidP="00C2686E">
      <w:pPr>
        <w:jc w:val="both"/>
        <w:rPr>
          <w:b/>
        </w:rPr>
      </w:pPr>
      <w:r w:rsidRPr="00C425E3">
        <w:rPr>
          <w:b/>
        </w:rPr>
        <w:t xml:space="preserve">Proposal </w:t>
      </w:r>
      <w:r w:rsidRPr="004167EE">
        <w:rPr>
          <w:b/>
        </w:rPr>
        <w:fldChar w:fldCharType="begin"/>
      </w:r>
      <w:r w:rsidRPr="004167EE">
        <w:rPr>
          <w:b/>
        </w:rPr>
        <w:instrText xml:space="preserve"> SEQ pro \* MERGEFORMAT  \* MERGEFORMAT </w:instrText>
      </w:r>
      <w:r w:rsidRPr="004167EE">
        <w:rPr>
          <w:b/>
        </w:rPr>
        <w:fldChar w:fldCharType="separate"/>
      </w:r>
      <w:r>
        <w:rPr>
          <w:b/>
          <w:noProof/>
        </w:rPr>
        <w:t>2</w:t>
      </w:r>
      <w:r w:rsidRPr="004167EE">
        <w:rPr>
          <w:b/>
        </w:rPr>
        <w:fldChar w:fldCharType="end"/>
      </w:r>
      <w:r w:rsidRPr="00C425E3">
        <w:rPr>
          <w:b/>
        </w:rPr>
        <w:t>: If per band capability is absent for a band, the feature is not supported for the band even if per BC capability is indicated for a BC associating the band.</w:t>
      </w:r>
    </w:p>
    <w:p w14:paraId="114CE1FA" w14:textId="77777777" w:rsidR="00C2686E" w:rsidRPr="00C425E3" w:rsidRDefault="00C2686E" w:rsidP="00C2686E">
      <w:pPr>
        <w:jc w:val="both"/>
        <w:rPr>
          <w:b/>
          <w:color w:val="7030A0"/>
        </w:rPr>
      </w:pPr>
      <w:r w:rsidRPr="00C425E3">
        <w:rPr>
          <w:b/>
        </w:rPr>
        <w:t xml:space="preserve">Proposal </w:t>
      </w:r>
      <w:r w:rsidRPr="00C425E3">
        <w:rPr>
          <w:b/>
        </w:rPr>
        <w:fldChar w:fldCharType="begin"/>
      </w:r>
      <w:r w:rsidRPr="00C425E3">
        <w:rPr>
          <w:b/>
        </w:rPr>
        <w:instrText xml:space="preserve"> SEQ pro \* MERGEFORMAT  \* MERGEFORMAT </w:instrText>
      </w:r>
      <w:r w:rsidRPr="00C425E3">
        <w:rPr>
          <w:b/>
        </w:rPr>
        <w:fldChar w:fldCharType="separate"/>
      </w:r>
      <w:r>
        <w:rPr>
          <w:b/>
          <w:noProof/>
        </w:rPr>
        <w:t>3</w:t>
      </w:r>
      <w:r w:rsidRPr="00C425E3">
        <w:rPr>
          <w:b/>
        </w:rPr>
        <w:fldChar w:fldCharType="end"/>
      </w:r>
      <w:r w:rsidRPr="00C425E3">
        <w:rPr>
          <w:b/>
        </w:rPr>
        <w:t>: per BC capability can be indicated when at least one band in a BC indicates corresponding</w:t>
      </w:r>
      <w:r>
        <w:rPr>
          <w:color w:val="7030A0"/>
        </w:rPr>
        <w:t xml:space="preserve"> </w:t>
      </w:r>
      <w:r w:rsidRPr="00C425E3">
        <w:rPr>
          <w:b/>
        </w:rPr>
        <w:t xml:space="preserve">per band capability. </w:t>
      </w:r>
    </w:p>
    <w:p w14:paraId="4D85DCCE" w14:textId="77777777" w:rsidR="00C2686E" w:rsidRDefault="00C2686E" w:rsidP="00C2686E">
      <w:pPr>
        <w:jc w:val="both"/>
        <w:rPr>
          <w:b/>
        </w:rPr>
      </w:pPr>
      <w:r>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Pr>
          <w:b/>
          <w:bCs/>
          <w:noProof/>
        </w:rPr>
        <w:t>4</w:t>
      </w:r>
      <w:r w:rsidRPr="00ED5E23">
        <w:rPr>
          <w:b/>
          <w:bCs/>
        </w:rPr>
        <w:fldChar w:fldCharType="end"/>
      </w:r>
      <w:r>
        <w:rPr>
          <w:b/>
        </w:rPr>
        <w:t xml:space="preserve">: </w:t>
      </w:r>
      <w:r w:rsidRPr="0002005C">
        <w:rPr>
          <w:b/>
        </w:rPr>
        <w:t>If per BC capability is absent for a BC, per band capability is applied</w:t>
      </w:r>
      <w:r>
        <w:rPr>
          <w:b/>
        </w:rPr>
        <w:t xml:space="preserve"> for the BC</w:t>
      </w:r>
      <w:r w:rsidRPr="0002005C">
        <w:rPr>
          <w:b/>
        </w:rPr>
        <w:t>.</w:t>
      </w:r>
    </w:p>
    <w:p w14:paraId="2374B264" w14:textId="77777777" w:rsidR="00C2686E" w:rsidRDefault="00C2686E" w:rsidP="00C2686E">
      <w:pPr>
        <w:jc w:val="both"/>
        <w:rPr>
          <w:b/>
        </w:rPr>
      </w:pPr>
      <w:r w:rsidRPr="00BE6523">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Pr>
          <w:b/>
          <w:bCs/>
          <w:noProof/>
        </w:rPr>
        <w:t>5</w:t>
      </w:r>
      <w:r w:rsidRPr="00ED5E23">
        <w:rPr>
          <w:b/>
          <w:bCs/>
        </w:rPr>
        <w:fldChar w:fldCharType="end"/>
      </w:r>
      <w:r w:rsidRPr="00BE6523">
        <w:rPr>
          <w:b/>
        </w:rPr>
        <w:t>: if proposal 1</w:t>
      </w:r>
      <w:r>
        <w:rPr>
          <w:b/>
        </w:rPr>
        <w:t>-4</w:t>
      </w:r>
      <w:r w:rsidRPr="00BE6523">
        <w:rPr>
          <w:b/>
        </w:rPr>
        <w:t xml:space="preserve"> is agreed, RAN2 agree to add high level description for per band and per BC capabilities in TS38.306. </w:t>
      </w:r>
    </w:p>
    <w:p w14:paraId="4EEC5ADA" w14:textId="77777777" w:rsidR="00C2686E" w:rsidRDefault="00C2686E" w:rsidP="00C2686E">
      <w:pPr>
        <w:jc w:val="both"/>
        <w:rPr>
          <w:b/>
        </w:rPr>
      </w:pPr>
      <w:r w:rsidRPr="00BE6523">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Pr>
          <w:b/>
          <w:bCs/>
          <w:noProof/>
        </w:rPr>
        <w:t>6</w:t>
      </w:r>
      <w:r w:rsidRPr="00ED5E23">
        <w:rPr>
          <w:b/>
          <w:bCs/>
        </w:rPr>
        <w:fldChar w:fldCharType="end"/>
      </w:r>
      <w:r w:rsidRPr="00BE6523">
        <w:rPr>
          <w:b/>
        </w:rPr>
        <w:t>: if proposal 1</w:t>
      </w:r>
      <w:r>
        <w:rPr>
          <w:b/>
        </w:rPr>
        <w:t>-4</w:t>
      </w:r>
      <w:r w:rsidRPr="00BE6523">
        <w:rPr>
          <w:b/>
        </w:rPr>
        <w:t xml:space="preserve"> is agreed, </w:t>
      </w:r>
      <w:r>
        <w:rPr>
          <w:b/>
          <w:bCs/>
        </w:rPr>
        <w:t xml:space="preserve">RAN2 agree to send </w:t>
      </w:r>
      <w:proofErr w:type="gramStart"/>
      <w:r>
        <w:rPr>
          <w:b/>
          <w:bCs/>
        </w:rPr>
        <w:t>an</w:t>
      </w:r>
      <w:proofErr w:type="gramEnd"/>
      <w:r>
        <w:rPr>
          <w:b/>
          <w:bCs/>
        </w:rPr>
        <w:t xml:space="preserve"> LS to RAN1 to check if the assumptions are correct for per band and per BC capabilities that they introduced.</w:t>
      </w:r>
    </w:p>
    <w:p w14:paraId="5A3FF016" w14:textId="77777777" w:rsidR="00C2686E" w:rsidRDefault="00C2686E" w:rsidP="00C2686E">
      <w:pPr>
        <w:jc w:val="both"/>
        <w:rPr>
          <w:b/>
        </w:rPr>
      </w:pPr>
      <w:r w:rsidRPr="00BE6523">
        <w:rPr>
          <w:b/>
        </w:rPr>
        <w:t xml:space="preserve">Proposal </w:t>
      </w:r>
      <w:r w:rsidRPr="00ED5E23">
        <w:rPr>
          <w:b/>
          <w:bCs/>
        </w:rPr>
        <w:fldChar w:fldCharType="begin"/>
      </w:r>
      <w:r w:rsidRPr="00ED5E23">
        <w:rPr>
          <w:b/>
          <w:bCs/>
        </w:rPr>
        <w:instrText xml:space="preserve"> SEQ pro \* MERGEFORMAT  \* MERGEFORMAT </w:instrText>
      </w:r>
      <w:r w:rsidRPr="00ED5E23">
        <w:rPr>
          <w:b/>
          <w:bCs/>
        </w:rPr>
        <w:fldChar w:fldCharType="separate"/>
      </w:r>
      <w:r>
        <w:rPr>
          <w:b/>
          <w:bCs/>
          <w:noProof/>
        </w:rPr>
        <w:t>7</w:t>
      </w:r>
      <w:r w:rsidRPr="00ED5E23">
        <w:rPr>
          <w:b/>
          <w:bCs/>
        </w:rPr>
        <w:fldChar w:fldCharType="end"/>
      </w:r>
      <w:r w:rsidRPr="00BE6523">
        <w:rPr>
          <w:b/>
        </w:rPr>
        <w:t xml:space="preserve">: </w:t>
      </w:r>
      <w:r>
        <w:rPr>
          <w:b/>
          <w:bCs/>
        </w:rPr>
        <w:t>RAN2 agree to ask RAN1 to confirm if it is correct to assume that pre-requisite for per band and per BC capabilities is defined for per band and per BC separately.</w:t>
      </w:r>
    </w:p>
    <w:p w14:paraId="287954A1" w14:textId="2CB00FAA" w:rsidR="00312E0F" w:rsidRDefault="00312E0F" w:rsidP="00312E0F"/>
    <w:p w14:paraId="666F3E44" w14:textId="3E6BFBB2" w:rsidR="005B0AAC" w:rsidRDefault="005B0AAC" w:rsidP="005B0AAC">
      <w:pPr>
        <w:pStyle w:val="Heading1"/>
        <w:numPr>
          <w:ilvl w:val="0"/>
          <w:numId w:val="3"/>
        </w:numPr>
        <w:jc w:val="both"/>
      </w:pPr>
      <w:r>
        <w:t>Reference</w:t>
      </w:r>
    </w:p>
    <w:p w14:paraId="7889C99A" w14:textId="7222A4BB" w:rsidR="00312E0F" w:rsidRPr="00312E0F" w:rsidRDefault="00312E0F" w:rsidP="00312E0F">
      <w:r>
        <w:t xml:space="preserve">[1] </w:t>
      </w:r>
      <w:r w:rsidRPr="00312E0F">
        <w:t>R2-2004983    Report of email discussion [Post109bis-</w:t>
      </w:r>
      <w:proofErr w:type="gramStart"/>
      <w:r w:rsidRPr="00312E0F">
        <w:t>e][</w:t>
      </w:r>
      <w:proofErr w:type="gramEnd"/>
      <w:r w:rsidRPr="00312E0F">
        <w:t xml:space="preserve">962][TEI16] Under-reporting CSI-RS Capabilities     NTT DOCOMO, INC.         report     Rel-16    </w:t>
      </w:r>
      <w:proofErr w:type="spellStart"/>
      <w:r w:rsidRPr="00312E0F">
        <w:t>NR_newRAT</w:t>
      </w:r>
      <w:proofErr w:type="spellEnd"/>
      <w:r w:rsidRPr="00312E0F">
        <w:t>-Core, TEI</w:t>
      </w:r>
      <w:proofErr w:type="gramStart"/>
      <w:r w:rsidRPr="00312E0F">
        <w:t>16  Late</w:t>
      </w:r>
      <w:proofErr w:type="gramEnd"/>
    </w:p>
    <w:p w14:paraId="28121BB4" w14:textId="77777777" w:rsidR="00312E0F" w:rsidRPr="00CA309D" w:rsidRDefault="00312E0F" w:rsidP="00CA309D"/>
    <w:sectPr w:rsidR="00312E0F" w:rsidRPr="00CA30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E50D08"/>
    <w:multiLevelType w:val="hybridMultilevel"/>
    <w:tmpl w:val="D4EAB2CC"/>
    <w:lvl w:ilvl="0" w:tplc="15861A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2C46057"/>
    <w:multiLevelType w:val="hybridMultilevel"/>
    <w:tmpl w:val="68DC27C4"/>
    <w:lvl w:ilvl="0" w:tplc="B7FE0176">
      <w:start w:val="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3DB488D"/>
    <w:multiLevelType w:val="hybridMultilevel"/>
    <w:tmpl w:val="4F46C7C8"/>
    <w:lvl w:ilvl="0" w:tplc="0176713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7A4605"/>
    <w:multiLevelType w:val="hybridMultilevel"/>
    <w:tmpl w:val="DE68E168"/>
    <w:lvl w:ilvl="0" w:tplc="B32AF9A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713"/>
    <w:rsid w:val="00013C80"/>
    <w:rsid w:val="00015A73"/>
    <w:rsid w:val="0002005C"/>
    <w:rsid w:val="000D6F49"/>
    <w:rsid w:val="0017449F"/>
    <w:rsid w:val="001A7543"/>
    <w:rsid w:val="00227841"/>
    <w:rsid w:val="002627C9"/>
    <w:rsid w:val="00312E0F"/>
    <w:rsid w:val="0031733A"/>
    <w:rsid w:val="0036749D"/>
    <w:rsid w:val="003D2A7E"/>
    <w:rsid w:val="0046797F"/>
    <w:rsid w:val="00551C4D"/>
    <w:rsid w:val="005B0AAC"/>
    <w:rsid w:val="005C067E"/>
    <w:rsid w:val="005E6511"/>
    <w:rsid w:val="005F5989"/>
    <w:rsid w:val="006521C6"/>
    <w:rsid w:val="006C3588"/>
    <w:rsid w:val="006C54EB"/>
    <w:rsid w:val="00781C06"/>
    <w:rsid w:val="00854DA1"/>
    <w:rsid w:val="00860AA6"/>
    <w:rsid w:val="008D2712"/>
    <w:rsid w:val="00934713"/>
    <w:rsid w:val="009602EA"/>
    <w:rsid w:val="009F19BE"/>
    <w:rsid w:val="00A909B7"/>
    <w:rsid w:val="00AD01E1"/>
    <w:rsid w:val="00AF69D6"/>
    <w:rsid w:val="00B10C0B"/>
    <w:rsid w:val="00B10E07"/>
    <w:rsid w:val="00B97506"/>
    <w:rsid w:val="00BE6523"/>
    <w:rsid w:val="00C25818"/>
    <w:rsid w:val="00C2686E"/>
    <w:rsid w:val="00C425E3"/>
    <w:rsid w:val="00C624C5"/>
    <w:rsid w:val="00CA309D"/>
    <w:rsid w:val="00D06F50"/>
    <w:rsid w:val="00D14EAA"/>
    <w:rsid w:val="00E83695"/>
    <w:rsid w:val="00F44954"/>
    <w:rsid w:val="00F553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A9B44"/>
  <w15:chartTrackingRefBased/>
  <w15:docId w15:val="{FC43F073-76C0-4527-8AE4-1F504552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2E0F"/>
    <w:pPr>
      <w:spacing w:after="0" w:line="240" w:lineRule="auto"/>
    </w:pPr>
    <w:rPr>
      <w:rFonts w:ascii="Calibri" w:hAnsi="Calibri" w:cs="Calibri"/>
    </w:rPr>
  </w:style>
  <w:style w:type="paragraph" w:styleId="Heading1">
    <w:name w:val="heading 1"/>
    <w:basedOn w:val="Normal"/>
    <w:next w:val="Normal"/>
    <w:link w:val="Heading1Char"/>
    <w:uiPriority w:val="9"/>
    <w:qFormat/>
    <w:rsid w:val="00312E0F"/>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Car">
    <w:name w:val="TAL Car"/>
    <w:link w:val="TAL"/>
    <w:qFormat/>
    <w:locked/>
    <w:rsid w:val="009F19BE"/>
    <w:rPr>
      <w:rFonts w:ascii="Arial" w:eastAsia="Times New Roman" w:hAnsi="Arial" w:cs="Arial"/>
      <w:sz w:val="18"/>
    </w:rPr>
  </w:style>
  <w:style w:type="paragraph" w:customStyle="1" w:styleId="TAL">
    <w:name w:val="TAL"/>
    <w:basedOn w:val="Normal"/>
    <w:link w:val="TALCar"/>
    <w:qFormat/>
    <w:rsid w:val="009F19BE"/>
    <w:pPr>
      <w:keepNext/>
      <w:keepLines/>
      <w:overflowPunct w:val="0"/>
      <w:autoSpaceDE w:val="0"/>
      <w:autoSpaceDN w:val="0"/>
      <w:adjustRightInd w:val="0"/>
    </w:pPr>
    <w:rPr>
      <w:rFonts w:ascii="Arial" w:eastAsia="Times New Roman" w:hAnsi="Arial" w:cs="Arial"/>
      <w:sz w:val="18"/>
    </w:rPr>
  </w:style>
  <w:style w:type="character" w:customStyle="1" w:styleId="B1Char1">
    <w:name w:val="B1 Char1"/>
    <w:link w:val="B1"/>
    <w:qFormat/>
    <w:locked/>
    <w:rsid w:val="009F19BE"/>
    <w:rPr>
      <w:rFonts w:ascii="Times New Roman" w:eastAsia="Times New Roman" w:hAnsi="Times New Roman" w:cs="Times New Roman"/>
    </w:rPr>
  </w:style>
  <w:style w:type="paragraph" w:customStyle="1" w:styleId="B1">
    <w:name w:val="B1"/>
    <w:basedOn w:val="List"/>
    <w:link w:val="B1Char1"/>
    <w:qFormat/>
    <w:rsid w:val="009F19BE"/>
    <w:pPr>
      <w:overflowPunct w:val="0"/>
      <w:autoSpaceDE w:val="0"/>
      <w:autoSpaceDN w:val="0"/>
      <w:adjustRightInd w:val="0"/>
      <w:spacing w:after="180"/>
      <w:ind w:left="568" w:hanging="284"/>
      <w:contextualSpacing w:val="0"/>
    </w:pPr>
    <w:rPr>
      <w:rFonts w:ascii="Times New Roman" w:eastAsia="Times New Roman" w:hAnsi="Times New Roman" w:cs="Times New Roman"/>
    </w:rPr>
  </w:style>
  <w:style w:type="paragraph" w:styleId="List">
    <w:name w:val="List"/>
    <w:basedOn w:val="Normal"/>
    <w:uiPriority w:val="99"/>
    <w:semiHidden/>
    <w:unhideWhenUsed/>
    <w:rsid w:val="009F19BE"/>
    <w:pPr>
      <w:ind w:left="360" w:hanging="360"/>
      <w:contextualSpacing/>
    </w:pPr>
    <w:rPr>
      <w:rFonts w:asciiTheme="minorHAnsi" w:hAnsiTheme="minorHAnsi" w:cstheme="minorBidi"/>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CA309D"/>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locked/>
    <w:rsid w:val="00860AA6"/>
    <w:rPr>
      <w:rFonts w:ascii="Calibri" w:hAnsi="Calibri" w:cs="Calibri"/>
    </w:rPr>
  </w:style>
  <w:style w:type="table" w:styleId="TableGrid">
    <w:name w:val="Table Grid"/>
    <w:basedOn w:val="TableNormal"/>
    <w:uiPriority w:val="39"/>
    <w:rsid w:val="00860AA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12E0F"/>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312E0F"/>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5C06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809654">
      <w:bodyDiv w:val="1"/>
      <w:marLeft w:val="0"/>
      <w:marRight w:val="0"/>
      <w:marTop w:val="0"/>
      <w:marBottom w:val="0"/>
      <w:divBdr>
        <w:top w:val="none" w:sz="0" w:space="0" w:color="auto"/>
        <w:left w:val="none" w:sz="0" w:space="0" w:color="auto"/>
        <w:bottom w:val="none" w:sz="0" w:space="0" w:color="auto"/>
        <w:right w:val="none" w:sz="0" w:space="0" w:color="auto"/>
      </w:divBdr>
    </w:div>
    <w:div w:id="757095170">
      <w:bodyDiv w:val="1"/>
      <w:marLeft w:val="0"/>
      <w:marRight w:val="0"/>
      <w:marTop w:val="0"/>
      <w:marBottom w:val="0"/>
      <w:divBdr>
        <w:top w:val="none" w:sz="0" w:space="0" w:color="auto"/>
        <w:left w:val="none" w:sz="0" w:space="0" w:color="auto"/>
        <w:bottom w:val="none" w:sz="0" w:space="0" w:color="auto"/>
        <w:right w:val="none" w:sz="0" w:space="0" w:color="auto"/>
      </w:divBdr>
    </w:div>
    <w:div w:id="834808772">
      <w:bodyDiv w:val="1"/>
      <w:marLeft w:val="0"/>
      <w:marRight w:val="0"/>
      <w:marTop w:val="0"/>
      <w:marBottom w:val="0"/>
      <w:divBdr>
        <w:top w:val="none" w:sz="0" w:space="0" w:color="auto"/>
        <w:left w:val="none" w:sz="0" w:space="0" w:color="auto"/>
        <w:bottom w:val="none" w:sz="0" w:space="0" w:color="auto"/>
        <w:right w:val="none" w:sz="0" w:space="0" w:color="auto"/>
      </w:divBdr>
    </w:div>
    <w:div w:id="968629333">
      <w:bodyDiv w:val="1"/>
      <w:marLeft w:val="0"/>
      <w:marRight w:val="0"/>
      <w:marTop w:val="0"/>
      <w:marBottom w:val="0"/>
      <w:divBdr>
        <w:top w:val="none" w:sz="0" w:space="0" w:color="auto"/>
        <w:left w:val="none" w:sz="0" w:space="0" w:color="auto"/>
        <w:bottom w:val="none" w:sz="0" w:space="0" w:color="auto"/>
        <w:right w:val="none" w:sz="0" w:space="0" w:color="auto"/>
      </w:divBdr>
    </w:div>
    <w:div w:id="1142117916">
      <w:bodyDiv w:val="1"/>
      <w:marLeft w:val="0"/>
      <w:marRight w:val="0"/>
      <w:marTop w:val="0"/>
      <w:marBottom w:val="0"/>
      <w:divBdr>
        <w:top w:val="none" w:sz="0" w:space="0" w:color="auto"/>
        <w:left w:val="none" w:sz="0" w:space="0" w:color="auto"/>
        <w:bottom w:val="none" w:sz="0" w:space="0" w:color="auto"/>
        <w:right w:val="none" w:sz="0" w:space="0" w:color="auto"/>
      </w:divBdr>
    </w:div>
    <w:div w:id="142915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2</cp:revision>
  <dcterms:created xsi:type="dcterms:W3CDTF">2025-08-14T22:39:00Z</dcterms:created>
  <dcterms:modified xsi:type="dcterms:W3CDTF">2025-08-14T22:39:00Z</dcterms:modified>
</cp:coreProperties>
</file>