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c"/>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c"/>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宋体"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DE0819" w:rsidP="00BA5516">
            <w:pPr>
              <w:pStyle w:val="TAC"/>
              <w:jc w:val="both"/>
              <w:rPr>
                <w:rFonts w:ascii="Times New Roman" w:hAnsi="Times New Roman"/>
                <w:lang w:eastAsia="ko-KR"/>
              </w:rPr>
            </w:pPr>
            <w:hyperlink r:id="rId12" w:history="1">
              <w:r w:rsidR="00CC1E06" w:rsidRPr="00723C90">
                <w:rPr>
                  <w:rStyle w:val="af3"/>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r>
              <w:rPr>
                <w:rFonts w:ascii="Times New Roman" w:hAnsi="Times New Roman"/>
                <w:lang w:eastAsia="ko-KR"/>
              </w:rPr>
              <w:t>InterDigital</w:t>
            </w:r>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宋体" w:hAnsi="Times New Roman"/>
                <w:lang w:eastAsia="zh-CN"/>
              </w:rPr>
            </w:pPr>
            <w:r w:rsidRPr="00CC1E06">
              <w:rPr>
                <w:rFonts w:ascii="Times New Roman" w:eastAsia="宋体"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宋体" w:hAnsi="Times New Roman"/>
                <w:lang w:val="en-US" w:eastAsia="zh-CN"/>
              </w:rPr>
            </w:pPr>
            <w:r>
              <w:rPr>
                <w:rFonts w:ascii="Times New Roman" w:eastAsia="宋体"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gao.yuan66@zte.com.cn</w:t>
            </w:r>
            <w:bookmarkStart w:id="0" w:name="_GoBack"/>
            <w:bookmarkEnd w:id="0"/>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D94DE72" w14:textId="77777777" w:rsidR="00CC1E06" w:rsidRDefault="00CC1E06" w:rsidP="00CC1E06">
            <w:pPr>
              <w:pStyle w:val="TAC"/>
              <w:jc w:val="both"/>
              <w:rPr>
                <w:rFonts w:ascii="Times New Roman" w:hAnsi="Times New Roman"/>
                <w:lang w:eastAsia="ko-KR"/>
              </w:rPr>
            </w:pP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422E4CF2" w14:textId="77777777" w:rsidR="00CC1E06" w:rsidRDefault="00CC1E06" w:rsidP="00CC1E06">
            <w:pPr>
              <w:pStyle w:val="TAC"/>
              <w:jc w:val="both"/>
              <w:rPr>
                <w:rFonts w:ascii="Times New Roman" w:eastAsia="宋体" w:hAnsi="Times New Roman"/>
                <w:lang w:eastAsia="zh-CN"/>
              </w:rPr>
            </w:pP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1BA5B77" w14:textId="77777777" w:rsidR="00CC1E06" w:rsidRDefault="00CC1E06" w:rsidP="00CC1E06">
            <w:pPr>
              <w:pStyle w:val="TAC"/>
              <w:jc w:val="both"/>
              <w:rPr>
                <w:rFonts w:ascii="Times New Roman" w:hAnsi="Times New Roman"/>
                <w:lang w:eastAsia="ko-KR"/>
              </w:rPr>
            </w:pP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宋体"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1"/>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lastRenderedPageBreak/>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RRCRelease it introduce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gNB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1"/>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9"/>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1"/>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gNB releases the UE to RRC_INACTIVE with a short DRX cycle (e.g. 320 ms) or when the gNB releases the UE to RRC_IDLE and the UE has a UE specific DRX cycle configured shorter than the </w:t>
            </w:r>
            <w:r w:rsidRPr="00F968F4">
              <w:rPr>
                <w:i/>
                <w:iCs/>
              </w:rPr>
              <w:t>defaultPaging</w:t>
            </w:r>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NTT docomo</w:t>
            </w:r>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宋体"/>
                <w:lang w:eastAsia="zh-CN"/>
              </w:rPr>
            </w:pPr>
            <w:r>
              <w:t>Interdigital</w:t>
            </w:r>
          </w:p>
        </w:tc>
        <w:tc>
          <w:tcPr>
            <w:tcW w:w="2127" w:type="dxa"/>
          </w:tcPr>
          <w:p w14:paraId="3C8B9615" w14:textId="6EFBCDD7" w:rsidR="00A42314" w:rsidRDefault="00A42314" w:rsidP="00A42314">
            <w:pPr>
              <w:rPr>
                <w:rFonts w:eastAsia="宋体"/>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宋体"/>
                <w:lang w:eastAsia="zh-CN"/>
              </w:rPr>
            </w:pPr>
            <w:r>
              <w:t>Huawei/HiSilicon</w:t>
            </w:r>
          </w:p>
        </w:tc>
        <w:tc>
          <w:tcPr>
            <w:tcW w:w="2127" w:type="dxa"/>
          </w:tcPr>
          <w:p w14:paraId="5BA9BD43" w14:textId="06185538" w:rsidR="002B4BAA" w:rsidRPr="00446D06" w:rsidRDefault="002B4BAA" w:rsidP="002B4BAA">
            <w:pPr>
              <w:rPr>
                <w:rFonts w:eastAsia="宋体"/>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宋体"/>
                <w:lang w:eastAsia="zh-CN"/>
              </w:rPr>
            </w:pPr>
            <w:r>
              <w:rPr>
                <w:rFonts w:eastAsia="宋体"/>
                <w:lang w:eastAsia="zh-CN"/>
              </w:rPr>
              <w:t>Nokia</w:t>
            </w:r>
          </w:p>
        </w:tc>
        <w:tc>
          <w:tcPr>
            <w:tcW w:w="2127" w:type="dxa"/>
            <w:hideMark/>
          </w:tcPr>
          <w:p w14:paraId="39E16C74" w14:textId="77777777" w:rsidR="004131BF" w:rsidRDefault="004131BF">
            <w:pPr>
              <w:rPr>
                <w:rFonts w:eastAsia="宋体"/>
                <w:lang w:eastAsia="zh-CN"/>
              </w:rPr>
            </w:pPr>
            <w:r>
              <w:rPr>
                <w:rFonts w:eastAsia="宋体"/>
                <w:lang w:eastAsia="zh-CN"/>
              </w:rPr>
              <w:t>No</w:t>
            </w:r>
          </w:p>
        </w:tc>
        <w:tc>
          <w:tcPr>
            <w:tcW w:w="5808" w:type="dxa"/>
            <w:hideMark/>
          </w:tcPr>
          <w:p w14:paraId="180A6B9F" w14:textId="77777777" w:rsidR="004131BF" w:rsidRDefault="004131BF">
            <w:r>
              <w:t>Broadcast signaling is sufficient. It has been agreed to leave the LP-WUS monitoring up to implementation i.e. the UE supporting LP-WUS is not mandated to monitor LP-WUS. So dedicated signaling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宋体"/>
                <w:lang w:val="en-US" w:eastAsia="zh-CN"/>
              </w:rPr>
            </w:pPr>
            <w:r>
              <w:rPr>
                <w:rFonts w:eastAsia="宋体" w:hint="eastAsia"/>
                <w:lang w:val="en-US" w:eastAsia="zh-CN"/>
              </w:rPr>
              <w:t>ZTE</w:t>
            </w:r>
          </w:p>
        </w:tc>
        <w:tc>
          <w:tcPr>
            <w:tcW w:w="2127" w:type="dxa"/>
          </w:tcPr>
          <w:p w14:paraId="04D8C712" w14:textId="4ACF5771" w:rsidR="00F72C2B" w:rsidRDefault="00F72C2B" w:rsidP="00F72C2B">
            <w:pPr>
              <w:rPr>
                <w:rFonts w:eastAsia="宋体"/>
                <w:lang w:eastAsia="zh-CN"/>
              </w:rPr>
            </w:pPr>
            <w:r>
              <w:rPr>
                <w:rFonts w:eastAsia="宋体" w:hint="eastAsia"/>
                <w:lang w:val="en-US" w:eastAsia="zh-CN"/>
              </w:rPr>
              <w:t>Yes</w:t>
            </w:r>
          </w:p>
        </w:tc>
        <w:tc>
          <w:tcPr>
            <w:tcW w:w="5808" w:type="dxa"/>
          </w:tcPr>
          <w:p w14:paraId="0B59B98F" w14:textId="0F5A792C" w:rsidR="00F72C2B" w:rsidRDefault="00F72C2B" w:rsidP="00F72C2B">
            <w:pPr>
              <w:rPr>
                <w:rFonts w:eastAsia="宋体"/>
                <w:lang w:eastAsia="zh-CN"/>
              </w:rPr>
            </w:pPr>
            <w:r>
              <w:rPr>
                <w:rFonts w:eastAsia="宋体" w:hint="eastAsia"/>
                <w:lang w:val="en-US" w:eastAsia="zh-CN"/>
              </w:rPr>
              <w:t>LP-WUS may lead large delay, and is not beneficial for delay critical service. NW should be able to enable/disable LP-WUS monitoring for UE in RRC_IDLE/RRC_INACTIVE state based on service characteristics.</w:t>
            </w:r>
          </w:p>
        </w:tc>
      </w:tr>
      <w:tr w:rsidR="00F72C2B" w:rsidRPr="003F5FDC" w14:paraId="38DC634F" w14:textId="77777777" w:rsidTr="00094BF7">
        <w:tc>
          <w:tcPr>
            <w:tcW w:w="1696" w:type="dxa"/>
          </w:tcPr>
          <w:p w14:paraId="2565E6C4" w14:textId="152F68AD" w:rsidR="00F72C2B" w:rsidRDefault="00F72C2B" w:rsidP="00F72C2B">
            <w:pPr>
              <w:rPr>
                <w:rFonts w:eastAsia="宋体"/>
                <w:lang w:eastAsia="zh-CN"/>
              </w:rPr>
            </w:pPr>
          </w:p>
        </w:tc>
        <w:tc>
          <w:tcPr>
            <w:tcW w:w="2127" w:type="dxa"/>
          </w:tcPr>
          <w:p w14:paraId="5152ABC4" w14:textId="77B9278E" w:rsidR="00F72C2B" w:rsidRDefault="00F72C2B" w:rsidP="00F72C2B">
            <w:pPr>
              <w:rPr>
                <w:rFonts w:eastAsia="宋体"/>
                <w:lang w:eastAsia="zh-CN"/>
              </w:rPr>
            </w:pPr>
          </w:p>
        </w:tc>
        <w:tc>
          <w:tcPr>
            <w:tcW w:w="5808" w:type="dxa"/>
          </w:tcPr>
          <w:p w14:paraId="6B9471BD" w14:textId="77777777" w:rsidR="00F72C2B" w:rsidRDefault="00F72C2B" w:rsidP="00F72C2B">
            <w:pPr>
              <w:rPr>
                <w:rFonts w:eastAsia="宋体"/>
                <w:lang w:eastAsia="zh-CN"/>
              </w:rPr>
            </w:pPr>
          </w:p>
        </w:tc>
      </w:tr>
      <w:tr w:rsidR="00F72C2B" w:rsidRPr="003F5FDC" w14:paraId="234F84CD" w14:textId="77777777" w:rsidTr="00094BF7">
        <w:tc>
          <w:tcPr>
            <w:tcW w:w="1696" w:type="dxa"/>
          </w:tcPr>
          <w:p w14:paraId="7652550F" w14:textId="6F68F83C" w:rsidR="00F72C2B" w:rsidRPr="00B55583" w:rsidRDefault="00F72C2B" w:rsidP="00F72C2B">
            <w:pPr>
              <w:rPr>
                <w:rFonts w:eastAsia="宋体"/>
                <w:lang w:val="en-US" w:eastAsia="zh-CN"/>
              </w:rPr>
            </w:pPr>
          </w:p>
        </w:tc>
        <w:tc>
          <w:tcPr>
            <w:tcW w:w="2127" w:type="dxa"/>
          </w:tcPr>
          <w:p w14:paraId="4F96145D" w14:textId="56CF7283" w:rsidR="00F72C2B" w:rsidRPr="00B55583" w:rsidRDefault="00F72C2B" w:rsidP="00F72C2B">
            <w:pPr>
              <w:rPr>
                <w:rFonts w:eastAsia="宋体"/>
                <w:lang w:val="en-US" w:eastAsia="zh-CN"/>
              </w:rPr>
            </w:pPr>
          </w:p>
        </w:tc>
        <w:tc>
          <w:tcPr>
            <w:tcW w:w="5808" w:type="dxa"/>
          </w:tcPr>
          <w:p w14:paraId="4B980DA0" w14:textId="77777777" w:rsidR="00F72C2B" w:rsidRDefault="00F72C2B" w:rsidP="00F72C2B">
            <w:pPr>
              <w:rPr>
                <w:rFonts w:eastAsia="宋体"/>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1"/>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NTT docomo</w:t>
            </w:r>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In fact, CN-based subgroup ID is optional, we can not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宋体"/>
                <w:lang w:eastAsia="zh-CN"/>
              </w:rPr>
            </w:pPr>
            <w:r>
              <w:t>Interdigital</w:t>
            </w:r>
          </w:p>
        </w:tc>
        <w:tc>
          <w:tcPr>
            <w:tcW w:w="2126" w:type="dxa"/>
          </w:tcPr>
          <w:p w14:paraId="35FA6F14" w14:textId="0CD54380" w:rsidR="00A42314" w:rsidRDefault="00A42314" w:rsidP="00A42314">
            <w:pPr>
              <w:rPr>
                <w:rFonts w:eastAsia="宋体"/>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宋体"/>
                <w:lang w:eastAsia="zh-CN"/>
              </w:rPr>
            </w:pPr>
            <w:r>
              <w:t>Huawei/HiSilicon</w:t>
            </w:r>
          </w:p>
        </w:tc>
        <w:tc>
          <w:tcPr>
            <w:tcW w:w="2126" w:type="dxa"/>
          </w:tcPr>
          <w:p w14:paraId="4CBFA25C" w14:textId="6FA4C001" w:rsidR="002B4BAA" w:rsidRDefault="002B4BAA" w:rsidP="002B4BAA">
            <w:pPr>
              <w:rPr>
                <w:rFonts w:eastAsia="宋体"/>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宋体"/>
                <w:lang w:eastAsia="zh-CN"/>
              </w:rPr>
            </w:pPr>
            <w:r>
              <w:rPr>
                <w:rFonts w:eastAsia="宋体"/>
                <w:lang w:eastAsia="zh-CN"/>
              </w:rPr>
              <w:t>Nokia</w:t>
            </w:r>
          </w:p>
        </w:tc>
        <w:tc>
          <w:tcPr>
            <w:tcW w:w="2126" w:type="dxa"/>
            <w:hideMark/>
          </w:tcPr>
          <w:p w14:paraId="11CD2286" w14:textId="77777777" w:rsidR="004131BF" w:rsidRDefault="004131BF">
            <w:pPr>
              <w:rPr>
                <w:rFonts w:eastAsia="宋体"/>
                <w:lang w:eastAsia="zh-CN"/>
              </w:rPr>
            </w:pPr>
            <w:r>
              <w:rPr>
                <w:rFonts w:eastAsia="宋体"/>
                <w:lang w:eastAsia="zh-CN"/>
              </w:rPr>
              <w:t>No</w:t>
            </w:r>
          </w:p>
        </w:tc>
        <w:tc>
          <w:tcPr>
            <w:tcW w:w="4958" w:type="dxa"/>
            <w:hideMark/>
          </w:tcPr>
          <w:p w14:paraId="05B223BC" w14:textId="77777777" w:rsidR="004131BF" w:rsidRDefault="004131BF">
            <w:r>
              <w:t>Broadcast signaling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宋体"/>
                <w:lang w:eastAsia="zh-CN"/>
              </w:rPr>
            </w:pPr>
            <w:r>
              <w:rPr>
                <w:rFonts w:eastAsia="宋体" w:hint="eastAsia"/>
                <w:lang w:val="en-US" w:eastAsia="zh-CN"/>
              </w:rPr>
              <w:t>ZTE</w:t>
            </w:r>
          </w:p>
        </w:tc>
        <w:tc>
          <w:tcPr>
            <w:tcW w:w="2126" w:type="dxa"/>
          </w:tcPr>
          <w:p w14:paraId="1CB344E1" w14:textId="0644B002" w:rsidR="00F72C2B" w:rsidRDefault="00F72C2B" w:rsidP="00F72C2B">
            <w:pPr>
              <w:rPr>
                <w:rFonts w:eastAsia="宋体"/>
                <w:lang w:eastAsia="zh-CN"/>
              </w:rPr>
            </w:pPr>
            <w:r>
              <w:rPr>
                <w:rFonts w:eastAsia="宋体" w:hint="eastAsia"/>
                <w:lang w:val="en-US" w:eastAsia="zh-CN"/>
              </w:rPr>
              <w:t>Yes</w:t>
            </w:r>
          </w:p>
        </w:tc>
        <w:tc>
          <w:tcPr>
            <w:tcW w:w="4958" w:type="dxa"/>
          </w:tcPr>
          <w:p w14:paraId="24662390" w14:textId="77777777" w:rsidR="00F72C2B" w:rsidRDefault="00F72C2B" w:rsidP="00F72C2B">
            <w:pPr>
              <w:rPr>
                <w:rFonts w:eastAsia="宋体"/>
                <w:lang w:eastAsia="zh-CN"/>
              </w:rPr>
            </w:pPr>
          </w:p>
        </w:tc>
      </w:tr>
      <w:tr w:rsidR="00F72C2B" w:rsidRPr="003F5FDC" w14:paraId="12A6D164" w14:textId="77777777" w:rsidTr="00094BF7">
        <w:tc>
          <w:tcPr>
            <w:tcW w:w="2547" w:type="dxa"/>
          </w:tcPr>
          <w:p w14:paraId="280BA7B8" w14:textId="77777777" w:rsidR="00F72C2B" w:rsidRDefault="00F72C2B" w:rsidP="00F72C2B">
            <w:pPr>
              <w:rPr>
                <w:rFonts w:eastAsia="宋体"/>
                <w:lang w:eastAsia="zh-CN"/>
              </w:rPr>
            </w:pPr>
          </w:p>
        </w:tc>
        <w:tc>
          <w:tcPr>
            <w:tcW w:w="2126" w:type="dxa"/>
          </w:tcPr>
          <w:p w14:paraId="622DFB82" w14:textId="77777777" w:rsidR="00F72C2B" w:rsidRDefault="00F72C2B" w:rsidP="00F72C2B">
            <w:pPr>
              <w:rPr>
                <w:rFonts w:eastAsia="宋体"/>
                <w:lang w:eastAsia="zh-CN"/>
              </w:rPr>
            </w:pPr>
          </w:p>
        </w:tc>
        <w:tc>
          <w:tcPr>
            <w:tcW w:w="4958" w:type="dxa"/>
          </w:tcPr>
          <w:p w14:paraId="191696E0" w14:textId="77777777" w:rsidR="00F72C2B" w:rsidRDefault="00F72C2B" w:rsidP="00F72C2B">
            <w:pPr>
              <w:rPr>
                <w:rFonts w:eastAsia="宋体"/>
                <w:lang w:eastAsia="zh-CN"/>
              </w:rPr>
            </w:pPr>
          </w:p>
        </w:tc>
      </w:tr>
      <w:tr w:rsidR="00F72C2B" w:rsidRPr="003F5FDC" w14:paraId="31024E43" w14:textId="77777777" w:rsidTr="00094BF7">
        <w:tc>
          <w:tcPr>
            <w:tcW w:w="2547" w:type="dxa"/>
          </w:tcPr>
          <w:p w14:paraId="24BB9DC8" w14:textId="77777777" w:rsidR="00F72C2B" w:rsidRPr="00B55583" w:rsidRDefault="00F72C2B" w:rsidP="00F72C2B">
            <w:pPr>
              <w:rPr>
                <w:rFonts w:eastAsia="宋体"/>
                <w:lang w:val="en-US" w:eastAsia="zh-CN"/>
              </w:rPr>
            </w:pPr>
          </w:p>
        </w:tc>
        <w:tc>
          <w:tcPr>
            <w:tcW w:w="2126" w:type="dxa"/>
          </w:tcPr>
          <w:p w14:paraId="4CA0BAD3" w14:textId="77777777" w:rsidR="00F72C2B" w:rsidRPr="00B55583" w:rsidRDefault="00F72C2B" w:rsidP="00F72C2B">
            <w:pPr>
              <w:rPr>
                <w:rFonts w:eastAsia="宋体"/>
                <w:lang w:val="en-US" w:eastAsia="zh-CN"/>
              </w:rPr>
            </w:pPr>
          </w:p>
        </w:tc>
        <w:tc>
          <w:tcPr>
            <w:tcW w:w="4958" w:type="dxa"/>
          </w:tcPr>
          <w:p w14:paraId="4D2C2132" w14:textId="77777777" w:rsidR="00F72C2B" w:rsidRDefault="00F72C2B" w:rsidP="00F72C2B">
            <w:pPr>
              <w:rPr>
                <w:rFonts w:eastAsia="宋体"/>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lastRenderedPageBreak/>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1"/>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宋体"/>
                <w:i/>
                <w:lang w:eastAsia="zh-CN"/>
              </w:rPr>
              <w:t>The CN indicates whether LP-WUS capable UE(s) is/are allowed to use the LP-WUS functionality by NAS signaling: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1"/>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NTT docomo</w:t>
            </w:r>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gNB implementation. For the case of Emergency call back gNB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gNB implementation. So Option1 is suitable for the gNB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lastRenderedPageBreak/>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宋体"/>
                <w:lang w:eastAsia="zh-CN"/>
              </w:rPr>
            </w:pPr>
            <w:r>
              <w:lastRenderedPageBreak/>
              <w:t>Interdigital</w:t>
            </w:r>
          </w:p>
        </w:tc>
        <w:tc>
          <w:tcPr>
            <w:tcW w:w="1559" w:type="dxa"/>
          </w:tcPr>
          <w:p w14:paraId="42022769" w14:textId="086A7900" w:rsidR="00A42314" w:rsidRDefault="00A42314" w:rsidP="00A42314">
            <w:pPr>
              <w:rPr>
                <w:rFonts w:eastAsia="宋体"/>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gNB.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宋体"/>
                <w:lang w:eastAsia="zh-CN"/>
              </w:rPr>
            </w:pPr>
            <w:r>
              <w:t>Huawei/HiSilicon</w:t>
            </w:r>
          </w:p>
        </w:tc>
        <w:tc>
          <w:tcPr>
            <w:tcW w:w="1559" w:type="dxa"/>
          </w:tcPr>
          <w:p w14:paraId="0992E499" w14:textId="6F11626E" w:rsidR="002B4BAA" w:rsidRDefault="002B4BAA" w:rsidP="002B4BAA">
            <w:pPr>
              <w:rPr>
                <w:rFonts w:eastAsia="宋体"/>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6"/>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6"/>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宋体"/>
                <w:lang w:eastAsia="zh-CN"/>
              </w:rPr>
            </w:pPr>
            <w:r>
              <w:rPr>
                <w:rFonts w:eastAsia="宋体"/>
                <w:lang w:eastAsia="zh-CN"/>
              </w:rPr>
              <w:t>Nokia</w:t>
            </w:r>
          </w:p>
        </w:tc>
        <w:tc>
          <w:tcPr>
            <w:tcW w:w="1559" w:type="dxa"/>
          </w:tcPr>
          <w:p w14:paraId="544EF440" w14:textId="77777777" w:rsidR="004131BF" w:rsidRDefault="004131BF">
            <w:pPr>
              <w:rPr>
                <w:rFonts w:eastAsia="宋体"/>
                <w:lang w:eastAsia="zh-CN"/>
              </w:rPr>
            </w:pPr>
          </w:p>
        </w:tc>
        <w:tc>
          <w:tcPr>
            <w:tcW w:w="6092" w:type="dxa"/>
            <w:hideMark/>
          </w:tcPr>
          <w:p w14:paraId="73FD178F" w14:textId="77777777" w:rsidR="004131BF" w:rsidRDefault="004131BF">
            <w:r>
              <w:t xml:space="preserve">In case RAN2 agrees to have dedicated signaling support for LP-WUS then only option 1 can be considered in RAN2. Option 3 requires NAS signaling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宋体"/>
                <w:lang w:eastAsia="zh-CN"/>
              </w:rPr>
            </w:pPr>
            <w:r>
              <w:rPr>
                <w:rFonts w:eastAsia="宋体" w:hint="eastAsia"/>
                <w:lang w:val="en-US" w:eastAsia="zh-CN"/>
              </w:rPr>
              <w:t>ZTE</w:t>
            </w:r>
          </w:p>
        </w:tc>
        <w:tc>
          <w:tcPr>
            <w:tcW w:w="1559" w:type="dxa"/>
          </w:tcPr>
          <w:p w14:paraId="29E3A577" w14:textId="677D36F6" w:rsidR="00F72C2B" w:rsidRPr="00AE1F58" w:rsidRDefault="00F72C2B" w:rsidP="00F72C2B">
            <w:pPr>
              <w:rPr>
                <w:rFonts w:eastAsia="宋体"/>
                <w:lang w:eastAsia="zh-CN"/>
              </w:rPr>
            </w:pPr>
            <w:r>
              <w:rPr>
                <w:rFonts w:eastAsia="宋体" w:hint="eastAsia"/>
                <w:lang w:val="en-US" w:eastAsia="zh-CN"/>
              </w:rPr>
              <w:t>Option 1</w:t>
            </w:r>
          </w:p>
        </w:tc>
        <w:tc>
          <w:tcPr>
            <w:tcW w:w="6092" w:type="dxa"/>
          </w:tcPr>
          <w:p w14:paraId="49B2786C" w14:textId="77777777" w:rsidR="00F72C2B" w:rsidRDefault="00F72C2B" w:rsidP="00F72C2B">
            <w:pPr>
              <w:rPr>
                <w:rFonts w:eastAsia="宋体"/>
                <w:lang w:val="en-US" w:eastAsia="zh-CN"/>
              </w:rPr>
            </w:pPr>
            <w:r>
              <w:rPr>
                <w:rFonts w:eastAsia="宋体" w:hint="eastAsia"/>
                <w:lang w:val="en-US" w:eastAsia="zh-CN"/>
              </w:rPr>
              <w:t>Since LP-WUS is sent from gNB to UE, NAS signalling method will impact SA2, RAN3 and RAN2 specification, it</w:t>
            </w:r>
            <w:r>
              <w:rPr>
                <w:rFonts w:eastAsia="宋体"/>
                <w:lang w:val="en-US" w:eastAsia="zh-CN"/>
              </w:rPr>
              <w:t>’</w:t>
            </w:r>
            <w:r>
              <w:rPr>
                <w:rFonts w:eastAsia="宋体" w:hint="eastAsia"/>
                <w:lang w:val="en-US" w:eastAsia="zh-CN"/>
              </w:rPr>
              <w:t>s complicated and out of RAN2 scope. So, Option 2 is not prefer.</w:t>
            </w:r>
          </w:p>
          <w:p w14:paraId="1D4FA0F9" w14:textId="5EC2A724" w:rsidR="00F72C2B" w:rsidRPr="00AE1F58" w:rsidRDefault="00F72C2B" w:rsidP="00F72C2B">
            <w:pPr>
              <w:rPr>
                <w:rFonts w:eastAsia="宋体"/>
                <w:lang w:eastAsia="zh-CN"/>
              </w:rPr>
            </w:pPr>
            <w:r>
              <w:rPr>
                <w:rFonts w:eastAsia="宋体" w:hint="eastAsia"/>
                <w:lang w:val="en-US" w:eastAsia="zh-CN"/>
              </w:rPr>
              <w:t xml:space="preserve">WE prefer a per UE method for </w:t>
            </w:r>
            <w:r>
              <w:t>enabling/disabling LP-WUS monitoring in IDLE/INACTIVE</w:t>
            </w:r>
            <w:r>
              <w:rPr>
                <w:rFonts w:eastAsia="宋体" w:hint="eastAsia"/>
                <w:lang w:val="en-US" w:eastAsia="zh-CN"/>
              </w:rPr>
              <w:t>, to avoid LP_WUS impact on delay critical service, so option 3 is not prefer.</w:t>
            </w:r>
            <w:r>
              <w:t xml:space="preserve"> </w:t>
            </w:r>
          </w:p>
        </w:tc>
      </w:tr>
      <w:tr w:rsidR="00F72C2B" w:rsidRPr="003F5FDC" w14:paraId="3CA7808C" w14:textId="77777777" w:rsidTr="00094BF7">
        <w:tc>
          <w:tcPr>
            <w:tcW w:w="1980" w:type="dxa"/>
          </w:tcPr>
          <w:p w14:paraId="15417BB3" w14:textId="77777777" w:rsidR="00F72C2B" w:rsidRPr="00853CC2" w:rsidRDefault="00F72C2B" w:rsidP="00F72C2B">
            <w:pPr>
              <w:rPr>
                <w:rFonts w:eastAsia="宋体"/>
                <w:lang w:eastAsia="zh-CN"/>
              </w:rPr>
            </w:pPr>
          </w:p>
        </w:tc>
        <w:tc>
          <w:tcPr>
            <w:tcW w:w="1559" w:type="dxa"/>
          </w:tcPr>
          <w:p w14:paraId="0C332E63" w14:textId="77777777" w:rsidR="00F72C2B" w:rsidRDefault="00F72C2B" w:rsidP="00F72C2B">
            <w:pPr>
              <w:rPr>
                <w:rFonts w:eastAsia="宋体"/>
                <w:lang w:eastAsia="zh-CN"/>
              </w:rPr>
            </w:pPr>
          </w:p>
        </w:tc>
        <w:tc>
          <w:tcPr>
            <w:tcW w:w="6092" w:type="dxa"/>
          </w:tcPr>
          <w:p w14:paraId="228753D3" w14:textId="77777777" w:rsidR="00F72C2B" w:rsidRDefault="00F72C2B" w:rsidP="00F72C2B">
            <w:pPr>
              <w:rPr>
                <w:rFonts w:eastAsia="宋体"/>
                <w:lang w:eastAsia="zh-CN"/>
              </w:rPr>
            </w:pPr>
          </w:p>
        </w:tc>
      </w:tr>
      <w:tr w:rsidR="00F72C2B" w:rsidRPr="003F5FDC" w14:paraId="639DCEA2" w14:textId="77777777" w:rsidTr="00094BF7">
        <w:tc>
          <w:tcPr>
            <w:tcW w:w="1980" w:type="dxa"/>
          </w:tcPr>
          <w:p w14:paraId="00FB4BDC" w14:textId="77777777" w:rsidR="00F72C2B" w:rsidRDefault="00F72C2B" w:rsidP="00F72C2B">
            <w:pPr>
              <w:rPr>
                <w:rFonts w:eastAsia="宋体"/>
                <w:lang w:eastAsia="zh-CN"/>
              </w:rPr>
            </w:pPr>
          </w:p>
        </w:tc>
        <w:tc>
          <w:tcPr>
            <w:tcW w:w="1559" w:type="dxa"/>
          </w:tcPr>
          <w:p w14:paraId="4399F7F6" w14:textId="77777777" w:rsidR="00F72C2B" w:rsidRDefault="00F72C2B" w:rsidP="00F72C2B">
            <w:pPr>
              <w:rPr>
                <w:rFonts w:eastAsia="宋体"/>
                <w:lang w:eastAsia="zh-CN"/>
              </w:rPr>
            </w:pPr>
          </w:p>
        </w:tc>
        <w:tc>
          <w:tcPr>
            <w:tcW w:w="6092" w:type="dxa"/>
          </w:tcPr>
          <w:p w14:paraId="04CA6553" w14:textId="77777777" w:rsidR="00F72C2B" w:rsidRDefault="00F72C2B" w:rsidP="00F72C2B">
            <w:pPr>
              <w:rPr>
                <w:rFonts w:eastAsia="宋体"/>
                <w:lang w:eastAsia="zh-CN"/>
              </w:rPr>
            </w:pPr>
          </w:p>
        </w:tc>
      </w:tr>
      <w:tr w:rsidR="00F72C2B" w:rsidRPr="003F5FDC" w14:paraId="5F185F9E" w14:textId="77777777" w:rsidTr="00094BF7">
        <w:tc>
          <w:tcPr>
            <w:tcW w:w="1980" w:type="dxa"/>
          </w:tcPr>
          <w:p w14:paraId="380D0082" w14:textId="77777777" w:rsidR="00F72C2B" w:rsidRPr="00B55583" w:rsidRDefault="00F72C2B" w:rsidP="00F72C2B">
            <w:pPr>
              <w:rPr>
                <w:rFonts w:eastAsia="宋体"/>
                <w:lang w:val="en-US" w:eastAsia="zh-CN"/>
              </w:rPr>
            </w:pPr>
          </w:p>
        </w:tc>
        <w:tc>
          <w:tcPr>
            <w:tcW w:w="1559" w:type="dxa"/>
          </w:tcPr>
          <w:p w14:paraId="65D94507" w14:textId="77777777" w:rsidR="00F72C2B" w:rsidRPr="00B55583" w:rsidRDefault="00F72C2B" w:rsidP="00F72C2B">
            <w:pPr>
              <w:rPr>
                <w:rFonts w:eastAsia="宋体"/>
                <w:lang w:val="en-US" w:eastAsia="zh-CN"/>
              </w:rPr>
            </w:pPr>
          </w:p>
        </w:tc>
        <w:tc>
          <w:tcPr>
            <w:tcW w:w="6092" w:type="dxa"/>
          </w:tcPr>
          <w:p w14:paraId="5B3A1A86" w14:textId="77777777" w:rsidR="00F72C2B" w:rsidRDefault="00F72C2B" w:rsidP="00F72C2B">
            <w:pPr>
              <w:rPr>
                <w:rFonts w:eastAsia="宋体"/>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lastRenderedPageBreak/>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6"/>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af6"/>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af6"/>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B3BA" w14:textId="77777777" w:rsidR="00DE0819" w:rsidRDefault="00DE0819">
      <w:pPr>
        <w:spacing w:after="0" w:line="240" w:lineRule="auto"/>
      </w:pPr>
      <w:r>
        <w:separator/>
      </w:r>
    </w:p>
  </w:endnote>
  <w:endnote w:type="continuationSeparator" w:id="0">
    <w:p w14:paraId="63837D93" w14:textId="77777777" w:rsidR="00DE0819" w:rsidRDefault="00DE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483438" w:rsidRDefault="00483438">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2AD3" w14:textId="77777777" w:rsidR="00DE0819" w:rsidRDefault="00DE0819">
      <w:pPr>
        <w:spacing w:after="0" w:line="240" w:lineRule="auto"/>
      </w:pPr>
      <w:r>
        <w:separator/>
      </w:r>
    </w:p>
  </w:footnote>
  <w:footnote w:type="continuationSeparator" w:id="0">
    <w:p w14:paraId="3FC918E7" w14:textId="77777777" w:rsidR="00DE0819" w:rsidRDefault="00DE0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UnresolvedMention">
    <w:name w:val="Unresolved Mention"/>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C5BC6ED-0859-4E9E-BE16-7A7FB90C87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7</Pages>
  <Words>1871</Words>
  <Characters>10665</Characters>
  <Application>Microsoft Office Word</Application>
  <DocSecurity>0</DocSecurity>
  <Lines>88</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ZTE(Yuan)</cp:lastModifiedBy>
  <cp:revision>5</cp:revision>
  <cp:lastPrinted>2025-05-06T09:43:00Z</cp:lastPrinted>
  <dcterms:created xsi:type="dcterms:W3CDTF">2025-05-21T08:36:00Z</dcterms:created>
  <dcterms:modified xsi:type="dcterms:W3CDTF">2025-05-21T09:07:00Z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