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ACBA6" w14:textId="237BB8B3" w:rsidR="00A45E07" w:rsidRPr="00B266B0" w:rsidRDefault="00A45E07" w:rsidP="00A45E0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8B0A4A">
        <w:rPr>
          <w:bCs/>
          <w:noProof w:val="0"/>
          <w:sz w:val="24"/>
          <w:szCs w:val="24"/>
        </w:rPr>
        <w:t>30</w:t>
      </w:r>
      <w:r w:rsidRPr="00B266B0">
        <w:rPr>
          <w:bCs/>
          <w:noProof w:val="0"/>
          <w:sz w:val="24"/>
          <w:szCs w:val="24"/>
        </w:rPr>
        <w:tab/>
      </w:r>
      <w:r w:rsidRPr="003D7CA7">
        <w:rPr>
          <w:bCs/>
          <w:noProof w:val="0"/>
          <w:sz w:val="24"/>
          <w:szCs w:val="24"/>
        </w:rPr>
        <w:t>R2-25</w:t>
      </w:r>
      <w:r w:rsidR="00721DF3">
        <w:rPr>
          <w:bCs/>
          <w:noProof w:val="0"/>
          <w:sz w:val="24"/>
          <w:szCs w:val="24"/>
        </w:rPr>
        <w:t>04413</w:t>
      </w:r>
    </w:p>
    <w:p w14:paraId="75A36057" w14:textId="395A2EFA" w:rsidR="00A45E07" w:rsidRPr="00E437B1" w:rsidRDefault="00697C69" w:rsidP="00A45E07">
      <w:pPr>
        <w:pStyle w:val="Header"/>
        <w:tabs>
          <w:tab w:val="right" w:pos="9641"/>
        </w:tabs>
        <w:rPr>
          <w:sz w:val="24"/>
        </w:rPr>
      </w:pPr>
      <w:r>
        <w:rPr>
          <w:sz w:val="24"/>
        </w:rPr>
        <w:t xml:space="preserve">St. Julian’s, </w:t>
      </w:r>
      <w:r w:rsidR="008B0A4A">
        <w:rPr>
          <w:sz w:val="24"/>
        </w:rPr>
        <w:t>Malta,19</w:t>
      </w:r>
      <w:r w:rsidR="00800F03" w:rsidRPr="00A13518">
        <w:rPr>
          <w:sz w:val="24"/>
          <w:vertAlign w:val="superscript"/>
        </w:rPr>
        <w:t>th</w:t>
      </w:r>
      <w:r w:rsidR="00800F03">
        <w:rPr>
          <w:sz w:val="24"/>
        </w:rPr>
        <w:t xml:space="preserve"> </w:t>
      </w:r>
      <w:r w:rsidR="00A45E07" w:rsidRPr="00E437B1">
        <w:rPr>
          <w:sz w:val="24"/>
        </w:rPr>
        <w:t xml:space="preserve"> – </w:t>
      </w:r>
      <w:r w:rsidR="008B0A4A">
        <w:rPr>
          <w:sz w:val="24"/>
        </w:rPr>
        <w:t>23</w:t>
      </w:r>
      <w:r w:rsidR="008B0A4A">
        <w:rPr>
          <w:sz w:val="24"/>
          <w:vertAlign w:val="superscript"/>
        </w:rPr>
        <w:t>rd</w:t>
      </w:r>
      <w:r w:rsidR="00800F03">
        <w:rPr>
          <w:sz w:val="24"/>
        </w:rPr>
        <w:t xml:space="preserve"> </w:t>
      </w:r>
      <w:r w:rsidR="00A45E07" w:rsidRPr="00E437B1">
        <w:rPr>
          <w:sz w:val="24"/>
        </w:rPr>
        <w:t xml:space="preserve"> </w:t>
      </w:r>
      <w:r w:rsidR="008B0A4A">
        <w:rPr>
          <w:sz w:val="24"/>
        </w:rPr>
        <w:t>May</w:t>
      </w:r>
      <w:r w:rsidR="00800F03">
        <w:rPr>
          <w:sz w:val="24"/>
        </w:rPr>
        <w:t xml:space="preserve">, </w:t>
      </w:r>
      <w:r w:rsidR="00A45E07" w:rsidRPr="00E437B1">
        <w:rPr>
          <w:sz w:val="24"/>
        </w:rPr>
        <w:t xml:space="preserve"> 2025</w:t>
      </w:r>
      <w:r w:rsidR="00A45E07" w:rsidRPr="00E437B1">
        <w:rPr>
          <w:sz w:val="24"/>
        </w:rPr>
        <w:tab/>
      </w:r>
    </w:p>
    <w:p w14:paraId="17B3DCEC" w14:textId="77777777" w:rsidR="00A45E07" w:rsidRPr="00E437B1" w:rsidRDefault="00A45E07" w:rsidP="00A45E07">
      <w:pPr>
        <w:pStyle w:val="Header"/>
        <w:rPr>
          <w:sz w:val="24"/>
        </w:rPr>
      </w:pPr>
    </w:p>
    <w:p w14:paraId="6A2F1230" w14:textId="77777777" w:rsidR="00A45E07" w:rsidRPr="00E437B1" w:rsidRDefault="00A45E07" w:rsidP="00A45E07">
      <w:pPr>
        <w:pStyle w:val="CRCoverPage"/>
        <w:tabs>
          <w:tab w:val="left" w:pos="1985"/>
        </w:tabs>
        <w:rPr>
          <w:rFonts w:cs="Arial"/>
          <w:b/>
          <w:sz w:val="24"/>
          <w:lang w:eastAsia="ja-JP"/>
        </w:rPr>
      </w:pPr>
      <w:r w:rsidRPr="00E437B1">
        <w:rPr>
          <w:rFonts w:cs="Arial"/>
          <w:b/>
          <w:sz w:val="24"/>
        </w:rPr>
        <w:t>Agenda item:</w:t>
      </w:r>
      <w:r w:rsidRPr="00E437B1">
        <w:rPr>
          <w:rFonts w:cs="Arial"/>
          <w:b/>
          <w:sz w:val="24"/>
        </w:rPr>
        <w:tab/>
      </w:r>
      <w:r w:rsidRPr="00E437B1">
        <w:rPr>
          <w:rFonts w:cs="Arial"/>
          <w:b/>
          <w:sz w:val="24"/>
          <w:lang w:eastAsia="ja-JP"/>
        </w:rPr>
        <w:t>8.1.2.2</w:t>
      </w:r>
    </w:p>
    <w:p w14:paraId="2AD9AE14" w14:textId="77777777" w:rsidR="00A45E07" w:rsidRPr="00B266B0" w:rsidRDefault="00A45E07" w:rsidP="00A45E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BF80BA8" w14:textId="0330A444" w:rsidR="00A45E07" w:rsidRDefault="00A45E07" w:rsidP="00A45E0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LCM for UE-side Beam Management</w:t>
      </w:r>
    </w:p>
    <w:p w14:paraId="75E4166D" w14:textId="77777777" w:rsidR="00A45E07" w:rsidRPr="00B266B0" w:rsidRDefault="00A45E07" w:rsidP="00A45E07">
      <w:pPr>
        <w:ind w:left="1985" w:hanging="1985"/>
        <w:rPr>
          <w:rFonts w:ascii="Arial" w:hAnsi="Arial" w:cs="Arial"/>
          <w:b/>
          <w:bCs/>
          <w:sz w:val="24"/>
        </w:rPr>
      </w:pPr>
      <w:r>
        <w:rPr>
          <w:rFonts w:ascii="Arial" w:hAnsi="Arial" w:cs="Arial"/>
          <w:b/>
          <w:bCs/>
          <w:sz w:val="24"/>
        </w:rPr>
        <w:t>WID/SID:</w:t>
      </w:r>
      <w:r>
        <w:rPr>
          <w:rFonts w:ascii="Arial" w:hAnsi="Arial" w:cs="Arial"/>
          <w:b/>
          <w:bCs/>
          <w:sz w:val="24"/>
        </w:rPr>
        <w:tab/>
        <w:t>NR_AIML_air-Core</w:t>
      </w:r>
      <w:r w:rsidRPr="00112F1A">
        <w:rPr>
          <w:rFonts w:ascii="Arial" w:hAnsi="Arial" w:cs="Arial"/>
          <w:b/>
          <w:bCs/>
          <w:sz w:val="24"/>
        </w:rPr>
        <w:t xml:space="preserve"> </w:t>
      </w:r>
      <w:r>
        <w:rPr>
          <w:rFonts w:ascii="Arial" w:hAnsi="Arial" w:cs="Arial"/>
          <w:b/>
          <w:bCs/>
          <w:sz w:val="24"/>
        </w:rPr>
        <w:t>- Release 19</w:t>
      </w:r>
    </w:p>
    <w:p w14:paraId="4A3D511A" w14:textId="77777777" w:rsidR="00A45E07" w:rsidRPr="00B266B0" w:rsidRDefault="00A45E07" w:rsidP="00A45E0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D5D35E0" w14:textId="77777777" w:rsidR="00A45E07" w:rsidRDefault="00A45E07" w:rsidP="006F7715">
      <w:pPr>
        <w:pStyle w:val="Heading1"/>
      </w:pPr>
      <w:r w:rsidRPr="006E13D1">
        <w:t>1</w:t>
      </w:r>
      <w:r w:rsidRPr="006E13D1">
        <w:tab/>
      </w:r>
      <w:r w:rsidRPr="00294CCF">
        <w:t>Introduction</w:t>
      </w:r>
    </w:p>
    <w:p w14:paraId="6BE8ADA3" w14:textId="716CF3AC" w:rsidR="00A45E07" w:rsidRDefault="00A45E07" w:rsidP="00540186">
      <w:r>
        <w:t xml:space="preserve">In this paper, we </w:t>
      </w:r>
      <w:r w:rsidR="00F46BBA">
        <w:t>discuss</w:t>
      </w:r>
      <w:r>
        <w:t xml:space="preserve"> </w:t>
      </w:r>
      <w:r w:rsidR="00EB0E14">
        <w:t xml:space="preserve">open </w:t>
      </w:r>
      <w:r>
        <w:t xml:space="preserve">issues </w:t>
      </w:r>
      <w:r w:rsidR="00EB0E14">
        <w:t>as well as FFS</w:t>
      </w:r>
      <w:r w:rsidR="005520BA">
        <w:t xml:space="preserve"> items</w:t>
      </w:r>
      <w:r w:rsidR="008E397C">
        <w:t xml:space="preserve"> from previous meeting </w:t>
      </w:r>
      <w:r>
        <w:t>related to functionality-based LCM for UE-side AI/ML beam management</w:t>
      </w:r>
      <w:r w:rsidR="00CA2AB1">
        <w:t xml:space="preserve"> regarding applicability reporting, management of poorly performing configurations, </w:t>
      </w:r>
      <w:r w:rsidR="00C173F5">
        <w:t>and</w:t>
      </w:r>
      <w:r w:rsidR="00CA2AB1">
        <w:t xml:space="preserve"> </w:t>
      </w:r>
      <w:r w:rsidR="00C173F5">
        <w:t xml:space="preserve">an indication of active data collection options for </w:t>
      </w:r>
      <w:r w:rsidR="00CA2AB1">
        <w:t>UE requests for data collection</w:t>
      </w:r>
      <w:r w:rsidR="00A56BA3">
        <w:t>, and performance monitoring</w:t>
      </w:r>
      <w:r>
        <w:t xml:space="preserve">. </w:t>
      </w:r>
      <w:r w:rsidR="00914AFE">
        <w:t xml:space="preserve">This </w:t>
      </w:r>
      <w:r w:rsidR="00FE515F">
        <w:t xml:space="preserve">document </w:t>
      </w:r>
      <w:r w:rsidR="00AD15CC">
        <w:t>concludes with</w:t>
      </w:r>
      <w:r w:rsidR="00A76367">
        <w:t xml:space="preserve"> our </w:t>
      </w:r>
      <w:r w:rsidR="00F11898">
        <w:t xml:space="preserve">Stage 2 </w:t>
      </w:r>
      <w:r w:rsidR="0015612D">
        <w:t xml:space="preserve">text proposal </w:t>
      </w:r>
      <w:r w:rsidR="00850190">
        <w:t xml:space="preserve">concerning </w:t>
      </w:r>
      <w:r w:rsidR="00F157F2">
        <w:t>active, inapplicable periodic beam prediction configurations in the A</w:t>
      </w:r>
      <w:r w:rsidR="00850190">
        <w:t xml:space="preserve">pplicability Reporting </w:t>
      </w:r>
      <w:r w:rsidR="00A31117">
        <w:t>Clause detailed</w:t>
      </w:r>
      <w:r w:rsidR="00114200">
        <w:t xml:space="preserve"> in Section 7.</w:t>
      </w:r>
    </w:p>
    <w:p w14:paraId="546FF2E8" w14:textId="50C4C7E7" w:rsidR="00B71FD3" w:rsidRDefault="00B71FD3" w:rsidP="00A13518">
      <w:pPr>
        <w:pStyle w:val="Heading1"/>
      </w:pPr>
      <w:r>
        <w:t>2</w:t>
      </w:r>
      <w:r>
        <w:tab/>
        <w:t>Open Issues</w:t>
      </w:r>
    </w:p>
    <w:p w14:paraId="05AE5228" w14:textId="068949A9" w:rsidR="005520BA" w:rsidRPr="005520BA" w:rsidRDefault="005520BA" w:rsidP="00540186">
      <w:r>
        <w:t>The rapporteur provided a list of open issues for each agenda item</w:t>
      </w:r>
      <w:r w:rsidR="00BF1C55">
        <w:t xml:space="preserve"> prior to </w:t>
      </w:r>
      <w:r w:rsidR="00332A92">
        <w:t>this meeting</w:t>
      </w:r>
      <w:r w:rsidR="002C2043">
        <w:t>, RAN2#130</w:t>
      </w:r>
      <w:r w:rsidR="0077005B">
        <w:t xml:space="preserve">, </w:t>
      </w:r>
      <w:hyperlink r:id="rId13" w:history="1">
        <w:r w:rsidR="0077005B" w:rsidRPr="00C22B06">
          <w:rPr>
            <w:rStyle w:val="Hyperlink"/>
          </w:rPr>
          <w:t>here</w:t>
        </w:r>
      </w:hyperlink>
      <w:r>
        <w:t xml:space="preserve">. We will discuss those relevant to 8.1.2.2 </w:t>
      </w:r>
      <w:r w:rsidR="00A771FD">
        <w:t>in this section</w:t>
      </w:r>
      <w:r>
        <w:t>.</w:t>
      </w:r>
    </w:p>
    <w:p w14:paraId="045415EB" w14:textId="5F6577AB" w:rsidR="002C7C6D" w:rsidRDefault="005D0A74" w:rsidP="00540186">
      <w:pPr>
        <w:pStyle w:val="Heading2"/>
      </w:pPr>
      <w:r>
        <w:t>2.1</w:t>
      </w:r>
      <w:r>
        <w:tab/>
        <w:t>(RRC-1) Cause of inapplicability</w:t>
      </w:r>
    </w:p>
    <w:p w14:paraId="63FB767B" w14:textId="51FD6FD7" w:rsidR="004324F3" w:rsidRDefault="0071555D" w:rsidP="00540186">
      <w:pPr>
        <w:pBdr>
          <w:top w:val="single" w:sz="4" w:space="1" w:color="auto"/>
          <w:left w:val="single" w:sz="4" w:space="4" w:color="auto"/>
          <w:bottom w:val="single" w:sz="4" w:space="1" w:color="auto"/>
          <w:right w:val="single" w:sz="4" w:space="4" w:color="auto"/>
        </w:pBdr>
        <w:rPr>
          <w:lang w:eastAsia="sv-SE"/>
        </w:rPr>
      </w:pPr>
      <w:r>
        <w:rPr>
          <w:b/>
          <w:bCs/>
          <w:lang w:eastAsia="sv-SE"/>
        </w:rPr>
        <w:t xml:space="preserve">RRC-1 </w:t>
      </w:r>
      <w:r w:rsidR="004324F3" w:rsidRPr="00B07E09">
        <w:rPr>
          <w:b/>
          <w:bCs/>
          <w:lang w:eastAsia="sv-SE"/>
        </w:rPr>
        <w:t>Issue description:</w:t>
      </w:r>
      <w:r w:rsidR="004324F3">
        <w:rPr>
          <w:b/>
          <w:bCs/>
          <w:lang w:eastAsia="sv-SE"/>
        </w:rPr>
        <w:t xml:space="preserve"> </w:t>
      </w:r>
      <w:r w:rsidR="004324F3" w:rsidRPr="00A16165">
        <w:rPr>
          <w:lang w:eastAsia="sv-SE"/>
        </w:rPr>
        <w:t>It is</w:t>
      </w:r>
      <w:r w:rsidR="004324F3">
        <w:rPr>
          <w:b/>
          <w:bCs/>
          <w:lang w:eastAsia="sv-SE"/>
        </w:rPr>
        <w:t xml:space="preserve"> </w:t>
      </w:r>
      <w:r w:rsidR="004324F3" w:rsidRPr="00D06061">
        <w:rPr>
          <w:lang w:eastAsia="sv-SE"/>
        </w:rPr>
        <w:t>FFS how to define the simple cause value of inapplicability related to model availability and how to capture it in the spec</w:t>
      </w:r>
      <w:r w:rsidR="004324F3">
        <w:rPr>
          <w:lang w:eastAsia="sv-SE"/>
        </w:rPr>
        <w:t>.</w:t>
      </w:r>
    </w:p>
    <w:p w14:paraId="74017157" w14:textId="2C723B73" w:rsidR="00302D13" w:rsidRDefault="00BA3649" w:rsidP="009D1295">
      <w:r>
        <w:t xml:space="preserve">An AI/ML-enabled configuration could be determined to be inapplicable </w:t>
      </w:r>
      <w:r w:rsidR="004324F3">
        <w:t>in three</w:t>
      </w:r>
      <w:r w:rsidR="00B82107">
        <w:t xml:space="preserve"> main cases</w:t>
      </w:r>
      <w:r w:rsidR="00FD708D">
        <w:t>.</w:t>
      </w:r>
      <w:r w:rsidR="00302D13">
        <w:t xml:space="preserve"> In all cases, the UE c</w:t>
      </w:r>
      <w:r w:rsidR="00F53543">
        <w:t>onsidering the configuration, NW-side additional condition</w:t>
      </w:r>
      <w:r w:rsidR="003A0C75">
        <w:t>s</w:t>
      </w:r>
      <w:r w:rsidR="00F53543">
        <w:t xml:space="preserve"> (or associated ID</w:t>
      </w:r>
      <w:r w:rsidR="003A0C75">
        <w:t>s</w:t>
      </w:r>
      <w:r w:rsidR="00F53543">
        <w:t xml:space="preserve">), if provided, and </w:t>
      </w:r>
      <w:r w:rsidR="003A0C75">
        <w:t>UE-side additional conditions</w:t>
      </w:r>
      <w:r w:rsidR="00302D13">
        <w:t>.</w:t>
      </w:r>
    </w:p>
    <w:p w14:paraId="71BDE116" w14:textId="6FFFCABD" w:rsidR="00FD708D" w:rsidRDefault="00302D13" w:rsidP="009D1295">
      <w:pPr>
        <w:pStyle w:val="ListParagraph"/>
        <w:numPr>
          <w:ilvl w:val="0"/>
          <w:numId w:val="49"/>
        </w:numPr>
      </w:pPr>
      <w:r>
        <w:t>T</w:t>
      </w:r>
      <w:r w:rsidR="003A0C75">
        <w:t>he UE was unable to identify a model</w:t>
      </w:r>
      <w:r w:rsidR="002F7810">
        <w:t xml:space="preserve"> in the UE</w:t>
      </w:r>
      <w:r>
        <w:t xml:space="preserve"> or in a model store available to the UE,</w:t>
      </w:r>
      <w:r w:rsidR="003A0C75">
        <w:t xml:space="preserve"> which could enable the configuration.</w:t>
      </w:r>
    </w:p>
    <w:p w14:paraId="18F9AE00" w14:textId="227B7482" w:rsidR="003A0C75" w:rsidRDefault="00022D81" w:rsidP="009D1295">
      <w:pPr>
        <w:pStyle w:val="ListParagraph"/>
        <w:numPr>
          <w:ilvl w:val="0"/>
          <w:numId w:val="49"/>
        </w:numPr>
      </w:pPr>
      <w:r>
        <w:t xml:space="preserve">The UE was unable to identify a model in the </w:t>
      </w:r>
      <w:r w:rsidR="00B82107">
        <w:t>UE but</w:t>
      </w:r>
      <w:r>
        <w:t xml:space="preserve"> was able to identify a model in a model store available to the UE, which could enable the configuration.</w:t>
      </w:r>
    </w:p>
    <w:p w14:paraId="226EAF4F" w14:textId="153EFC85" w:rsidR="001A5B44" w:rsidRDefault="001A5B44" w:rsidP="009D1295">
      <w:pPr>
        <w:pStyle w:val="ListParagraph"/>
        <w:numPr>
          <w:ilvl w:val="0"/>
          <w:numId w:val="49"/>
        </w:numPr>
      </w:pPr>
      <w:r>
        <w:t>The UE was able to identify a model in the UE or in a model store available to the UE, but due to performance constraints, it cannot run the model.</w:t>
      </w:r>
    </w:p>
    <w:p w14:paraId="30E361D8" w14:textId="5EAB0718" w:rsidR="00B82107" w:rsidRDefault="00B82107" w:rsidP="009D1295">
      <w:r>
        <w:t>In the first case, a model</w:t>
      </w:r>
      <w:r w:rsidR="005433CB">
        <w:t xml:space="preserve"> is not available in the UE or for transfer to the UE. We could consider this permanent inapplicability. In this context, permanent means in the time of an RRC session.</w:t>
      </w:r>
    </w:p>
    <w:p w14:paraId="73035C90" w14:textId="24CC0ABA" w:rsidR="005433CB" w:rsidRDefault="005433CB" w:rsidP="009D1295">
      <w:pPr>
        <w:rPr>
          <w:b/>
          <w:bCs/>
        </w:rPr>
      </w:pPr>
      <w:r w:rsidRPr="00540186">
        <w:rPr>
          <w:b/>
          <w:bCs/>
        </w:rPr>
        <w:t>Observation</w:t>
      </w:r>
      <w:r w:rsidR="008028FE">
        <w:rPr>
          <w:b/>
          <w:bCs/>
        </w:rPr>
        <w:t xml:space="preserve"> 1</w:t>
      </w:r>
      <w:r w:rsidRPr="00540186">
        <w:rPr>
          <w:b/>
          <w:bCs/>
        </w:rPr>
        <w:t>: A</w:t>
      </w:r>
      <w:r w:rsidR="00002DDA" w:rsidRPr="00540186">
        <w:rPr>
          <w:b/>
          <w:bCs/>
        </w:rPr>
        <w:t>n AI/ML-enabled</w:t>
      </w:r>
      <w:r w:rsidRPr="00540186">
        <w:rPr>
          <w:b/>
          <w:bCs/>
        </w:rPr>
        <w:t xml:space="preserve"> </w:t>
      </w:r>
      <w:r w:rsidR="00002DDA" w:rsidRPr="00540186">
        <w:rPr>
          <w:b/>
          <w:bCs/>
        </w:rPr>
        <w:t xml:space="preserve">configuration could be considered permanently inapplicable, in the context of an RRC session, if an applicable model neither exists in the UE nor </w:t>
      </w:r>
      <w:r w:rsidR="007C456D" w:rsidRPr="00540186">
        <w:rPr>
          <w:b/>
          <w:bCs/>
        </w:rPr>
        <w:t>in a model store available to the UE.</w:t>
      </w:r>
    </w:p>
    <w:p w14:paraId="2136D9B1" w14:textId="6B754FE0" w:rsidR="001A5B44" w:rsidRPr="001A5B44" w:rsidRDefault="001A5B44" w:rsidP="009D1295">
      <w:r w:rsidRPr="00540186">
        <w:t xml:space="preserve">In the second and third cases, </w:t>
      </w:r>
      <w:r>
        <w:t>the inapplicability is temporary, either resolved by downloading a model or by waiting for performance constraints to dissipate, e.g., by charging the device’s battery.</w:t>
      </w:r>
      <w:r w:rsidR="00233E32">
        <w:t xml:space="preserve"> To the NW, there is no actionable difference between the UE reporting inapplicability due to needing to download a model or </w:t>
      </w:r>
      <w:r w:rsidR="00E82663">
        <w:t>due to performance constraints since in the future, for both cases, the configuration could become applicable.</w:t>
      </w:r>
    </w:p>
    <w:p w14:paraId="1C02FF2C" w14:textId="08157954" w:rsidR="007C456D" w:rsidRPr="00540186" w:rsidRDefault="007C456D" w:rsidP="009D1295">
      <w:pPr>
        <w:rPr>
          <w:b/>
          <w:bCs/>
        </w:rPr>
      </w:pPr>
      <w:r w:rsidRPr="00540186">
        <w:rPr>
          <w:b/>
          <w:bCs/>
        </w:rPr>
        <w:t>Observation</w:t>
      </w:r>
      <w:r w:rsidR="008028FE">
        <w:rPr>
          <w:b/>
          <w:bCs/>
        </w:rPr>
        <w:t xml:space="preserve"> 2</w:t>
      </w:r>
      <w:r w:rsidRPr="00540186">
        <w:rPr>
          <w:b/>
          <w:bCs/>
        </w:rPr>
        <w:t>: An AI/ML-enabled configuration could be considered temporarily inapplicable in two cases: if the UE has</w:t>
      </w:r>
      <w:r w:rsidR="001A5B44" w:rsidRPr="00540186">
        <w:rPr>
          <w:b/>
          <w:bCs/>
        </w:rPr>
        <w:t xml:space="preserve"> access to a model store with an applicable model or if the reason for inapplicability is related to UE performance constraints such as processing capacity or battery capacity.</w:t>
      </w:r>
    </w:p>
    <w:p w14:paraId="0DD2258A" w14:textId="1ECFEDFF" w:rsidR="001A5B44" w:rsidRPr="00540186" w:rsidRDefault="001A5B44" w:rsidP="009D1295">
      <w:pPr>
        <w:rPr>
          <w:b/>
          <w:bCs/>
        </w:rPr>
      </w:pPr>
      <w:r w:rsidRPr="00540186">
        <w:rPr>
          <w:b/>
          <w:bCs/>
        </w:rPr>
        <w:t>Proposal</w:t>
      </w:r>
      <w:r w:rsidR="008028FE">
        <w:rPr>
          <w:b/>
          <w:bCs/>
        </w:rPr>
        <w:t xml:space="preserve"> 1</w:t>
      </w:r>
      <w:r w:rsidRPr="00540186">
        <w:rPr>
          <w:b/>
          <w:bCs/>
        </w:rPr>
        <w:t>:</w:t>
      </w:r>
      <w:r w:rsidR="00E82663" w:rsidRPr="00540186">
        <w:rPr>
          <w:b/>
          <w:bCs/>
        </w:rPr>
        <w:t xml:space="preserve"> Support two cause values for inapplicability: permanent inapplicability and temporary inapplicability.</w:t>
      </w:r>
      <w:r w:rsidR="00367356" w:rsidRPr="00540186">
        <w:rPr>
          <w:b/>
          <w:bCs/>
        </w:rPr>
        <w:t xml:space="preserve"> Setting the appropriate value is up to UE implementation.</w:t>
      </w:r>
    </w:p>
    <w:p w14:paraId="27A7F51B" w14:textId="692182C4" w:rsidR="005D0A74" w:rsidRDefault="005D0A74" w:rsidP="00540186">
      <w:pPr>
        <w:pStyle w:val="Heading2"/>
      </w:pPr>
      <w:r>
        <w:lastRenderedPageBreak/>
        <w:t>2.2</w:t>
      </w:r>
      <w:r>
        <w:tab/>
        <w:t xml:space="preserve">(RRC-2) Content of </w:t>
      </w:r>
      <w:r>
        <w:rPr>
          <w:i/>
          <w:iCs/>
        </w:rPr>
        <w:t>otherConfig</w:t>
      </w:r>
      <w:r>
        <w:t xml:space="preserve"> to enable applicability reporting in UAI</w:t>
      </w:r>
    </w:p>
    <w:p w14:paraId="15C82248" w14:textId="0A1F2A6F" w:rsidR="00BB4E0C" w:rsidRDefault="0071555D" w:rsidP="00540186">
      <w:pPr>
        <w:pBdr>
          <w:top w:val="single" w:sz="4" w:space="1" w:color="auto"/>
          <w:left w:val="single" w:sz="4" w:space="4" w:color="auto"/>
          <w:bottom w:val="single" w:sz="4" w:space="1" w:color="auto"/>
          <w:right w:val="single" w:sz="4" w:space="4" w:color="auto"/>
        </w:pBdr>
        <w:rPr>
          <w:lang w:eastAsia="sv-SE"/>
        </w:rPr>
      </w:pPr>
      <w:r>
        <w:rPr>
          <w:b/>
          <w:bCs/>
          <w:lang w:eastAsia="sv-SE"/>
        </w:rPr>
        <w:t xml:space="preserve">RRC-2 </w:t>
      </w:r>
      <w:r w:rsidR="00BB4E0C" w:rsidRPr="00B07E09">
        <w:rPr>
          <w:b/>
          <w:bCs/>
          <w:lang w:eastAsia="sv-SE"/>
        </w:rPr>
        <w:t>Issue description:</w:t>
      </w:r>
      <w:r w:rsidR="00BB4E0C">
        <w:rPr>
          <w:b/>
          <w:bCs/>
          <w:lang w:eastAsia="sv-SE"/>
        </w:rPr>
        <w:t xml:space="preserve"> </w:t>
      </w:r>
      <w:r w:rsidR="00BB4E0C" w:rsidRPr="001316FA">
        <w:rPr>
          <w:lang w:eastAsia="sv-SE"/>
        </w:rPr>
        <w:t xml:space="preserve">It </w:t>
      </w:r>
      <w:r w:rsidR="00BB4E0C">
        <w:rPr>
          <w:lang w:eastAsia="sv-SE"/>
        </w:rPr>
        <w:t xml:space="preserve">is not yet clarified what </w:t>
      </w:r>
      <w:r w:rsidR="00BB4E0C" w:rsidRPr="00874C64">
        <w:rPr>
          <w:lang w:eastAsia="sv-SE"/>
        </w:rPr>
        <w:t>the content (if any) of the UAI configuration</w:t>
      </w:r>
      <w:r w:rsidR="00BB4E0C">
        <w:rPr>
          <w:lang w:eastAsia="sv-SE"/>
        </w:rPr>
        <w:t xml:space="preserve"> should be,</w:t>
      </w:r>
      <w:r w:rsidR="00BB4E0C" w:rsidRPr="00874C64">
        <w:rPr>
          <w:lang w:eastAsia="sv-SE"/>
        </w:rPr>
        <w:t xml:space="preserve"> to enable the UE to report applicability</w:t>
      </w:r>
      <w:r w:rsidR="00BB4E0C">
        <w:rPr>
          <w:lang w:eastAsia="sv-SE"/>
        </w:rPr>
        <w:t xml:space="preserve"> in UAI, e.g. applicability updates/changes as agreed for option A. For instance, this configuration could be just a flag or could contain further information.</w:t>
      </w:r>
    </w:p>
    <w:p w14:paraId="287C1B9F" w14:textId="0126B8B8" w:rsidR="005D0A74" w:rsidRDefault="00C41B2E" w:rsidP="009D1295">
      <w:r>
        <w:t>We do not see the need to differentiate between reporting the applicability of configurations per use case. Therefore, there is no need to future-proof by creating use case-dependent configurations for enabling applicability reporting with UAI.</w:t>
      </w:r>
      <w:r w:rsidR="0071555D">
        <w:t xml:space="preserve"> We do not have any further agreements to make other aspects optional, such as reporting a cause. Therefore, </w:t>
      </w:r>
      <w:r w:rsidR="0071555D">
        <w:rPr>
          <w:i/>
          <w:iCs/>
        </w:rPr>
        <w:t>otherConfig</w:t>
      </w:r>
      <w:r w:rsidR="0071555D">
        <w:t xml:space="preserve"> can simply include a flag enabling or disabling the reporting of updates to applicability of AI/ML configurations.</w:t>
      </w:r>
    </w:p>
    <w:p w14:paraId="5C0F9C94" w14:textId="1CBE2BE6" w:rsidR="000B2739" w:rsidRPr="00540186" w:rsidRDefault="0071555D" w:rsidP="00540186">
      <w:pPr>
        <w:rPr>
          <w:b/>
          <w:bCs/>
        </w:rPr>
      </w:pPr>
      <w:r w:rsidRPr="00540186">
        <w:rPr>
          <w:b/>
          <w:bCs/>
        </w:rPr>
        <w:t>Proposal</w:t>
      </w:r>
      <w:r w:rsidR="008028FE">
        <w:rPr>
          <w:b/>
          <w:bCs/>
        </w:rPr>
        <w:t xml:space="preserve"> 2</w:t>
      </w:r>
      <w:r w:rsidRPr="00540186">
        <w:rPr>
          <w:b/>
          <w:bCs/>
        </w:rPr>
        <w:t>: Support only a flag to enable or disable the reporting of updates to applicability of AI/ML configurations. The absence of the configuration implies that reporting of updates to applicability is disabled.</w:t>
      </w:r>
    </w:p>
    <w:p w14:paraId="137B49E3" w14:textId="0E2FCE85" w:rsidR="00B949DE" w:rsidRDefault="00B949DE" w:rsidP="00B949DE">
      <w:pPr>
        <w:pStyle w:val="Heading2"/>
      </w:pPr>
      <w:r>
        <w:t>2.</w:t>
      </w:r>
      <w:r w:rsidR="008B7EEF">
        <w:t>3</w:t>
      </w:r>
      <w:r>
        <w:tab/>
        <w:t>(RRC-5) Reporting behaviour of inapplicable, active periodic inference configuration</w:t>
      </w:r>
    </w:p>
    <w:p w14:paraId="7BCE3A17" w14:textId="77777777" w:rsidR="00B949DE" w:rsidRDefault="00B949DE" w:rsidP="009D1295">
      <w:pPr>
        <w:pStyle w:val="Doc-text2"/>
        <w:ind w:left="0" w:firstLine="0"/>
        <w:rPr>
          <w:rFonts w:asciiTheme="majorBidi" w:hAnsiTheme="majorBidi" w:cstheme="majorBidi"/>
        </w:rPr>
      </w:pPr>
      <w:r w:rsidRPr="00996FAD">
        <w:rPr>
          <w:rFonts w:asciiTheme="majorBidi" w:hAnsiTheme="majorBidi" w:cstheme="majorBidi"/>
        </w:rPr>
        <w:t xml:space="preserve">In RAN2#129, it was agreed </w:t>
      </w:r>
      <w:r w:rsidRPr="00996FAD">
        <w:rPr>
          <w:rFonts w:asciiTheme="majorBidi" w:hAnsiTheme="majorBidi" w:cstheme="majorBidi"/>
          <w:i/>
          <w:iCs/>
        </w:rPr>
        <w:t>“if option A is configured in Step 3, for periodic CSI reporting, the UE autonomously activate the applicable functionalities upon reporting applicable functionalities via RRCReconfigurationComplete in step 4 (i.e. without need to wait RRCReconfiguration in Step 5)” [1]</w:t>
      </w:r>
      <w:r w:rsidRPr="00996FAD">
        <w:rPr>
          <w:rFonts w:asciiTheme="majorBidi" w:hAnsiTheme="majorBidi" w:cstheme="majorBidi"/>
        </w:rPr>
        <w:t>.  Moreover, according to the RAN2#128 agreement “</w:t>
      </w:r>
      <w:r w:rsidRPr="00996FAD">
        <w:rPr>
          <w:rFonts w:asciiTheme="majorBidi" w:hAnsiTheme="majorBidi" w:cstheme="majorBidi"/>
          <w:i/>
          <w:iCs/>
        </w:rPr>
        <w:t xml:space="preserve">when a functionality becomes non-applicable </w:t>
      </w:r>
      <w:r w:rsidRPr="00996FAD">
        <w:rPr>
          <w:rFonts w:asciiTheme="majorBidi" w:hAnsiTheme="majorBidi" w:cstheme="majorBidi"/>
          <w:i/>
          <w:iCs/>
          <w:u w:val="single"/>
        </w:rPr>
        <w:t>the UE doesn’t autonomously deactivate</w:t>
      </w:r>
      <w:r w:rsidRPr="00996FAD">
        <w:rPr>
          <w:rFonts w:asciiTheme="majorBidi" w:hAnsiTheme="majorBidi" w:cstheme="majorBidi"/>
          <w:i/>
          <w:iCs/>
        </w:rPr>
        <w:t>, the NW is expected to deactivate an activated functionality when it receives a report from UE that it is inapplicable</w:t>
      </w:r>
      <w:r w:rsidRPr="00996FAD">
        <w:rPr>
          <w:rFonts w:asciiTheme="majorBidi" w:hAnsiTheme="majorBidi" w:cstheme="majorBidi"/>
        </w:rPr>
        <w:t>” [2]. Additionally, in RAN2#129bis, it was agreed that</w:t>
      </w:r>
      <w:r w:rsidRPr="00F17D12">
        <w:rPr>
          <w:rFonts w:asciiTheme="majorBidi" w:hAnsiTheme="majorBidi" w:cstheme="majorBidi"/>
        </w:rPr>
        <w:t xml:space="preserve"> </w:t>
      </w:r>
      <w:r>
        <w:rPr>
          <w:rFonts w:asciiTheme="majorBidi" w:hAnsiTheme="majorBidi" w:cstheme="majorBidi"/>
        </w:rPr>
        <w:t xml:space="preserve">the </w:t>
      </w:r>
      <w:r w:rsidRPr="00996FAD">
        <w:rPr>
          <w:rFonts w:asciiTheme="majorBidi" w:hAnsiTheme="majorBidi" w:cstheme="majorBidi"/>
          <w:i/>
          <w:iCs/>
        </w:rPr>
        <w:t>UE shall maintain all the full inference configuration(s) no matter the full inference configuration is applicable or inapplicable until the network releases it explicitly upon receiving one or more full inference configuration(s) via RRCReconfiguration message</w:t>
      </w:r>
      <w:r>
        <w:rPr>
          <w:rFonts w:asciiTheme="majorBidi" w:hAnsiTheme="majorBidi" w:cstheme="majorBidi"/>
          <w:i/>
          <w:iCs/>
        </w:rPr>
        <w:t>.</w:t>
      </w:r>
    </w:p>
    <w:p w14:paraId="31978023" w14:textId="77777777" w:rsidR="00B949DE" w:rsidRPr="00724255" w:rsidRDefault="00B949DE" w:rsidP="009D1295">
      <w:pPr>
        <w:pStyle w:val="Doc-text2"/>
        <w:ind w:left="0" w:firstLine="0"/>
        <w:rPr>
          <w:rFonts w:asciiTheme="majorBidi" w:hAnsiTheme="majorBidi" w:cstheme="majorBidi"/>
        </w:rPr>
      </w:pPr>
    </w:p>
    <w:p w14:paraId="1C1B9B41" w14:textId="77777777" w:rsidR="00B949DE" w:rsidRDefault="00B949DE" w:rsidP="009D1295">
      <w:pPr>
        <w:rPr>
          <w:rFonts w:cstheme="minorBidi"/>
        </w:rPr>
      </w:pPr>
      <w:r>
        <w:t xml:space="preserve">However, even if a full inference configuration for beam prediction is provided with </w:t>
      </w:r>
      <w:r w:rsidRPr="000B6897">
        <w:rPr>
          <w:i/>
          <w:iCs/>
        </w:rPr>
        <w:t>reportConfigType</w:t>
      </w:r>
      <w:r>
        <w:t>=’</w:t>
      </w:r>
      <w:r w:rsidRPr="00E437B1">
        <w:rPr>
          <w:i/>
        </w:rPr>
        <w:t>periodic</w:t>
      </w:r>
      <w:r>
        <w:t>’,</w:t>
      </w:r>
      <w:r w:rsidRPr="2D2FD754">
        <w:rPr>
          <w:rFonts w:cstheme="minorBidi"/>
        </w:rPr>
        <w:t xml:space="preserve"> </w:t>
      </w:r>
      <w:r>
        <w:rPr>
          <w:rFonts w:cstheme="minorBidi"/>
        </w:rPr>
        <w:t xml:space="preserve">the </w:t>
      </w:r>
      <w:r w:rsidRPr="2D2FD754">
        <w:rPr>
          <w:rFonts w:cstheme="minorBidi"/>
        </w:rPr>
        <w:t>UE can report</w:t>
      </w:r>
      <w:r>
        <w:rPr>
          <w:rFonts w:cstheme="minorBidi"/>
        </w:rPr>
        <w:t xml:space="preserve"> when the</w:t>
      </w:r>
      <w:r w:rsidRPr="2D2FD754">
        <w:rPr>
          <w:rFonts w:cstheme="minorBidi"/>
        </w:rPr>
        <w:t xml:space="preserve"> applicability of </w:t>
      </w:r>
      <w:r>
        <w:rPr>
          <w:rFonts w:cstheme="minorBidi"/>
        </w:rPr>
        <w:t>the configuration becomes inapplicable</w:t>
      </w:r>
      <w:r w:rsidRPr="2D2FD754">
        <w:rPr>
          <w:rFonts w:cstheme="minorBidi"/>
        </w:rPr>
        <w:t xml:space="preserve"> using UAI. </w:t>
      </w:r>
      <w:r>
        <w:rPr>
          <w:rFonts w:cstheme="minorBidi"/>
        </w:rPr>
        <w:t>Because</w:t>
      </w:r>
      <w:r w:rsidRPr="2D2FD754">
        <w:rPr>
          <w:rFonts w:cstheme="minorBidi"/>
        </w:rPr>
        <w:t xml:space="preserve"> the UE cannot deactivate the inference reporting autonomously</w:t>
      </w:r>
      <w:r>
        <w:rPr>
          <w:rFonts w:cstheme="minorBidi"/>
        </w:rPr>
        <w:t>, a potential</w:t>
      </w:r>
      <w:r w:rsidRPr="2D2FD754">
        <w:rPr>
          <w:rFonts w:cstheme="minorBidi"/>
        </w:rPr>
        <w:t xml:space="preserve"> ambiguit</w:t>
      </w:r>
      <w:r>
        <w:rPr>
          <w:rFonts w:cstheme="minorBidi"/>
        </w:rPr>
        <w:t>y is introduced</w:t>
      </w:r>
      <w:r w:rsidRPr="2D2FD754">
        <w:rPr>
          <w:rFonts w:cstheme="minorBidi"/>
        </w:rPr>
        <w:t xml:space="preserve"> </w:t>
      </w:r>
      <w:r>
        <w:rPr>
          <w:rFonts w:cstheme="minorBidi"/>
        </w:rPr>
        <w:t xml:space="preserve">because the quality and usefulness of the inference reports are unknown. See Figure 3.1-1 for details. </w:t>
      </w:r>
    </w:p>
    <w:p w14:paraId="6A1FCC9A" w14:textId="744F6141" w:rsidR="00B949DE" w:rsidRDefault="00F77EDA" w:rsidP="00B949DE">
      <w:pPr>
        <w:jc w:val="center"/>
        <w:rPr>
          <w:rFonts w:cstheme="minorBidi"/>
        </w:rPr>
      </w:pPr>
      <w:r>
        <w:object w:dxaOrig="7335" w:dyaOrig="6540" w14:anchorId="63B78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94pt" o:ole="">
            <v:imagedata r:id="rId14" o:title=""/>
          </v:shape>
          <o:OLEObject Type="Embed" ProgID="Mscgen.Chart" ShapeID="_x0000_i1025" DrawAspect="Content" ObjectID="_1808238504" r:id="rId15"/>
        </w:object>
      </w:r>
    </w:p>
    <w:p w14:paraId="60F90E6E" w14:textId="77777777" w:rsidR="00B949DE" w:rsidRPr="000B6897" w:rsidRDefault="00B949DE" w:rsidP="009D1295">
      <w:pPr>
        <w:jc w:val="center"/>
        <w:rPr>
          <w:b/>
          <w:bCs/>
          <w:iCs/>
        </w:rPr>
      </w:pPr>
      <w:r>
        <w:rPr>
          <w:rFonts w:cstheme="minorHAnsi"/>
          <w:b/>
          <w:bCs/>
          <w:iCs/>
        </w:rPr>
        <w:t>F</w:t>
      </w:r>
      <w:r w:rsidRPr="000B6897">
        <w:rPr>
          <w:rFonts w:cstheme="minorHAnsi"/>
          <w:b/>
          <w:bCs/>
          <w:iCs/>
        </w:rPr>
        <w:t xml:space="preserve">igure </w:t>
      </w:r>
      <w:r>
        <w:rPr>
          <w:rFonts w:cstheme="minorHAnsi"/>
          <w:b/>
          <w:bCs/>
          <w:iCs/>
        </w:rPr>
        <w:t>3.1</w:t>
      </w:r>
      <w:r w:rsidRPr="000B6897">
        <w:rPr>
          <w:rFonts w:cstheme="minorHAnsi"/>
          <w:b/>
          <w:bCs/>
          <w:iCs/>
        </w:rPr>
        <w:t>-1. Ambiguity of UE behaviour after an active periodic inference configuration becomes inapplicable</w:t>
      </w:r>
    </w:p>
    <w:p w14:paraId="4DAB6DAC" w14:textId="4DB705EC" w:rsidR="00B949DE" w:rsidRPr="00AE41CB" w:rsidRDefault="00B949DE" w:rsidP="009D1295">
      <w:pPr>
        <w:rPr>
          <w:rFonts w:eastAsia="MS Mincho" w:cstheme="minorBidi"/>
          <w:b/>
        </w:rPr>
      </w:pPr>
      <w:r w:rsidRPr="00AE41CB">
        <w:rPr>
          <w:rStyle w:val="cf11"/>
          <w:rFonts w:asciiTheme="majorBidi" w:eastAsia="MS Mincho" w:hAnsiTheme="majorBidi" w:cstheme="majorBidi"/>
          <w:b/>
          <w:sz w:val="20"/>
          <w:szCs w:val="20"/>
        </w:rPr>
        <w:lastRenderedPageBreak/>
        <w:t>Observation</w:t>
      </w:r>
      <w:r w:rsidR="008028FE">
        <w:rPr>
          <w:rStyle w:val="cf11"/>
          <w:rFonts w:asciiTheme="majorBidi" w:eastAsia="MS Mincho" w:hAnsiTheme="majorBidi" w:cstheme="majorBidi"/>
          <w:b/>
          <w:sz w:val="20"/>
          <w:szCs w:val="20"/>
        </w:rPr>
        <w:t xml:space="preserve"> 3</w:t>
      </w:r>
      <w:r w:rsidRPr="00AE41CB">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An active beam prediction configuration may become inapplicable after it is activated. During this time, the outputs of the model enabling the configuration could be unreliable or ambiguous</w:t>
      </w:r>
      <w:r w:rsidRPr="00AE41CB">
        <w:rPr>
          <w:rFonts w:cstheme="minorBidi"/>
          <w:b/>
        </w:rPr>
        <w:t>.</w:t>
      </w:r>
    </w:p>
    <w:p w14:paraId="449B45E9" w14:textId="77777777" w:rsidR="00B949DE" w:rsidRDefault="00B949DE" w:rsidP="009D1295">
      <w:pPr>
        <w:rPr>
          <w:rStyle w:val="cf11"/>
          <w:rFonts w:asciiTheme="majorBidi" w:eastAsia="MS Mincho" w:hAnsiTheme="majorBidi" w:cstheme="majorBidi"/>
          <w:bCs/>
          <w:sz w:val="20"/>
          <w:szCs w:val="20"/>
        </w:rPr>
      </w:pPr>
      <w:r>
        <w:rPr>
          <w:rStyle w:val="cf11"/>
          <w:rFonts w:asciiTheme="majorBidi" w:eastAsia="MS Mincho" w:hAnsiTheme="majorBidi" w:cstheme="majorBidi"/>
          <w:bCs/>
          <w:sz w:val="20"/>
          <w:szCs w:val="20"/>
        </w:rPr>
        <w:t xml:space="preserve">An </w:t>
      </w:r>
      <w:r w:rsidRPr="00E40CDC">
        <w:rPr>
          <w:rStyle w:val="cf11"/>
          <w:rFonts w:asciiTheme="majorBidi" w:eastAsia="MS Mincho" w:hAnsiTheme="majorBidi" w:cstheme="majorBidi"/>
          <w:bCs/>
          <w:sz w:val="20"/>
          <w:szCs w:val="20"/>
        </w:rPr>
        <w:t>approach to resolve the above issue is to define a new UE reporting behaviour</w:t>
      </w:r>
      <w:r>
        <w:rPr>
          <w:rStyle w:val="cf11"/>
          <w:rFonts w:asciiTheme="majorBidi" w:eastAsia="MS Mincho" w:hAnsiTheme="majorBidi" w:cstheme="majorBidi"/>
          <w:bCs/>
          <w:sz w:val="20"/>
          <w:szCs w:val="20"/>
        </w:rPr>
        <w:t>.</w:t>
      </w:r>
      <w:r w:rsidRPr="00E40CDC">
        <w:rPr>
          <w:rStyle w:val="cf11"/>
          <w:rFonts w:asciiTheme="majorBidi" w:eastAsia="MS Mincho" w:hAnsiTheme="majorBidi" w:cstheme="majorBidi"/>
          <w:bCs/>
          <w:sz w:val="20"/>
          <w:szCs w:val="20"/>
        </w:rPr>
        <w:t xml:space="preserve"> </w:t>
      </w:r>
      <w:r>
        <w:rPr>
          <w:rStyle w:val="cf11"/>
          <w:rFonts w:asciiTheme="majorBidi" w:eastAsia="MS Mincho" w:hAnsiTheme="majorBidi" w:cstheme="majorBidi"/>
          <w:bCs/>
          <w:sz w:val="20"/>
          <w:szCs w:val="20"/>
        </w:rPr>
        <w:t>I</w:t>
      </w:r>
      <w:r w:rsidRPr="00E40CDC">
        <w:rPr>
          <w:rStyle w:val="cf11"/>
          <w:rFonts w:asciiTheme="majorBidi" w:eastAsia="MS Mincho" w:hAnsiTheme="majorBidi" w:cstheme="majorBidi"/>
          <w:bCs/>
          <w:sz w:val="20"/>
          <w:szCs w:val="20"/>
        </w:rPr>
        <w:t>nstead of</w:t>
      </w:r>
      <w:r>
        <w:rPr>
          <w:rStyle w:val="cf11"/>
          <w:rFonts w:asciiTheme="majorBidi" w:eastAsia="MS Mincho" w:hAnsiTheme="majorBidi" w:cstheme="majorBidi"/>
          <w:bCs/>
          <w:sz w:val="20"/>
          <w:szCs w:val="20"/>
        </w:rPr>
        <w:t xml:space="preserve"> reporting</w:t>
      </w:r>
      <w:r w:rsidRPr="00E40CDC">
        <w:rPr>
          <w:rStyle w:val="cf11"/>
          <w:rFonts w:asciiTheme="majorBidi" w:eastAsia="MS Mincho" w:hAnsiTheme="majorBidi" w:cstheme="majorBidi"/>
          <w:bCs/>
          <w:sz w:val="20"/>
          <w:szCs w:val="20"/>
        </w:rPr>
        <w:t xml:space="preserve"> Set</w:t>
      </w:r>
      <w:r>
        <w:rPr>
          <w:rStyle w:val="cf11"/>
          <w:rFonts w:asciiTheme="majorBidi" w:eastAsia="MS Mincho" w:hAnsiTheme="majorBidi" w:cstheme="majorBidi"/>
          <w:bCs/>
          <w:sz w:val="20"/>
          <w:szCs w:val="20"/>
        </w:rPr>
        <w:t xml:space="preserve"> </w:t>
      </w:r>
      <w:r w:rsidRPr="00E40CDC">
        <w:rPr>
          <w:rStyle w:val="cf11"/>
          <w:rFonts w:asciiTheme="majorBidi" w:eastAsia="MS Mincho" w:hAnsiTheme="majorBidi" w:cstheme="majorBidi"/>
          <w:bCs/>
          <w:sz w:val="20"/>
          <w:szCs w:val="20"/>
        </w:rPr>
        <w:t>A beam</w:t>
      </w:r>
      <w:r>
        <w:rPr>
          <w:rStyle w:val="cf11"/>
          <w:rFonts w:asciiTheme="majorBidi" w:eastAsia="MS Mincho" w:hAnsiTheme="majorBidi" w:cstheme="majorBidi"/>
          <w:bCs/>
          <w:sz w:val="20"/>
          <w:szCs w:val="20"/>
        </w:rPr>
        <w:t xml:space="preserve"> predictions, the UE would </w:t>
      </w:r>
      <w:r w:rsidRPr="00C869B0">
        <w:rPr>
          <w:rStyle w:val="cf11"/>
          <w:rFonts w:asciiTheme="majorBidi" w:eastAsia="MS Mincho" w:hAnsiTheme="majorBidi" w:cstheme="majorBidi"/>
          <w:bCs/>
          <w:sz w:val="20"/>
          <w:szCs w:val="20"/>
        </w:rPr>
        <w:t>report</w:t>
      </w:r>
      <w:r>
        <w:rPr>
          <w:rStyle w:val="cf11"/>
          <w:rFonts w:asciiTheme="majorBidi" w:eastAsia="MS Mincho" w:hAnsiTheme="majorBidi" w:cstheme="majorBidi"/>
          <w:bCs/>
          <w:sz w:val="20"/>
          <w:szCs w:val="20"/>
        </w:rPr>
        <w:t xml:space="preserve"> </w:t>
      </w:r>
      <w:r w:rsidRPr="00C869B0">
        <w:rPr>
          <w:rStyle w:val="cf11"/>
          <w:rFonts w:asciiTheme="majorBidi" w:eastAsia="MS Mincho" w:hAnsiTheme="majorBidi" w:cstheme="majorBidi"/>
          <w:bCs/>
          <w:sz w:val="20"/>
          <w:szCs w:val="20"/>
        </w:rPr>
        <w:t>Set B beam measurements after the UE report</w:t>
      </w:r>
      <w:r>
        <w:rPr>
          <w:rStyle w:val="cf11"/>
          <w:rFonts w:asciiTheme="majorBidi" w:eastAsia="MS Mincho" w:hAnsiTheme="majorBidi" w:cstheme="majorBidi"/>
          <w:bCs/>
          <w:sz w:val="20"/>
          <w:szCs w:val="20"/>
        </w:rPr>
        <w:t>s</w:t>
      </w:r>
      <w:r w:rsidRPr="00C869B0">
        <w:rPr>
          <w:rStyle w:val="cf11"/>
          <w:rFonts w:asciiTheme="majorBidi" w:eastAsia="MS Mincho" w:hAnsiTheme="majorBidi" w:cstheme="majorBidi"/>
          <w:bCs/>
          <w:sz w:val="20"/>
          <w:szCs w:val="20"/>
        </w:rPr>
        <w:t xml:space="preserve"> the inapplicability of a </w:t>
      </w:r>
      <w:r>
        <w:rPr>
          <w:rStyle w:val="cf11"/>
          <w:rFonts w:asciiTheme="majorBidi" w:eastAsia="MS Mincho" w:hAnsiTheme="majorBidi" w:cstheme="majorBidi"/>
          <w:bCs/>
          <w:sz w:val="20"/>
          <w:szCs w:val="20"/>
        </w:rPr>
        <w:t>beam prediction reporting configuration. This avoids</w:t>
      </w:r>
      <w:r w:rsidRPr="00E40CDC">
        <w:rPr>
          <w:rStyle w:val="cf11"/>
          <w:rFonts w:asciiTheme="majorBidi" w:eastAsia="MS Mincho" w:hAnsiTheme="majorBidi" w:cstheme="majorBidi"/>
          <w:bCs/>
          <w:sz w:val="20"/>
          <w:szCs w:val="20"/>
        </w:rPr>
        <w:t xml:space="preserve"> wasting configured </w:t>
      </w:r>
      <w:r>
        <w:rPr>
          <w:rStyle w:val="cf11"/>
          <w:rFonts w:asciiTheme="majorBidi" w:eastAsia="MS Mincho" w:hAnsiTheme="majorBidi" w:cstheme="majorBidi"/>
          <w:bCs/>
          <w:sz w:val="20"/>
          <w:szCs w:val="20"/>
        </w:rPr>
        <w:t>air interface resources</w:t>
      </w:r>
      <w:r w:rsidRPr="00E40CDC">
        <w:rPr>
          <w:rStyle w:val="cf11"/>
          <w:rFonts w:asciiTheme="majorBidi" w:eastAsia="MS Mincho" w:hAnsiTheme="majorBidi" w:cstheme="majorBidi"/>
          <w:bCs/>
          <w:sz w:val="20"/>
          <w:szCs w:val="20"/>
        </w:rPr>
        <w:t xml:space="preserve"> but also support</w:t>
      </w:r>
      <w:r>
        <w:rPr>
          <w:rStyle w:val="cf11"/>
          <w:rFonts w:asciiTheme="majorBidi" w:eastAsia="MS Mincho" w:hAnsiTheme="majorBidi" w:cstheme="majorBidi"/>
          <w:bCs/>
          <w:sz w:val="20"/>
          <w:szCs w:val="20"/>
        </w:rPr>
        <w:t>s</w:t>
      </w:r>
      <w:r w:rsidRPr="00E40CDC">
        <w:rPr>
          <w:rStyle w:val="cf11"/>
          <w:rFonts w:asciiTheme="majorBidi" w:eastAsia="MS Mincho" w:hAnsiTheme="majorBidi" w:cstheme="majorBidi"/>
          <w:bCs/>
          <w:sz w:val="20"/>
          <w:szCs w:val="20"/>
        </w:rPr>
        <w:t xml:space="preserve"> performance monitoring at the NW (e.g., in case of Type-1 Option 1)</w:t>
      </w:r>
      <w:r>
        <w:rPr>
          <w:rStyle w:val="cf11"/>
          <w:rFonts w:asciiTheme="majorBidi" w:eastAsia="MS Mincho" w:hAnsiTheme="majorBidi" w:cstheme="majorBidi"/>
          <w:bCs/>
          <w:sz w:val="20"/>
          <w:szCs w:val="20"/>
        </w:rPr>
        <w:t>.</w:t>
      </w:r>
    </w:p>
    <w:p w14:paraId="13D5E11A" w14:textId="4510BE31" w:rsidR="00B949DE" w:rsidRPr="00E40CDC" w:rsidRDefault="00B949DE" w:rsidP="009D1295">
      <w:pPr>
        <w:rPr>
          <w:rStyle w:val="cf11"/>
          <w:rFonts w:asciiTheme="majorBidi" w:eastAsia="MS Mincho" w:hAnsiTheme="majorBidi" w:cstheme="majorBidi"/>
          <w:b/>
          <w:bCs/>
          <w:sz w:val="20"/>
          <w:szCs w:val="20"/>
        </w:rPr>
      </w:pPr>
      <w:r w:rsidRPr="5C4B4485">
        <w:rPr>
          <w:rStyle w:val="cf11"/>
          <w:rFonts w:asciiTheme="majorBidi" w:eastAsia="MS Mincho" w:hAnsiTheme="majorBidi" w:cstheme="majorBidi"/>
          <w:b/>
          <w:bCs/>
          <w:sz w:val="20"/>
          <w:szCs w:val="20"/>
        </w:rPr>
        <w:t>Proposal</w:t>
      </w:r>
      <w:r w:rsidR="008028FE">
        <w:rPr>
          <w:rStyle w:val="cf11"/>
          <w:rFonts w:asciiTheme="majorBidi" w:eastAsia="MS Mincho" w:hAnsiTheme="majorBidi" w:cstheme="majorBidi"/>
          <w:b/>
          <w:bCs/>
          <w:sz w:val="20"/>
          <w:szCs w:val="20"/>
        </w:rPr>
        <w:t xml:space="preserve"> 3</w:t>
      </w:r>
      <w:r>
        <w:rPr>
          <w:rStyle w:val="cf11"/>
          <w:rFonts w:asciiTheme="majorBidi" w:eastAsia="MS Mincho" w:hAnsiTheme="majorBidi" w:cstheme="majorBidi"/>
          <w:b/>
          <w:bCs/>
          <w:sz w:val="20"/>
          <w:szCs w:val="20"/>
        </w:rPr>
        <w:t>:</w:t>
      </w:r>
      <w:r w:rsidRPr="5C4B4485">
        <w:rPr>
          <w:rStyle w:val="cf11"/>
          <w:rFonts w:asciiTheme="majorBidi" w:eastAsia="MS Mincho" w:hAnsiTheme="majorBidi" w:cstheme="majorBidi"/>
          <w:b/>
          <w:bCs/>
          <w:sz w:val="20"/>
          <w:szCs w:val="20"/>
        </w:rPr>
        <w:t xml:space="preserve"> When an active</w:t>
      </w:r>
      <w:r>
        <w:rPr>
          <w:rStyle w:val="cf11"/>
          <w:rFonts w:asciiTheme="majorBidi" w:eastAsia="MS Mincho" w:hAnsiTheme="majorBidi" w:cstheme="majorBidi"/>
          <w:b/>
          <w:bCs/>
          <w:sz w:val="20"/>
          <w:szCs w:val="20"/>
        </w:rPr>
        <w:t xml:space="preserve"> periodic</w:t>
      </w:r>
      <w:r w:rsidRPr="5C4B4485">
        <w:rPr>
          <w:rStyle w:val="cf11"/>
          <w:rFonts w:asciiTheme="majorBidi" w:eastAsia="MS Mincho" w:hAnsiTheme="majorBidi" w:cstheme="majorBidi"/>
          <w:b/>
          <w:bCs/>
          <w:sz w:val="20"/>
          <w:szCs w:val="20"/>
        </w:rPr>
        <w:t xml:space="preserve"> beam prediction configuration becomes inapplicable, the UE shall suspend the transmission of Set A beam predictions and </w:t>
      </w:r>
      <w:r w:rsidRPr="00DF2E2F">
        <w:rPr>
          <w:rStyle w:val="cf11"/>
          <w:rFonts w:asciiTheme="majorBidi" w:eastAsia="MS Mincho" w:hAnsiTheme="majorBidi" w:cstheme="majorBidi"/>
          <w:b/>
          <w:bCs/>
          <w:sz w:val="20"/>
          <w:szCs w:val="20"/>
        </w:rPr>
        <w:t>report</w:t>
      </w:r>
      <w:r>
        <w:rPr>
          <w:rStyle w:val="cf11"/>
          <w:rFonts w:asciiTheme="majorBidi" w:eastAsia="MS Mincho" w:hAnsiTheme="majorBidi" w:cstheme="majorBidi"/>
          <w:b/>
          <w:bCs/>
          <w:sz w:val="20"/>
          <w:szCs w:val="20"/>
        </w:rPr>
        <w:t>ing of</w:t>
      </w:r>
      <w:r w:rsidRPr="5C4B4485">
        <w:rPr>
          <w:rStyle w:val="cf11"/>
          <w:rFonts w:asciiTheme="majorBidi" w:eastAsia="MS Mincho" w:hAnsiTheme="majorBidi" w:cstheme="majorBidi"/>
          <w:b/>
          <w:bCs/>
          <w:sz w:val="20"/>
          <w:szCs w:val="20"/>
        </w:rPr>
        <w:t xml:space="preserve"> Set B measurements</w:t>
      </w:r>
      <w:r>
        <w:rPr>
          <w:rStyle w:val="cf11"/>
          <w:rFonts w:asciiTheme="majorBidi" w:eastAsia="MS Mincho" w:hAnsiTheme="majorBidi" w:cstheme="majorBidi"/>
          <w:b/>
          <w:bCs/>
          <w:sz w:val="20"/>
          <w:szCs w:val="20"/>
        </w:rPr>
        <w:t xml:space="preserve"> corresponding to the inapplicable configuration</w:t>
      </w:r>
      <w:r w:rsidRPr="5C4B4485">
        <w:rPr>
          <w:rStyle w:val="cf11"/>
          <w:rFonts w:asciiTheme="majorBidi" w:eastAsia="MS Mincho" w:hAnsiTheme="majorBidi" w:cstheme="majorBidi"/>
          <w:b/>
          <w:bCs/>
          <w:sz w:val="20"/>
          <w:szCs w:val="20"/>
        </w:rPr>
        <w:t xml:space="preserve"> until the UE is reconfigured by the NW.</w:t>
      </w:r>
    </w:p>
    <w:p w14:paraId="36F13B91" w14:textId="79B0D70E" w:rsidR="00B949DE" w:rsidRDefault="00B949DE" w:rsidP="009D1295">
      <w:pPr>
        <w:rPr>
          <w:rStyle w:val="cf11"/>
          <w:rFonts w:asciiTheme="majorBidi" w:eastAsia="MS Mincho" w:hAnsiTheme="majorBidi" w:cstheme="majorBidi"/>
          <w:b/>
          <w:sz w:val="20"/>
          <w:szCs w:val="20"/>
        </w:rPr>
      </w:pPr>
      <w:r w:rsidRPr="00081DED">
        <w:rPr>
          <w:rStyle w:val="cf11"/>
          <w:rFonts w:asciiTheme="majorBidi" w:eastAsia="MS Mincho" w:hAnsiTheme="majorBidi" w:cstheme="majorBidi"/>
          <w:b/>
          <w:sz w:val="20"/>
          <w:szCs w:val="20"/>
        </w:rPr>
        <w:t>Proposal</w:t>
      </w:r>
      <w:r w:rsidR="008028FE">
        <w:rPr>
          <w:rStyle w:val="cf11"/>
          <w:rFonts w:asciiTheme="majorBidi" w:eastAsia="MS Mincho" w:hAnsiTheme="majorBidi" w:cstheme="majorBidi"/>
          <w:b/>
          <w:sz w:val="20"/>
          <w:szCs w:val="20"/>
        </w:rPr>
        <w:t xml:space="preserve"> 4</w:t>
      </w:r>
      <w:r>
        <w:rPr>
          <w:rStyle w:val="cf11"/>
          <w:rFonts w:asciiTheme="majorBidi" w:eastAsia="MS Mincho" w:hAnsiTheme="majorBidi" w:cstheme="majorBidi"/>
          <w:b/>
          <w:sz w:val="20"/>
          <w:szCs w:val="20"/>
        </w:rPr>
        <w:t>:</w:t>
      </w:r>
      <w:r w:rsidRPr="00081DED">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 xml:space="preserve">RAN2 to endorse </w:t>
      </w:r>
      <w:r w:rsidR="009D1295">
        <w:rPr>
          <w:rStyle w:val="cf11"/>
          <w:rFonts w:asciiTheme="majorBidi" w:eastAsia="MS Mincho" w:hAnsiTheme="majorBidi" w:cstheme="majorBidi"/>
          <w:b/>
          <w:sz w:val="20"/>
          <w:szCs w:val="20"/>
        </w:rPr>
        <w:t>the text proposal</w:t>
      </w:r>
      <w:r>
        <w:rPr>
          <w:rStyle w:val="cf11"/>
          <w:rFonts w:asciiTheme="majorBidi" w:eastAsia="MS Mincho" w:hAnsiTheme="majorBidi" w:cstheme="majorBidi"/>
          <w:b/>
          <w:sz w:val="20"/>
          <w:szCs w:val="20"/>
        </w:rPr>
        <w:t xml:space="preserve"> within Applicability Reporting Clause for Stage </w:t>
      </w:r>
      <w:r w:rsidR="00A96DBC">
        <w:rPr>
          <w:rStyle w:val="cf11"/>
          <w:rFonts w:asciiTheme="majorBidi" w:eastAsia="MS Mincho" w:hAnsiTheme="majorBidi" w:cstheme="majorBidi"/>
          <w:b/>
          <w:sz w:val="20"/>
          <w:szCs w:val="20"/>
        </w:rPr>
        <w:t>2</w:t>
      </w:r>
      <w:r>
        <w:rPr>
          <w:rStyle w:val="cf11"/>
          <w:rFonts w:asciiTheme="majorBidi" w:eastAsia="MS Mincho" w:hAnsiTheme="majorBidi" w:cstheme="majorBidi"/>
          <w:b/>
          <w:sz w:val="20"/>
          <w:szCs w:val="20"/>
        </w:rPr>
        <w:t xml:space="preserve"> running CR (changes are highlighted in </w:t>
      </w:r>
      <w:r w:rsidRPr="00A13518">
        <w:rPr>
          <w:rStyle w:val="cf11"/>
          <w:rFonts w:asciiTheme="majorBidi" w:eastAsia="MS Mincho" w:hAnsiTheme="majorBidi" w:cstheme="majorBidi"/>
          <w:b/>
          <w:color w:val="ED7D31" w:themeColor="accent2"/>
          <w:sz w:val="20"/>
          <w:szCs w:val="20"/>
        </w:rPr>
        <w:t>orange in Section 7</w:t>
      </w:r>
      <w:r>
        <w:rPr>
          <w:rStyle w:val="cf11"/>
          <w:rFonts w:asciiTheme="majorBidi" w:eastAsia="MS Mincho" w:hAnsiTheme="majorBidi" w:cstheme="majorBidi"/>
          <w:b/>
          <w:sz w:val="20"/>
          <w:szCs w:val="20"/>
        </w:rPr>
        <w:t>).</w:t>
      </w:r>
    </w:p>
    <w:p w14:paraId="47AE7B34" w14:textId="150C21E8" w:rsidR="009024AB" w:rsidRDefault="009024AB" w:rsidP="009024AB">
      <w:pPr>
        <w:pStyle w:val="Heading2"/>
      </w:pPr>
      <w:r>
        <w:t>2</w:t>
      </w:r>
      <w:r w:rsidRPr="00E437B1">
        <w:t>.</w:t>
      </w:r>
      <w:r>
        <w:t>4</w:t>
      </w:r>
      <w:r w:rsidRPr="00E437B1">
        <w:tab/>
      </w:r>
      <w:r>
        <w:t>(RRC-7</w:t>
      </w:r>
      <w:r w:rsidR="00BC1EA9">
        <w:t>/8</w:t>
      </w:r>
      <w:r>
        <w:t xml:space="preserve">) </w:t>
      </w:r>
      <w:r w:rsidRPr="00627EEF">
        <w:t xml:space="preserve">Structure </w:t>
      </w:r>
      <w:r w:rsidRPr="00724255">
        <w:t xml:space="preserve">and Content </w:t>
      </w:r>
      <w:r w:rsidRPr="00627EEF">
        <w:t>of the Applicability Report</w:t>
      </w:r>
    </w:p>
    <w:p w14:paraId="4CFFD858" w14:textId="68F654EB" w:rsidR="00A1072A" w:rsidRDefault="00330D74" w:rsidP="009D1295">
      <w:pPr>
        <w:pBdr>
          <w:top w:val="single" w:sz="4" w:space="1" w:color="auto"/>
          <w:left w:val="single" w:sz="4" w:space="4" w:color="auto"/>
          <w:bottom w:val="single" w:sz="4" w:space="1" w:color="auto"/>
          <w:right w:val="single" w:sz="4" w:space="4" w:color="auto"/>
        </w:pBdr>
      </w:pPr>
      <w:r>
        <w:rPr>
          <w:b/>
          <w:bCs/>
        </w:rPr>
        <w:t xml:space="preserve">RRC-7 </w:t>
      </w:r>
      <w:r w:rsidR="00A1072A" w:rsidRPr="00540186">
        <w:rPr>
          <w:b/>
          <w:bCs/>
        </w:rPr>
        <w:t>Issue description:</w:t>
      </w:r>
      <w:r w:rsidR="00A1072A" w:rsidRPr="00A1072A">
        <w:t xml:space="preserve"> It is FFS whether the </w:t>
      </w:r>
      <w:r w:rsidR="00A1072A" w:rsidRPr="00540186">
        <w:rPr>
          <w:highlight w:val="yellow"/>
        </w:rPr>
        <w:t>applicability report for option B</w:t>
      </w:r>
      <w:r w:rsidR="00A1072A" w:rsidRPr="00A1072A">
        <w:t xml:space="preserve"> (sets of inference related parameters) </w:t>
      </w:r>
      <w:r w:rsidR="00A1072A" w:rsidRPr="00540186">
        <w:rPr>
          <w:highlight w:val="yellow"/>
        </w:rPr>
        <w:t>can be included in RRCReconfigurationComplete</w:t>
      </w:r>
      <w:r w:rsidR="00A1072A" w:rsidRPr="00A1072A">
        <w:t xml:space="preserve"> (or if it can only be included in UAI).</w:t>
      </w:r>
    </w:p>
    <w:p w14:paraId="167584D3" w14:textId="0738F2BC" w:rsidR="00330D74" w:rsidRPr="00330D74" w:rsidRDefault="00330D74" w:rsidP="00540186">
      <w:pPr>
        <w:pBdr>
          <w:top w:val="single" w:sz="4" w:space="1" w:color="auto"/>
          <w:left w:val="single" w:sz="4" w:space="4" w:color="auto"/>
          <w:bottom w:val="single" w:sz="4" w:space="1" w:color="auto"/>
          <w:right w:val="single" w:sz="4" w:space="4" w:color="auto"/>
        </w:pBdr>
      </w:pPr>
      <w:r w:rsidRPr="00540186">
        <w:rPr>
          <w:b/>
          <w:bCs/>
        </w:rPr>
        <w:t xml:space="preserve">RRC-8 Issue description: </w:t>
      </w:r>
      <w:r w:rsidRPr="00330D74">
        <w:t xml:space="preserve">Considering that both Option A and B are to be specified, we need to discuss how the </w:t>
      </w:r>
      <w:r w:rsidRPr="00540186">
        <w:rPr>
          <w:highlight w:val="yellow"/>
        </w:rPr>
        <w:t>2 options co-exist</w:t>
      </w:r>
      <w:r w:rsidRPr="00330D74">
        <w:t xml:space="preserve">, whether there is any interaction between them etc. For instance, </w:t>
      </w:r>
      <w:r w:rsidRPr="00540186">
        <w:rPr>
          <w:highlight w:val="yellow"/>
        </w:rPr>
        <w:t>it is not clear whether both option A and option B can be configured or not</w:t>
      </w:r>
      <w:r w:rsidRPr="00330D74">
        <w:t>. This can affect signaling design of ApplicabilityReportList.</w:t>
      </w:r>
    </w:p>
    <w:p w14:paraId="0BB95130" w14:textId="750146A3" w:rsidR="009024AB" w:rsidRDefault="009024AB" w:rsidP="009D1295">
      <w:r>
        <w:t xml:space="preserve">The RRC applicability report will be used to report the applicability of any AI/ML-enabled configuration, or any configuration subject to the applicability determination procedure, for all RRC-based use cases, e.g., CSI feedback enhancement, Beam Prediction, and Mobility, in the future. Every configuration which we have discussed thus far in the use cases has an ID, and that ID, e.g., </w:t>
      </w:r>
      <w:r>
        <w:rPr>
          <w:i/>
          <w:iCs/>
        </w:rPr>
        <w:t>CSI-ReportConfigId</w:t>
      </w:r>
      <w:r>
        <w:t>, can be used to identify AI/ML-enabled configurations and to report their applicability, and updates thereto. The same assumption can be made for sets of inference-related parameters.</w:t>
      </w:r>
    </w:p>
    <w:p w14:paraId="5F6C4300" w14:textId="77777777" w:rsidR="009024AB" w:rsidRDefault="009024AB" w:rsidP="009D1295">
      <w:pPr>
        <w:rPr>
          <w:i/>
          <w:iCs/>
        </w:rPr>
      </w:pPr>
      <w:r>
        <w:t xml:space="preserve">Below, we provide a possible </w:t>
      </w:r>
      <w:r>
        <w:rPr>
          <w:i/>
          <w:iCs/>
        </w:rPr>
        <w:t>ApplicabilityReport-r19</w:t>
      </w:r>
      <w:r w:rsidRPr="00A13518">
        <w:t>,</w:t>
      </w:r>
      <w:r>
        <w:t xml:space="preserve"> which we find to be extensible to future use cases. </w:t>
      </w:r>
      <w:r w:rsidRPr="00DF2E2F">
        <w:t>Lastly,</w:t>
      </w:r>
      <w:r>
        <w:t xml:space="preserve"> we provide ASN.1 for context, which closely matches the running CR for RRC for AI/ML Phy: </w:t>
      </w:r>
      <w:r>
        <w:rPr>
          <w:i/>
          <w:iCs/>
        </w:rPr>
        <w:t>ApplicabilityReportList-r19</w:t>
      </w:r>
      <w:r>
        <w:t xml:space="preserve">; </w:t>
      </w:r>
      <w:r>
        <w:rPr>
          <w:i/>
          <w:iCs/>
        </w:rPr>
        <w:t>UEAssistanceInformation-v1900-IEs;</w:t>
      </w:r>
      <w:r>
        <w:t xml:space="preserve"> and </w:t>
      </w:r>
      <w:r>
        <w:rPr>
          <w:i/>
          <w:iCs/>
        </w:rPr>
        <w:t>RRCReconfigurationComplete-v1900-IEs.</w:t>
      </w:r>
    </w:p>
    <w:p w14:paraId="5753496A" w14:textId="77777777" w:rsidR="009024AB" w:rsidRDefault="009024AB" w:rsidP="009D1295">
      <w:r w:rsidRPr="00724255">
        <w:t>In</w:t>
      </w:r>
      <w:r>
        <w:t xml:space="preserve"> Figure 3.3-1, the </w:t>
      </w:r>
      <w:r>
        <w:rPr>
          <w:i/>
          <w:iCs/>
        </w:rPr>
        <w:t>applicabilityIdType</w:t>
      </w:r>
      <w:r>
        <w:t xml:space="preserve"> is an ENUMERATED value which identifies the type of ID, e.g., </w:t>
      </w:r>
      <w:r>
        <w:rPr>
          <w:i/>
          <w:iCs/>
        </w:rPr>
        <w:t>csi-ReportConfigId</w:t>
      </w:r>
      <w:r>
        <w:t xml:space="preserve"> which is pointed to by </w:t>
      </w:r>
      <w:r>
        <w:rPr>
          <w:i/>
          <w:iCs/>
        </w:rPr>
        <w:t>applicabilityId</w:t>
      </w:r>
      <w:r>
        <w:t xml:space="preserve">, which is an INTEGER with a range to be determined, which can hold any ID type. The benefit of this option is that we can include </w:t>
      </w:r>
      <w:r>
        <w:rPr>
          <w:i/>
          <w:iCs/>
        </w:rPr>
        <w:t>spare</w:t>
      </w:r>
      <w:r>
        <w:t xml:space="preserve"> values in the ENUMERATED, which</w:t>
      </w:r>
      <w:r w:rsidRPr="00DF2E2F">
        <w:t xml:space="preserve"> </w:t>
      </w:r>
      <w:r>
        <w:t>can be updated in the future instead of additional ID types.</w:t>
      </w:r>
    </w:p>
    <w:p w14:paraId="31344F5C" w14:textId="77777777" w:rsidR="009024AB" w:rsidRDefault="009024AB" w:rsidP="009D1295">
      <w:r>
        <w:t>The in</w:t>
      </w:r>
      <w:r>
        <w:rPr>
          <w:i/>
          <w:iCs/>
        </w:rPr>
        <w:t>applicabilityCause</w:t>
      </w:r>
      <w:r>
        <w:t xml:space="preserve"> is an ENUMERATED value which identifies the type of cause, which is either </w:t>
      </w:r>
      <w:r w:rsidRPr="00724255">
        <w:rPr>
          <w:i/>
          <w:iCs/>
        </w:rPr>
        <w:t>permanent</w:t>
      </w:r>
      <w:r>
        <w:t xml:space="preserve"> or </w:t>
      </w:r>
      <w:r w:rsidRPr="00724255">
        <w:rPr>
          <w:i/>
          <w:iCs/>
        </w:rPr>
        <w:t>temporary</w:t>
      </w:r>
      <w:r>
        <w:t xml:space="preserve"> for each full inference configuration and set of inference-related parameters.</w:t>
      </w:r>
    </w:p>
    <w:p w14:paraId="3ED54CD2" w14:textId="77777777" w:rsidR="009024AB" w:rsidRDefault="009024AB" w:rsidP="009D1295">
      <w:r>
        <w:t xml:space="preserve">Additionally, the serving cell index is included and applicable to full inference configurations and sets of inference-related parameters. For the full inference configuration, the serving cell index deconflicts the overlapping configuration IDs, which are unique per cell, and for the sets of inference-related parameters, the serving cell index is used to report whether the parameters are applicable to each serving cell. </w:t>
      </w:r>
    </w:p>
    <w:tbl>
      <w:tblPr>
        <w:tblStyle w:val="TableGrid"/>
        <w:tblW w:w="0" w:type="auto"/>
        <w:tblLook w:val="04A0" w:firstRow="1" w:lastRow="0" w:firstColumn="1" w:lastColumn="0" w:noHBand="0" w:noVBand="1"/>
      </w:tblPr>
      <w:tblGrid>
        <w:gridCol w:w="9631"/>
      </w:tblGrid>
      <w:tr w:rsidR="009024AB" w14:paraId="0F90720A" w14:textId="77777777" w:rsidTr="00F77EDA">
        <w:tc>
          <w:tcPr>
            <w:tcW w:w="9631" w:type="dxa"/>
          </w:tcPr>
          <w:p w14:paraId="17F0EA4F" w14:textId="77777777" w:rsidR="009024AB" w:rsidRPr="00724255"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724255">
              <w:rPr>
                <w:rFonts w:ascii="Courier New" w:eastAsia="Yu Mincho" w:hAnsi="Courier New"/>
                <w:sz w:val="16"/>
                <w:lang w:eastAsia="en-GB"/>
              </w:rPr>
              <w:t xml:space="preserve">ApplicabilityReport-r19 ::=           </w:t>
            </w:r>
            <w:r w:rsidRPr="00724255">
              <w:rPr>
                <w:rFonts w:ascii="Courier New" w:eastAsia="Yu Mincho" w:hAnsi="Courier New"/>
                <w:color w:val="993366"/>
                <w:sz w:val="16"/>
                <w:lang w:eastAsia="en-GB"/>
              </w:rPr>
              <w:t>SEQUENCE</w:t>
            </w:r>
            <w:r w:rsidRPr="00724255">
              <w:rPr>
                <w:rFonts w:ascii="Courier New" w:eastAsia="Yu Mincho" w:hAnsi="Courier New"/>
                <w:sz w:val="16"/>
                <w:lang w:eastAsia="en-GB"/>
              </w:rPr>
              <w:t xml:space="preserve"> {</w:t>
            </w:r>
          </w:p>
          <w:p w14:paraId="1059A042" w14:textId="77777777" w:rsidR="009024AB" w:rsidRPr="00724255"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24255">
              <w:rPr>
                <w:rFonts w:ascii="Courier New" w:hAnsi="Courier New"/>
                <w:sz w:val="16"/>
                <w:lang w:eastAsia="en-GB"/>
              </w:rPr>
              <w:t xml:space="preserve">    </w:t>
            </w:r>
            <w:r>
              <w:rPr>
                <w:rFonts w:ascii="Courier New" w:hAnsi="Courier New"/>
                <w:sz w:val="16"/>
                <w:lang w:eastAsia="en-GB"/>
              </w:rPr>
              <w:t>config</w:t>
            </w:r>
            <w:r w:rsidRPr="00724255">
              <w:rPr>
                <w:rFonts w:ascii="Courier New" w:hAnsi="Courier New"/>
                <w:sz w:val="16"/>
                <w:lang w:eastAsia="en-GB"/>
              </w:rPr>
              <w:t xml:space="preserve">IdType        </w:t>
            </w:r>
            <w:r>
              <w:rPr>
                <w:rFonts w:ascii="Courier New" w:hAnsi="Courier New"/>
                <w:sz w:val="16"/>
                <w:lang w:eastAsia="en-GB"/>
              </w:rPr>
              <w:t xml:space="preserve">       </w:t>
            </w:r>
            <w:r w:rsidRPr="00724255">
              <w:rPr>
                <w:rFonts w:ascii="Courier New" w:hAnsi="Courier New"/>
                <w:color w:val="993366"/>
                <w:sz w:val="16"/>
                <w:lang w:eastAsia="en-GB"/>
              </w:rPr>
              <w:t>ENUMERATED</w:t>
            </w:r>
            <w:r w:rsidRPr="00724255">
              <w:rPr>
                <w:rFonts w:ascii="Courier New" w:hAnsi="Courier New"/>
                <w:sz w:val="16"/>
                <w:lang w:eastAsia="en-GB"/>
              </w:rPr>
              <w:t xml:space="preserve"> { csi-ReportConfigId, use-case-X-Rel-19, use-case-Y-Rel-19, spare3, spare4, spare5, spare6, spare 7 },</w:t>
            </w:r>
          </w:p>
          <w:p w14:paraId="5965C95C"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4255">
              <w:rPr>
                <w:rFonts w:ascii="Courier New" w:hAnsi="Courier New"/>
                <w:sz w:val="16"/>
                <w:lang w:eastAsia="en-GB"/>
              </w:rPr>
              <w:t xml:space="preserve">    </w:t>
            </w:r>
            <w:r>
              <w:rPr>
                <w:rFonts w:ascii="Courier New" w:hAnsi="Courier New"/>
                <w:noProof/>
                <w:sz w:val="16"/>
                <w:lang w:eastAsia="en-GB"/>
              </w:rPr>
              <w:t xml:space="preserve">configId                   </w:t>
            </w:r>
            <w:r>
              <w:rPr>
                <w:rFonts w:ascii="Courier New" w:hAnsi="Courier New"/>
                <w:noProof/>
                <w:color w:val="993366"/>
                <w:sz w:val="16"/>
                <w:lang w:eastAsia="en-GB"/>
              </w:rPr>
              <w:t xml:space="preserve">INTEGER </w:t>
            </w:r>
            <w:r>
              <w:rPr>
                <w:rFonts w:ascii="Courier New" w:hAnsi="Courier New"/>
                <w:noProof/>
                <w:sz w:val="16"/>
                <w:lang w:eastAsia="en-GB"/>
              </w:rPr>
              <w:t>(0..255),</w:t>
            </w:r>
          </w:p>
          <w:p w14:paraId="30EAAFE8"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applicability              </w:t>
            </w:r>
            <w:r>
              <w:rPr>
                <w:rFonts w:ascii="Courier New" w:hAnsi="Courier New"/>
                <w:noProof/>
                <w:color w:val="993366"/>
                <w:sz w:val="16"/>
                <w:lang w:eastAsia="en-GB"/>
              </w:rPr>
              <w:t>ENUMERATED</w:t>
            </w:r>
            <w:r>
              <w:rPr>
                <w:rFonts w:ascii="Courier New" w:hAnsi="Courier New"/>
                <w:noProof/>
                <w:sz w:val="16"/>
                <w:lang w:eastAsia="en-GB"/>
              </w:rPr>
              <w:t xml:space="preserve"> {applicable, inapplicable},</w:t>
            </w:r>
          </w:p>
          <w:p w14:paraId="366B16D2" w14:textId="77777777" w:rsidR="009024AB" w:rsidRPr="00DF2E2F"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DF2E2F">
              <w:rPr>
                <w:rFonts w:ascii="Courier New" w:hAnsi="Courier New"/>
                <w:noProof/>
                <w:sz w:val="16"/>
                <w:lang w:eastAsia="en-GB"/>
              </w:rPr>
              <w:t xml:space="preserve">inapplicabilityCause       </w:t>
            </w:r>
            <w:r w:rsidRPr="00DF2E2F">
              <w:rPr>
                <w:rFonts w:ascii="Courier New" w:eastAsia="Yu Mincho" w:hAnsi="Courier New"/>
                <w:noProof/>
                <w:color w:val="993366"/>
                <w:sz w:val="16"/>
                <w:lang w:eastAsia="en-GB"/>
              </w:rPr>
              <w:t xml:space="preserve">ENUMERATED </w:t>
            </w:r>
            <w:r w:rsidRPr="00DF2E2F">
              <w:rPr>
                <w:rFonts w:ascii="Courier New" w:hAnsi="Courier New"/>
                <w:noProof/>
                <w:sz w:val="16"/>
                <w:lang w:eastAsia="en-GB"/>
              </w:rPr>
              <w:t xml:space="preserve">{temporary, permanent} </w:t>
            </w:r>
            <w:r w:rsidRPr="00DF2E2F">
              <w:rPr>
                <w:rFonts w:ascii="Courier New" w:hAnsi="Courier New"/>
                <w:noProof/>
                <w:color w:val="993366"/>
                <w:sz w:val="16"/>
                <w:lang w:eastAsia="en-GB"/>
              </w:rPr>
              <w:t>OPTIONAL</w:t>
            </w:r>
            <w:r w:rsidRPr="009D07B2">
              <w:rPr>
                <w:rFonts w:ascii="Courier New" w:hAnsi="Courier New" w:cs="Courier New"/>
                <w:sz w:val="16"/>
                <w:szCs w:val="16"/>
                <w:lang w:eastAsia="en-GB"/>
              </w:rPr>
              <w:t>,</w:t>
            </w:r>
            <w:r w:rsidRPr="009D07B2">
              <w:rPr>
                <w:rFonts w:ascii="Courier New" w:hAnsi="Courier New" w:cs="Courier New"/>
                <w:noProof/>
                <w:sz w:val="16"/>
                <w:szCs w:val="16"/>
                <w:lang w:eastAsia="en-GB"/>
              </w:rPr>
              <w:t xml:space="preserve"> </w:t>
            </w:r>
            <w:r w:rsidRPr="00996FAD">
              <w:rPr>
                <w:rFonts w:ascii="Courier New" w:hAnsi="Courier New" w:cs="Courier New"/>
                <w:color w:val="808080"/>
                <w:sz w:val="16"/>
                <w:szCs w:val="16"/>
                <w:lang w:eastAsia="zh-CN"/>
              </w:rPr>
              <w:t xml:space="preserve">-- Cond </w:t>
            </w:r>
            <w:r>
              <w:rPr>
                <w:rFonts w:ascii="Courier New" w:hAnsi="Courier New" w:cs="Courier New"/>
                <w:color w:val="808080"/>
                <w:sz w:val="16"/>
                <w:szCs w:val="16"/>
                <w:lang w:eastAsia="zh-CN"/>
              </w:rPr>
              <w:t>inapplicable</w:t>
            </w:r>
          </w:p>
          <w:p w14:paraId="45575154"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servingCellIndex           ServCellindex</w:t>
            </w:r>
          </w:p>
          <w:p w14:paraId="41D7D197" w14:textId="77777777" w:rsidR="009024AB" w:rsidRPr="00A95F1D"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tc>
      </w:tr>
    </w:tbl>
    <w:p w14:paraId="3373977D" w14:textId="77777777" w:rsidR="009024AB" w:rsidRPr="000B6897" w:rsidRDefault="009024AB" w:rsidP="009024AB">
      <w:pPr>
        <w:jc w:val="center"/>
        <w:rPr>
          <w:b/>
          <w:bCs/>
        </w:rPr>
      </w:pPr>
      <w:r w:rsidRPr="000B6897">
        <w:rPr>
          <w:b/>
          <w:bCs/>
        </w:rPr>
        <w:t xml:space="preserve">Figure </w:t>
      </w:r>
      <w:r>
        <w:rPr>
          <w:b/>
          <w:bCs/>
        </w:rPr>
        <w:t>3.3</w:t>
      </w:r>
      <w:r w:rsidRPr="000B6897">
        <w:rPr>
          <w:b/>
          <w:bCs/>
        </w:rPr>
        <w:t>-</w:t>
      </w:r>
      <w:r>
        <w:rPr>
          <w:b/>
          <w:bCs/>
        </w:rPr>
        <w:t>1</w:t>
      </w:r>
      <w:r w:rsidRPr="000B6897">
        <w:rPr>
          <w:b/>
          <w:bCs/>
        </w:rPr>
        <w:t>: ApplicabilityReport-r19</w:t>
      </w:r>
    </w:p>
    <w:p w14:paraId="7487768A" w14:textId="77777777" w:rsidR="009024AB" w:rsidRPr="000B6897" w:rsidRDefault="009024AB" w:rsidP="009D1295">
      <w:pPr>
        <w:rPr>
          <w:b/>
          <w:bCs/>
        </w:rPr>
      </w:pPr>
      <w:r w:rsidRPr="000B6897">
        <w:t xml:space="preserve">The supporting elements for signalling the </w:t>
      </w:r>
      <w:r w:rsidRPr="000B6897">
        <w:rPr>
          <w:i/>
          <w:iCs/>
        </w:rPr>
        <w:t>ApplicabilityReport</w:t>
      </w:r>
      <w:r w:rsidRPr="000B6897">
        <w:rPr>
          <w:iCs/>
        </w:rPr>
        <w:t xml:space="preserve"> are shown in Figure </w:t>
      </w:r>
      <w:r>
        <w:rPr>
          <w:iCs/>
        </w:rPr>
        <w:t>3.3</w:t>
      </w:r>
      <w:r w:rsidRPr="000B6897">
        <w:rPr>
          <w:iCs/>
        </w:rPr>
        <w:t>-</w:t>
      </w:r>
      <w:r>
        <w:rPr>
          <w:iCs/>
        </w:rPr>
        <w:t>2</w:t>
      </w:r>
      <w:r w:rsidRPr="000B6897">
        <w:rPr>
          <w:iCs/>
        </w:rPr>
        <w:t xml:space="preserve"> below, and are captured similarly in the running CR.</w:t>
      </w:r>
      <w:r>
        <w:rPr>
          <w:iCs/>
        </w:rPr>
        <w:t xml:space="preserve"> The same </w:t>
      </w:r>
      <w:r>
        <w:rPr>
          <w:i/>
          <w:iCs/>
        </w:rPr>
        <w:t>ApplicabilityReportList</w:t>
      </w:r>
      <w:r>
        <w:t xml:space="preserve"> container would be used in </w:t>
      </w:r>
      <w:r>
        <w:rPr>
          <w:i/>
          <w:iCs/>
        </w:rPr>
        <w:t>UEAssistanceInformation</w:t>
      </w:r>
      <w:r>
        <w:t xml:space="preserve"> and in </w:t>
      </w:r>
      <w:r>
        <w:rPr>
          <w:i/>
          <w:iCs/>
        </w:rPr>
        <w:t>RRCReconfigurationComplete</w:t>
      </w:r>
      <w:r>
        <w:t>, where applicable.</w:t>
      </w:r>
    </w:p>
    <w:tbl>
      <w:tblPr>
        <w:tblStyle w:val="TableGrid"/>
        <w:tblW w:w="0" w:type="auto"/>
        <w:tblLook w:val="04A0" w:firstRow="1" w:lastRow="0" w:firstColumn="1" w:lastColumn="0" w:noHBand="0" w:noVBand="1"/>
      </w:tblPr>
      <w:tblGrid>
        <w:gridCol w:w="9631"/>
      </w:tblGrid>
      <w:tr w:rsidR="009024AB" w14:paraId="493F3D81" w14:textId="77777777" w:rsidTr="00F77EDA">
        <w:tc>
          <w:tcPr>
            <w:tcW w:w="9631" w:type="dxa"/>
          </w:tcPr>
          <w:p w14:paraId="0BDB8E10"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hAnsi="Courier New"/>
                <w:noProof/>
                <w:sz w:val="16"/>
                <w:lang w:eastAsia="en-GB"/>
              </w:rPr>
              <w:t xml:space="preserve">ApplicabilityReportList-r19 ::= </w:t>
            </w:r>
            <w:r w:rsidRPr="0023760B">
              <w:rPr>
                <w:rFonts w:ascii="Courier New" w:eastAsia="Yu Mincho" w:hAnsi="Courier New"/>
                <w:noProof/>
                <w:color w:val="993366"/>
                <w:sz w:val="16"/>
                <w:lang w:eastAsia="en-GB"/>
              </w:rPr>
              <w:t>SEQUENCE</w:t>
            </w:r>
            <w:r>
              <w:rPr>
                <w:rFonts w:ascii="Courier New" w:eastAsia="Yu Mincho" w:hAnsi="Courier New"/>
                <w:noProof/>
                <w:color w:val="993366"/>
                <w:sz w:val="16"/>
                <w:lang w:eastAsia="en-GB"/>
              </w:rPr>
              <w:t xml:space="preserve"> </w:t>
            </w:r>
            <w:r w:rsidRPr="000B6897">
              <w:rPr>
                <w:rFonts w:ascii="Courier New" w:eastAsia="Yu Mincho" w:hAnsi="Courier New"/>
                <w:noProof/>
                <w:sz w:val="16"/>
                <w:lang w:eastAsia="en-GB"/>
              </w:rPr>
              <w:t>(</w:t>
            </w:r>
            <w:r>
              <w:rPr>
                <w:rFonts w:ascii="Courier New" w:eastAsia="Yu Mincho" w:hAnsi="Courier New"/>
                <w:noProof/>
                <w:color w:val="993366"/>
                <w:sz w:val="16"/>
                <w:lang w:eastAsia="en-GB"/>
              </w:rPr>
              <w:t>SIZE</w:t>
            </w:r>
            <w:r w:rsidRPr="000B6897">
              <w:rPr>
                <w:rFonts w:ascii="Courier New" w:eastAsia="Yu Mincho" w:hAnsi="Courier New"/>
                <w:noProof/>
                <w:sz w:val="16"/>
                <w:lang w:eastAsia="en-GB"/>
              </w:rPr>
              <w:t>(1..maxNrOfApplicability</w:t>
            </w:r>
            <w:r>
              <w:rPr>
                <w:rFonts w:ascii="Courier New" w:eastAsia="Yu Mincho" w:hAnsi="Courier New"/>
                <w:noProof/>
                <w:sz w:val="16"/>
                <w:lang w:eastAsia="en-GB"/>
              </w:rPr>
              <w:t>Report</w:t>
            </w:r>
            <w:r w:rsidRPr="000B6897">
              <w:rPr>
                <w:rFonts w:ascii="Courier New" w:eastAsia="Yu Mincho" w:hAnsi="Courier New"/>
                <w:noProof/>
                <w:sz w:val="16"/>
                <w:lang w:eastAsia="en-GB"/>
              </w:rPr>
              <w:t>s)) OF</w:t>
            </w:r>
          </w:p>
          <w:p w14:paraId="00E5AE18"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 xml:space="preserve">                                             </w:t>
            </w:r>
            <w:r w:rsidRPr="000B6897">
              <w:rPr>
                <w:rFonts w:ascii="Courier New" w:eastAsia="Yu Mincho" w:hAnsi="Courier New"/>
                <w:noProof/>
                <w:sz w:val="16"/>
                <w:lang w:eastAsia="en-GB"/>
              </w:rPr>
              <w:t>ApplicabilityReport-r19</w:t>
            </w:r>
          </w:p>
          <w:p w14:paraId="06547DA1"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26431B9" w14:textId="77777777" w:rsidR="009024AB" w:rsidRPr="0023760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UEAssistanceInformation-v1900-IEs ::=</w:t>
            </w:r>
            <w:r w:rsidRPr="0023760B">
              <w:rPr>
                <w:rFonts w:ascii="Courier New" w:eastAsia="Yu Mincho" w:hAnsi="Courier New"/>
                <w:noProof/>
                <w:color w:val="993366"/>
                <w:sz w:val="16"/>
                <w:lang w:eastAsia="en-GB"/>
              </w:rPr>
              <w:t xml:space="preserve"> SEQUENCE</w:t>
            </w:r>
            <w:r w:rsidRPr="0023760B">
              <w:rPr>
                <w:rFonts w:ascii="Courier New" w:eastAsia="Yu Mincho" w:hAnsi="Courier New"/>
                <w:noProof/>
                <w:sz w:val="16"/>
                <w:lang w:eastAsia="en-GB"/>
              </w:rPr>
              <w:t xml:space="preserve"> {</w:t>
            </w:r>
          </w:p>
          <w:p w14:paraId="08D4804D"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lastRenderedPageBreak/>
              <w:t xml:space="preserve">    applicabilityReportList        ApplicabilityReportList-r19 </w:t>
            </w:r>
            <w:r>
              <w:rPr>
                <w:rFonts w:ascii="Courier New" w:hAnsi="Courier New"/>
                <w:noProof/>
                <w:color w:val="993366"/>
                <w:sz w:val="16"/>
                <w:lang w:eastAsia="en-GB"/>
              </w:rPr>
              <w:t>OPTIONAL</w:t>
            </w:r>
            <w:r>
              <w:rPr>
                <w:rFonts w:ascii="Courier New" w:eastAsia="Yu Mincho" w:hAnsi="Courier New"/>
                <w:noProof/>
                <w:sz w:val="16"/>
                <w:lang w:eastAsia="en-GB"/>
              </w:rPr>
              <w:t xml:space="preserve"> -- Need R</w:t>
            </w:r>
          </w:p>
          <w:p w14:paraId="5B4AC863"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eastAsia="Yu Mincho" w:hAnsi="Courier New"/>
                <w:noProof/>
                <w:sz w:val="16"/>
                <w:lang w:eastAsia="en-GB"/>
              </w:rPr>
              <w:t xml:space="preserve">    </w:t>
            </w:r>
            <w:r>
              <w:rPr>
                <w:rFonts w:ascii="Courier New" w:hAnsi="Courier New"/>
                <w:noProof/>
                <w:sz w:val="16"/>
                <w:lang w:eastAsia="en-GB"/>
              </w:rPr>
              <w:t xml:space="preserve">nonCriticalExtensions </w:t>
            </w:r>
            <w:r>
              <w:rPr>
                <w:rFonts w:ascii="Courier New" w:hAnsi="Courier New"/>
                <w:noProof/>
                <w:color w:val="993366"/>
                <w:sz w:val="16"/>
                <w:lang w:eastAsia="en-GB"/>
              </w:rPr>
              <w:t>S</w:t>
            </w:r>
            <w:r w:rsidRPr="0023760B">
              <w:rPr>
                <w:rFonts w:ascii="Courier New" w:hAnsi="Courier New"/>
                <w:noProof/>
                <w:color w:val="993366"/>
                <w:sz w:val="16"/>
                <w:lang w:eastAsia="en-GB"/>
              </w:rPr>
              <w:t>E</w:t>
            </w:r>
            <w:r>
              <w:rPr>
                <w:rFonts w:ascii="Courier New" w:hAnsi="Courier New"/>
                <w:noProof/>
                <w:color w:val="993366"/>
                <w:sz w:val="16"/>
                <w:lang w:eastAsia="en-GB"/>
              </w:rPr>
              <w:t xml:space="preserve">QUENCE </w:t>
            </w:r>
            <w:r w:rsidRPr="00E25C45">
              <w:rPr>
                <w:rFonts w:ascii="Courier New" w:hAnsi="Courier New"/>
                <w:noProof/>
                <w:sz w:val="16"/>
                <w:lang w:eastAsia="en-GB"/>
              </w:rPr>
              <w:t>{}</w:t>
            </w:r>
          </w:p>
          <w:p w14:paraId="5EF66391"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w:t>
            </w:r>
          </w:p>
          <w:p w14:paraId="2D569735"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DF38473" w14:textId="77777777" w:rsidR="009024AB" w:rsidRPr="0023760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RRCReconfigurationComplete-v1900-IEs ::=</w:t>
            </w:r>
            <w:r w:rsidRPr="0023760B">
              <w:rPr>
                <w:rFonts w:ascii="Courier New" w:eastAsia="Yu Mincho" w:hAnsi="Courier New"/>
                <w:noProof/>
                <w:color w:val="993366"/>
                <w:sz w:val="16"/>
                <w:lang w:eastAsia="en-GB"/>
              </w:rPr>
              <w:t xml:space="preserve"> SEQUENCE</w:t>
            </w:r>
            <w:r w:rsidRPr="0023760B">
              <w:rPr>
                <w:rFonts w:ascii="Courier New" w:eastAsia="Yu Mincho" w:hAnsi="Courier New"/>
                <w:noProof/>
                <w:sz w:val="16"/>
                <w:lang w:eastAsia="en-GB"/>
              </w:rPr>
              <w:t xml:space="preserve"> {</w:t>
            </w:r>
          </w:p>
          <w:p w14:paraId="322D1276"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 xml:space="preserve">    applicabilityReportList        ApplicabilityReportList-r19 </w:t>
            </w:r>
            <w:r>
              <w:rPr>
                <w:rFonts w:ascii="Courier New" w:hAnsi="Courier New"/>
                <w:noProof/>
                <w:color w:val="993366"/>
                <w:sz w:val="16"/>
                <w:lang w:eastAsia="en-GB"/>
              </w:rPr>
              <w:t>OPTIONAL</w:t>
            </w:r>
            <w:r>
              <w:rPr>
                <w:rFonts w:ascii="Courier New" w:eastAsia="Yu Mincho" w:hAnsi="Courier New"/>
                <w:noProof/>
                <w:sz w:val="16"/>
                <w:lang w:eastAsia="en-GB"/>
              </w:rPr>
              <w:t xml:space="preserve"> -- Need R</w:t>
            </w:r>
          </w:p>
          <w:p w14:paraId="0629F4E3" w14:textId="77777777" w:rsidR="009024AB"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eastAsia="Yu Mincho" w:hAnsi="Courier New"/>
                <w:noProof/>
                <w:sz w:val="16"/>
                <w:lang w:eastAsia="en-GB"/>
              </w:rPr>
              <w:t xml:space="preserve">    </w:t>
            </w:r>
            <w:r>
              <w:rPr>
                <w:rFonts w:ascii="Courier New" w:hAnsi="Courier New"/>
                <w:noProof/>
                <w:sz w:val="16"/>
                <w:lang w:eastAsia="en-GB"/>
              </w:rPr>
              <w:t xml:space="preserve">nonCriticalExtensions </w:t>
            </w:r>
            <w:r>
              <w:rPr>
                <w:rFonts w:ascii="Courier New" w:hAnsi="Courier New"/>
                <w:noProof/>
                <w:color w:val="993366"/>
                <w:sz w:val="16"/>
                <w:lang w:eastAsia="en-GB"/>
              </w:rPr>
              <w:t>S</w:t>
            </w:r>
            <w:r w:rsidRPr="0023760B">
              <w:rPr>
                <w:rFonts w:ascii="Courier New" w:hAnsi="Courier New"/>
                <w:noProof/>
                <w:color w:val="993366"/>
                <w:sz w:val="16"/>
                <w:lang w:eastAsia="en-GB"/>
              </w:rPr>
              <w:t>E</w:t>
            </w:r>
            <w:r>
              <w:rPr>
                <w:rFonts w:ascii="Courier New" w:hAnsi="Courier New"/>
                <w:noProof/>
                <w:color w:val="993366"/>
                <w:sz w:val="16"/>
                <w:lang w:eastAsia="en-GB"/>
              </w:rPr>
              <w:t xml:space="preserve">QUENCE </w:t>
            </w:r>
            <w:r w:rsidRPr="00E25C45">
              <w:rPr>
                <w:rFonts w:ascii="Courier New" w:hAnsi="Courier New"/>
                <w:noProof/>
                <w:sz w:val="16"/>
                <w:lang w:eastAsia="en-GB"/>
              </w:rPr>
              <w:t>{}</w:t>
            </w:r>
          </w:p>
          <w:p w14:paraId="12A46EE7" w14:textId="77777777" w:rsidR="009024AB" w:rsidRPr="000B6897" w:rsidRDefault="009024AB" w:rsidP="00F77E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Pr>
                <w:rFonts w:ascii="Courier New" w:eastAsia="Yu Mincho" w:hAnsi="Courier New"/>
                <w:noProof/>
                <w:sz w:val="16"/>
                <w:lang w:eastAsia="en-GB"/>
              </w:rPr>
              <w:t>}</w:t>
            </w:r>
          </w:p>
        </w:tc>
      </w:tr>
    </w:tbl>
    <w:p w14:paraId="1A275070" w14:textId="77777777" w:rsidR="009024AB" w:rsidRDefault="009024AB" w:rsidP="009024AB">
      <w:pPr>
        <w:jc w:val="center"/>
      </w:pPr>
      <w:r w:rsidRPr="00A95F1D">
        <w:rPr>
          <w:b/>
          <w:bCs/>
        </w:rPr>
        <w:lastRenderedPageBreak/>
        <w:t xml:space="preserve">Figure </w:t>
      </w:r>
      <w:r>
        <w:rPr>
          <w:b/>
          <w:bCs/>
        </w:rPr>
        <w:t>3.3</w:t>
      </w:r>
      <w:r w:rsidRPr="00A95F1D">
        <w:rPr>
          <w:b/>
          <w:bCs/>
        </w:rPr>
        <w:t>-</w:t>
      </w:r>
      <w:r>
        <w:rPr>
          <w:b/>
          <w:bCs/>
        </w:rPr>
        <w:t>2</w:t>
      </w:r>
      <w:r w:rsidRPr="00A95F1D">
        <w:rPr>
          <w:b/>
          <w:bCs/>
        </w:rPr>
        <w:t xml:space="preserve">: </w:t>
      </w:r>
      <w:r w:rsidRPr="00A95F1D">
        <w:rPr>
          <w:b/>
          <w:bCs/>
          <w:i/>
          <w:iCs/>
        </w:rPr>
        <w:t>ApplicabilityReportList-r19</w:t>
      </w:r>
      <w:r w:rsidRPr="00A95F1D">
        <w:rPr>
          <w:b/>
          <w:bCs/>
        </w:rPr>
        <w:t xml:space="preserve">, </w:t>
      </w:r>
      <w:r w:rsidRPr="00A95F1D">
        <w:rPr>
          <w:b/>
          <w:bCs/>
          <w:i/>
          <w:iCs/>
        </w:rPr>
        <w:t>UEAssistanceInformation-v1900-IEs</w:t>
      </w:r>
      <w:r w:rsidRPr="00A95F1D">
        <w:rPr>
          <w:b/>
          <w:bCs/>
        </w:rPr>
        <w:t xml:space="preserve">, and </w:t>
      </w:r>
      <w:r w:rsidRPr="00A95F1D">
        <w:rPr>
          <w:b/>
          <w:bCs/>
          <w:i/>
          <w:iCs/>
        </w:rPr>
        <w:t>RRCReconfigurationComplete-v1900-IEs</w:t>
      </w:r>
      <w:r>
        <w:rPr>
          <w:b/>
          <w:bCs/>
        </w:rPr>
        <w:t xml:space="preserve"> Adapted from the running CR.</w:t>
      </w:r>
    </w:p>
    <w:p w14:paraId="3B4E560B" w14:textId="094C2DC3" w:rsidR="00330D74" w:rsidRDefault="00330D74" w:rsidP="002D1B7C">
      <w:pPr>
        <w:rPr>
          <w:b/>
          <w:bCs/>
        </w:rPr>
      </w:pPr>
      <w:r w:rsidRPr="002D1B7C">
        <w:rPr>
          <w:b/>
          <w:bCs/>
        </w:rPr>
        <w:t>Observation</w:t>
      </w:r>
      <w:r w:rsidR="008028FE">
        <w:rPr>
          <w:b/>
          <w:bCs/>
        </w:rPr>
        <w:t xml:space="preserve"> 4</w:t>
      </w:r>
      <w:r w:rsidRPr="002D1B7C">
        <w:rPr>
          <w:b/>
          <w:bCs/>
        </w:rPr>
        <w:t xml:space="preserve">: </w:t>
      </w:r>
      <w:r w:rsidR="00520500" w:rsidRPr="002D1B7C">
        <w:rPr>
          <w:b/>
          <w:bCs/>
        </w:rPr>
        <w:t xml:space="preserve">(RRC-7) </w:t>
      </w:r>
      <w:r w:rsidR="006D07E5" w:rsidRPr="002D1B7C">
        <w:rPr>
          <w:b/>
          <w:bCs/>
        </w:rPr>
        <w:t xml:space="preserve">The same structure, i.e., </w:t>
      </w:r>
      <w:r w:rsidR="006D07E5" w:rsidRPr="002D1B7C">
        <w:rPr>
          <w:b/>
          <w:bCs/>
          <w:i/>
          <w:iCs/>
        </w:rPr>
        <w:t>ApplicablityReportList</w:t>
      </w:r>
      <w:r w:rsidR="006D07E5" w:rsidRPr="002D1B7C">
        <w:rPr>
          <w:b/>
          <w:bCs/>
        </w:rPr>
        <w:t xml:space="preserve">, can be used for reporting applicability in </w:t>
      </w:r>
      <w:r w:rsidR="006D07E5" w:rsidRPr="002D1B7C">
        <w:rPr>
          <w:b/>
          <w:bCs/>
          <w:i/>
          <w:iCs/>
        </w:rPr>
        <w:t>RRCReconfigurationComplete</w:t>
      </w:r>
      <w:r w:rsidR="006D07E5" w:rsidRPr="002D1B7C">
        <w:t xml:space="preserve"> </w:t>
      </w:r>
      <w:r w:rsidR="006D07E5" w:rsidRPr="00540186">
        <w:rPr>
          <w:b/>
          <w:bCs/>
        </w:rPr>
        <w:t xml:space="preserve">and in </w:t>
      </w:r>
      <w:r w:rsidR="006D07E5" w:rsidRPr="00540186">
        <w:rPr>
          <w:b/>
          <w:bCs/>
          <w:i/>
          <w:iCs/>
        </w:rPr>
        <w:t>UEAssistanceInformation</w:t>
      </w:r>
      <w:r w:rsidR="006D07E5" w:rsidRPr="00540186">
        <w:rPr>
          <w:b/>
          <w:bCs/>
        </w:rPr>
        <w:t>.</w:t>
      </w:r>
      <w:r w:rsidR="006D07E5" w:rsidRPr="002D1B7C">
        <w:rPr>
          <w:b/>
          <w:bCs/>
        </w:rPr>
        <w:t xml:space="preserve"> By using the same structure,</w:t>
      </w:r>
      <w:r w:rsidR="002D1B7C" w:rsidRPr="002D1B7C">
        <w:rPr>
          <w:b/>
          <w:bCs/>
        </w:rPr>
        <w:t xml:space="preserve"> the applicability of </w:t>
      </w:r>
      <w:r w:rsidR="006D07E5" w:rsidRPr="002D1B7C">
        <w:rPr>
          <w:b/>
          <w:bCs/>
        </w:rPr>
        <w:t xml:space="preserve"> </w:t>
      </w:r>
      <w:r w:rsidR="002D1B7C" w:rsidRPr="002D1B7C">
        <w:rPr>
          <w:b/>
          <w:bCs/>
        </w:rPr>
        <w:t>sets of inference related parameters, or Option B, can be reported the same way as full inference configurations.</w:t>
      </w:r>
    </w:p>
    <w:p w14:paraId="6969CA6F" w14:textId="16E504D4" w:rsidR="002D1B7C" w:rsidRPr="00B116BC" w:rsidRDefault="002D1B7C" w:rsidP="00540186">
      <w:pPr>
        <w:rPr>
          <w:b/>
          <w:bCs/>
        </w:rPr>
      </w:pPr>
      <w:r>
        <w:rPr>
          <w:b/>
          <w:bCs/>
        </w:rPr>
        <w:t>Observation</w:t>
      </w:r>
      <w:r w:rsidR="008028FE">
        <w:rPr>
          <w:b/>
          <w:bCs/>
        </w:rPr>
        <w:t xml:space="preserve"> 5</w:t>
      </w:r>
      <w:r>
        <w:rPr>
          <w:b/>
          <w:bCs/>
        </w:rPr>
        <w:t xml:space="preserve">: (RRC-8) </w:t>
      </w:r>
      <w:r w:rsidR="00B116BC">
        <w:rPr>
          <w:b/>
          <w:bCs/>
        </w:rPr>
        <w:t xml:space="preserve">Full inference configurations and sets of inference-related parameters would be configured separately and have their own IDs. Therefore, they can be reported simultaneously using the same </w:t>
      </w:r>
      <w:r w:rsidR="00B116BC">
        <w:rPr>
          <w:b/>
          <w:bCs/>
          <w:i/>
          <w:iCs/>
        </w:rPr>
        <w:t>ApplicabilityReport</w:t>
      </w:r>
      <w:r w:rsidR="00B116BC">
        <w:rPr>
          <w:b/>
          <w:bCs/>
        </w:rPr>
        <w:t>.</w:t>
      </w:r>
    </w:p>
    <w:p w14:paraId="0C46DBD9" w14:textId="5E221183" w:rsidR="009024AB" w:rsidRPr="00540186" w:rsidRDefault="009024AB" w:rsidP="002D1B7C">
      <w:pPr>
        <w:rPr>
          <w:b/>
          <w:bCs/>
        </w:rPr>
      </w:pPr>
      <w:r w:rsidRPr="002D1B7C">
        <w:rPr>
          <w:b/>
          <w:bCs/>
        </w:rPr>
        <w:t>Proposal</w:t>
      </w:r>
      <w:r w:rsidR="008028FE">
        <w:rPr>
          <w:b/>
          <w:bCs/>
        </w:rPr>
        <w:t xml:space="preserve"> 5</w:t>
      </w:r>
      <w:r w:rsidRPr="002D1B7C">
        <w:rPr>
          <w:b/>
          <w:bCs/>
        </w:rPr>
        <w:t xml:space="preserve">: To allow future-proof extensibility, adopt the structure of Figure 3.1-1of </w:t>
      </w:r>
      <w:r w:rsidRPr="002D1B7C">
        <w:rPr>
          <w:b/>
          <w:bCs/>
          <w:i/>
          <w:iCs/>
        </w:rPr>
        <w:t>the ApplicabilityReport-r19</w:t>
      </w:r>
      <w:r w:rsidRPr="002D1B7C">
        <w:rPr>
          <w:b/>
          <w:bCs/>
        </w:rPr>
        <w:t xml:space="preserve"> and its inclusion in </w:t>
      </w:r>
      <w:r w:rsidRPr="002D1B7C">
        <w:rPr>
          <w:b/>
          <w:bCs/>
          <w:i/>
          <w:iCs/>
        </w:rPr>
        <w:t>UEAssistanceInformation-v1900-IEs</w:t>
      </w:r>
      <w:r w:rsidRPr="002D1B7C">
        <w:rPr>
          <w:b/>
          <w:bCs/>
        </w:rPr>
        <w:t xml:space="preserve"> and </w:t>
      </w:r>
      <w:r w:rsidRPr="002D1B7C">
        <w:rPr>
          <w:b/>
          <w:bCs/>
          <w:i/>
          <w:iCs/>
        </w:rPr>
        <w:t>RRCReconfigurationComplete-v1900-IEs</w:t>
      </w:r>
      <w:r w:rsidRPr="002D1B7C">
        <w:rPr>
          <w:b/>
          <w:bCs/>
        </w:rPr>
        <w:t>, including the reporting for a combination of full inference configurations and sets of inference-related parameters with the ability to indicate the configuration ID type (e.g., CSI-ReportConfigId, InferenceRelatedParametersId) and the configuration ID for which applicability is being reported.</w:t>
      </w:r>
    </w:p>
    <w:p w14:paraId="535D6DA3" w14:textId="12C55D0E" w:rsidR="005D0A74" w:rsidRDefault="005D0A74" w:rsidP="00540186">
      <w:pPr>
        <w:pStyle w:val="Heading2"/>
      </w:pPr>
      <w:r>
        <w:t>2.</w:t>
      </w:r>
      <w:r w:rsidR="008B7EEF">
        <w:t>4</w:t>
      </w:r>
      <w:r>
        <w:tab/>
        <w:t>(RRC-</w:t>
      </w:r>
      <w:r w:rsidR="00BF0950">
        <w:t>9/</w:t>
      </w:r>
      <w:r w:rsidR="002F1DE4">
        <w:t>10</w:t>
      </w:r>
      <w:r>
        <w:t xml:space="preserve">) Definition of </w:t>
      </w:r>
      <w:r w:rsidR="00F70BBD">
        <w:t>‘applicable AI/ML functionality’</w:t>
      </w:r>
    </w:p>
    <w:p w14:paraId="10F30861" w14:textId="3FB9E55D" w:rsidR="00960A24" w:rsidRDefault="00960A24" w:rsidP="009D1295">
      <w:r>
        <w:t>This section will address the open issues RRC-4 (Definition of ‘applicable AI/ML functionality’ and RRC-6</w:t>
      </w:r>
      <w:r w:rsidR="004E4667">
        <w:t xml:space="preserve"> (Terminology throughout RRC specs)</w:t>
      </w:r>
      <w:r w:rsidR="003D61AB">
        <w:t xml:space="preserve"> provided in the RRC open issues list for RAN2#130</w:t>
      </w:r>
      <w:r w:rsidR="004E4667">
        <w:t>.</w:t>
      </w:r>
      <w:r w:rsidR="00C87458">
        <w:t xml:space="preserve"> The scope of the open issue will be expanded to include how the applicability determination procedure could be implemented in a way that does not require the terminology.</w:t>
      </w:r>
    </w:p>
    <w:p w14:paraId="4D87905B" w14:textId="786E438F" w:rsidR="001A2D24" w:rsidRDefault="001A2D24" w:rsidP="00540186">
      <w:pPr>
        <w:pBdr>
          <w:top w:val="single" w:sz="4" w:space="1" w:color="auto"/>
          <w:left w:val="single" w:sz="4" w:space="4" w:color="auto"/>
          <w:bottom w:val="single" w:sz="4" w:space="1" w:color="auto"/>
          <w:right w:val="single" w:sz="4" w:space="4" w:color="auto"/>
        </w:pBdr>
      </w:pPr>
      <w:r w:rsidRPr="00540186">
        <w:rPr>
          <w:b/>
          <w:bCs/>
        </w:rPr>
        <w:t>RRC-</w:t>
      </w:r>
      <w:r w:rsidR="00A15500">
        <w:rPr>
          <w:b/>
          <w:bCs/>
        </w:rPr>
        <w:t>9</w:t>
      </w:r>
      <w:r w:rsidRPr="00540186">
        <w:rPr>
          <w:b/>
          <w:bCs/>
        </w:rPr>
        <w:t xml:space="preserve"> </w:t>
      </w:r>
      <w:r w:rsidR="003D61AB" w:rsidRPr="00540186">
        <w:rPr>
          <w:b/>
          <w:bCs/>
        </w:rPr>
        <w:t>Issue description:</w:t>
      </w:r>
      <w:r w:rsidR="003D61AB" w:rsidRPr="003D61AB">
        <w:t xml:space="preserve"> How to update the definition of ‘applicable AI/ML functionality’ in clause 3.1, e.g. replace 'functionality', and align it with RAN1 specs and with TS 38.300.</w:t>
      </w:r>
    </w:p>
    <w:p w14:paraId="6152CEAB" w14:textId="33C52BBF" w:rsidR="004E4667" w:rsidRDefault="001A2D24" w:rsidP="00540186">
      <w:pPr>
        <w:pBdr>
          <w:top w:val="single" w:sz="4" w:space="1" w:color="auto"/>
          <w:left w:val="single" w:sz="4" w:space="4" w:color="auto"/>
          <w:bottom w:val="single" w:sz="4" w:space="1" w:color="auto"/>
          <w:right w:val="single" w:sz="4" w:space="4" w:color="auto"/>
        </w:pBdr>
      </w:pPr>
      <w:r w:rsidRPr="00540186">
        <w:rPr>
          <w:b/>
          <w:bCs/>
        </w:rPr>
        <w:t>RRC-</w:t>
      </w:r>
      <w:r w:rsidR="00A15500">
        <w:rPr>
          <w:b/>
          <w:bCs/>
        </w:rPr>
        <w:t>10</w:t>
      </w:r>
      <w:r w:rsidRPr="00540186">
        <w:rPr>
          <w:b/>
          <w:bCs/>
        </w:rPr>
        <w:t xml:space="preserve"> Issue description:</w:t>
      </w:r>
      <w:r w:rsidRPr="001A2D24">
        <w:t xml:space="preserve"> It is FFS how to consistently update the AIML related terminology throughout the document (e.g. whether to adopt the terms 'measurement prediction', 'prediction configuration', etc.).</w:t>
      </w:r>
    </w:p>
    <w:p w14:paraId="607CDC85" w14:textId="17E6EBDC" w:rsidR="004B421D" w:rsidRDefault="00CF5571" w:rsidP="002C7C6D">
      <w:r>
        <w:t>The following agreements are relevant to the discussions on terminology in this section and the next.</w:t>
      </w:r>
    </w:p>
    <w:p w14:paraId="02C82ED4" w14:textId="30C2258B" w:rsidR="000F249E" w:rsidRDefault="000F249E" w:rsidP="00540186">
      <w:pPr>
        <w:pBdr>
          <w:top w:val="single" w:sz="4" w:space="1" w:color="auto"/>
          <w:left w:val="single" w:sz="4" w:space="4" w:color="auto"/>
          <w:bottom w:val="single" w:sz="4" w:space="1" w:color="auto"/>
          <w:right w:val="single" w:sz="4" w:space="4" w:color="auto"/>
        </w:pBdr>
      </w:pPr>
      <w:r>
        <w:t xml:space="preserve">RAN2#129b: </w:t>
      </w:r>
      <w:r w:rsidRPr="000F249E">
        <w:t xml:space="preserve">Upon receiving one or more </w:t>
      </w:r>
      <w:r w:rsidRPr="00540186">
        <w:rPr>
          <w:highlight w:val="yellow"/>
        </w:rPr>
        <w:t>full inference configuration(s)</w:t>
      </w:r>
      <w:r w:rsidRPr="000F249E">
        <w:t xml:space="preserve"> via RRCReconfiguration message, UE shall maintain all the full inference configuration(s) no matter the full inference configuration is applicable or inapplicable until the network releases it explicitly.</w:t>
      </w:r>
    </w:p>
    <w:p w14:paraId="13F25F48" w14:textId="28D4B248" w:rsidR="002A10AF" w:rsidRDefault="002A10AF" w:rsidP="00540186">
      <w:pPr>
        <w:pBdr>
          <w:top w:val="single" w:sz="4" w:space="1" w:color="auto"/>
          <w:left w:val="single" w:sz="4" w:space="4" w:color="auto"/>
          <w:bottom w:val="single" w:sz="4" w:space="1" w:color="auto"/>
          <w:right w:val="single" w:sz="4" w:space="4" w:color="auto"/>
        </w:pBdr>
      </w:pPr>
      <w:r>
        <w:t xml:space="preserve">RAN2#127b: </w:t>
      </w:r>
      <w:r w:rsidRPr="00CF5571">
        <w:t xml:space="preserve">For the purpose of discussion of AI/ML BM LCM operations, </w:t>
      </w:r>
      <w:r w:rsidRPr="00540186">
        <w:rPr>
          <w:highlight w:val="yellow"/>
        </w:rPr>
        <w:t>existing procedures and terminologies from the CSI Framework should be used, including those defined for aperiodic, semipersistent on PUCCH, semipersistent on PUSCH, and periodic reporting configurations (as/if defined in RAN1 pending response LS from RAN1).</w:t>
      </w:r>
    </w:p>
    <w:p w14:paraId="1F9C0938" w14:textId="17F7AE9C" w:rsidR="00CF5571" w:rsidRDefault="00CF5571" w:rsidP="00540186">
      <w:pPr>
        <w:pBdr>
          <w:top w:val="single" w:sz="4" w:space="1" w:color="auto"/>
          <w:left w:val="single" w:sz="4" w:space="4" w:color="auto"/>
          <w:bottom w:val="single" w:sz="4" w:space="1" w:color="auto"/>
          <w:right w:val="single" w:sz="4" w:space="4" w:color="auto"/>
        </w:pBdr>
      </w:pPr>
      <w:r>
        <w:t xml:space="preserve">RAN2#127b: </w:t>
      </w:r>
      <w:r w:rsidR="000F4C5F" w:rsidRPr="000F4C5F">
        <w:t xml:space="preserve">For now, </w:t>
      </w:r>
      <w:r w:rsidR="000F4C5F" w:rsidRPr="00540186">
        <w:rPr>
          <w:highlight w:val="yellow"/>
        </w:rPr>
        <w:t>RAN2 will not define terminology specific to the activation or deactivation for AI/ML models</w:t>
      </w:r>
      <w:r w:rsidR="000F4C5F" w:rsidRPr="000F4C5F">
        <w:t>.  Can come back to this discussion later.</w:t>
      </w:r>
    </w:p>
    <w:p w14:paraId="671AC81C" w14:textId="4D128FDC" w:rsidR="00F70BBD" w:rsidRDefault="00FB1EBE" w:rsidP="009D1295">
      <w:r>
        <w:t xml:space="preserve">While it is clear that throughout the </w:t>
      </w:r>
      <w:r w:rsidR="00C30AF2">
        <w:t>SI and WI on AI/ML</w:t>
      </w:r>
      <w:r w:rsidR="00CB5BF6">
        <w:t xml:space="preserve">, we have used a mixture of terms related to applicability and functionality, </w:t>
      </w:r>
      <w:r w:rsidR="00E053A7">
        <w:t xml:space="preserve">the terms have only served to divide AI/ML-based operations from legacy operations. Therefore, </w:t>
      </w:r>
      <w:r w:rsidR="00C55C4A">
        <w:t xml:space="preserve">we should focus on </w:t>
      </w:r>
      <w:r w:rsidR="00E053A7">
        <w:t xml:space="preserve">the </w:t>
      </w:r>
      <w:r w:rsidR="00C55C4A">
        <w:t xml:space="preserve">main objective with having used these terms, which is to differentiate procedures which relate to AI/ML-based configurations from those which do not. Given the time spent </w:t>
      </w:r>
      <w:r w:rsidR="00B76818">
        <w:t xml:space="preserve">on terminology and not having reached consensus, we propose a way forward to </w:t>
      </w:r>
      <w:r w:rsidR="00883E9A">
        <w:t xml:space="preserve">generically </w:t>
      </w:r>
      <w:r w:rsidR="00987B16">
        <w:t xml:space="preserve">describe </w:t>
      </w:r>
      <w:r w:rsidR="000D5959">
        <w:t>new procedures developed for AI/ML.</w:t>
      </w:r>
    </w:p>
    <w:p w14:paraId="0FED6033" w14:textId="47BBAF85" w:rsidR="00550A25" w:rsidRDefault="00B91BC5" w:rsidP="009D1295">
      <w:r>
        <w:t xml:space="preserve">In the agreements replicated above, </w:t>
      </w:r>
      <w:r w:rsidR="004B30A0">
        <w:t xml:space="preserve">we have agreed not to define AI/ML specific terminology and to reuse existing procedures and terminology when possible. In an agreement from the last meeting, we even refer to “full inference configurations” instead of “full inference </w:t>
      </w:r>
      <w:r w:rsidR="004B30A0" w:rsidRPr="00540186">
        <w:rPr>
          <w:b/>
          <w:bCs/>
        </w:rPr>
        <w:t>functionalities</w:t>
      </w:r>
      <w:r w:rsidR="004B30A0">
        <w:t xml:space="preserve">”. Clearly, it is natural to describe AI/ML-based configurations </w:t>
      </w:r>
      <w:r w:rsidR="00F31851">
        <w:t>instead of forcing the term functionality.</w:t>
      </w:r>
    </w:p>
    <w:p w14:paraId="2AFB2AC1" w14:textId="22A1F875" w:rsidR="00F31851" w:rsidRDefault="00F31851" w:rsidP="009D1295">
      <w:pPr>
        <w:rPr>
          <w:b/>
          <w:bCs/>
        </w:rPr>
      </w:pPr>
      <w:r w:rsidRPr="00540186">
        <w:rPr>
          <w:b/>
          <w:bCs/>
        </w:rPr>
        <w:lastRenderedPageBreak/>
        <w:t>Observation</w:t>
      </w:r>
      <w:r w:rsidR="008028FE">
        <w:rPr>
          <w:b/>
          <w:bCs/>
        </w:rPr>
        <w:t xml:space="preserve"> 6</w:t>
      </w:r>
      <w:r w:rsidRPr="00540186">
        <w:rPr>
          <w:b/>
          <w:bCs/>
        </w:rPr>
        <w:t xml:space="preserve">: In our latest agreements, we have been able to describe </w:t>
      </w:r>
      <w:r w:rsidR="00960A24" w:rsidRPr="00540186">
        <w:rPr>
          <w:b/>
          <w:bCs/>
        </w:rPr>
        <w:t>AI/ML-related behaviours without using the term functionality, and in previous meetings, we have agreed to avoid the use of new AI/ML-specific terminology when legacy terminology is sufficient.</w:t>
      </w:r>
    </w:p>
    <w:p w14:paraId="4333D71F" w14:textId="06451789" w:rsidR="00D51061" w:rsidRPr="00540186" w:rsidRDefault="00D51061" w:rsidP="009D1295">
      <w:pPr>
        <w:rPr>
          <w:b/>
          <w:bCs/>
        </w:rPr>
      </w:pPr>
      <w:r>
        <w:rPr>
          <w:b/>
          <w:bCs/>
        </w:rPr>
        <w:t>Proposal</w:t>
      </w:r>
      <w:r w:rsidR="00F77EDA">
        <w:rPr>
          <w:b/>
          <w:bCs/>
        </w:rPr>
        <w:t xml:space="preserve"> 6</w:t>
      </w:r>
      <w:r>
        <w:rPr>
          <w:b/>
          <w:bCs/>
        </w:rPr>
        <w:t>: Do not use the term “functionality” in 38.331</w:t>
      </w:r>
      <w:r w:rsidR="007E2B5C">
        <w:rPr>
          <w:b/>
          <w:bCs/>
        </w:rPr>
        <w:t xml:space="preserve"> and 38.300</w:t>
      </w:r>
      <w:r>
        <w:rPr>
          <w:b/>
          <w:bCs/>
        </w:rPr>
        <w:t>.</w:t>
      </w:r>
    </w:p>
    <w:p w14:paraId="33FD3CD1" w14:textId="77777777" w:rsidR="00CF3117" w:rsidRDefault="00387C96" w:rsidP="009D1295">
      <w:r>
        <w:t xml:space="preserve">We think that for the purpose of describing the procedures related to applicability determination and reporting, we can </w:t>
      </w:r>
      <w:r w:rsidR="00B21E8E">
        <w:t xml:space="preserve">describe aspects of a configuration which would make it subject to the applicability determination procedure. That is, </w:t>
      </w:r>
      <w:r w:rsidR="00804E22">
        <w:t xml:space="preserve">for each configuration IE type, for which there is only one in the case of Beam Management, the </w:t>
      </w:r>
      <w:r w:rsidR="00804E22">
        <w:rPr>
          <w:i/>
          <w:iCs/>
        </w:rPr>
        <w:t>CSI-Re</w:t>
      </w:r>
      <w:r w:rsidR="00CF3117">
        <w:rPr>
          <w:i/>
          <w:iCs/>
        </w:rPr>
        <w:t>portConfig</w:t>
      </w:r>
      <w:r w:rsidR="00CF3117">
        <w:t>, we can identify a set of parameters which would surely identify a configuration as one subject to applicability determination and reporting.</w:t>
      </w:r>
    </w:p>
    <w:p w14:paraId="27023D34" w14:textId="110EDD8E" w:rsidR="00960A24" w:rsidRDefault="00CF3117" w:rsidP="009D1295">
      <w:r>
        <w:t xml:space="preserve">For example, if a </w:t>
      </w:r>
      <w:r>
        <w:rPr>
          <w:i/>
          <w:iCs/>
        </w:rPr>
        <w:t>CSI-ReportConfig</w:t>
      </w:r>
      <w:r>
        <w:t xml:space="preserve"> contains the field </w:t>
      </w:r>
      <w:r w:rsidRPr="00540186">
        <w:rPr>
          <w:i/>
          <w:iCs/>
        </w:rPr>
        <w:t>typeOfBMCase1andBMCase2</w:t>
      </w:r>
      <w:r>
        <w:t>, being discussed by RAN1</w:t>
      </w:r>
      <w:r w:rsidR="00CE7187">
        <w:t xml:space="preserve"> in their running parameter list, found </w:t>
      </w:r>
      <w:hyperlink r:id="rId16" w:history="1">
        <w:r w:rsidR="00CE7187" w:rsidRPr="00370185">
          <w:rPr>
            <w:rStyle w:val="Hyperlink"/>
          </w:rPr>
          <w:t>here</w:t>
        </w:r>
      </w:hyperlink>
      <w:r>
        <w:t xml:space="preserve">, </w:t>
      </w:r>
      <w:r w:rsidR="00581067">
        <w:t>a procedure could detect the field and require reporting of applicability.</w:t>
      </w:r>
      <w:r w:rsidR="005546D8">
        <w:t xml:space="preserve"> Note that there is no mention of AI/ML, models, or functionality in the resulting procedure.</w:t>
      </w:r>
    </w:p>
    <w:tbl>
      <w:tblPr>
        <w:tblStyle w:val="TableGrid"/>
        <w:tblW w:w="0" w:type="auto"/>
        <w:tblInd w:w="562" w:type="dxa"/>
        <w:tblCellMar>
          <w:top w:w="57" w:type="dxa"/>
          <w:left w:w="57" w:type="dxa"/>
          <w:bottom w:w="57" w:type="dxa"/>
          <w:right w:w="57" w:type="dxa"/>
        </w:tblCellMar>
        <w:tblLook w:val="04A0" w:firstRow="1" w:lastRow="0" w:firstColumn="1" w:lastColumn="0" w:noHBand="0" w:noVBand="1"/>
      </w:tblPr>
      <w:tblGrid>
        <w:gridCol w:w="9069"/>
      </w:tblGrid>
      <w:tr w:rsidR="009D5F22" w14:paraId="285542B8" w14:textId="77777777" w:rsidTr="00540186">
        <w:tc>
          <w:tcPr>
            <w:tcW w:w="9069" w:type="dxa"/>
          </w:tcPr>
          <w:p w14:paraId="437122AE" w14:textId="77777777" w:rsidR="009D5F22" w:rsidRDefault="009D5F22" w:rsidP="0095424E">
            <w:r>
              <w:t xml:space="preserve">1&gt; for each </w:t>
            </w:r>
            <w:r w:rsidRPr="00EC55A5">
              <w:rPr>
                <w:i/>
                <w:iCs/>
              </w:rPr>
              <w:t>csi-ReportConfig</w:t>
            </w:r>
            <w:r>
              <w:t xml:space="preserve"> included within </w:t>
            </w:r>
            <w:r>
              <w:rPr>
                <w:i/>
                <w:iCs/>
              </w:rPr>
              <w:t>csi-ReportConfigToAddMod</w:t>
            </w:r>
          </w:p>
          <w:p w14:paraId="664C41F4" w14:textId="77777777" w:rsidR="009D5F22" w:rsidRPr="00540186" w:rsidRDefault="009D5F22" w:rsidP="0095424E">
            <w:r>
              <w:tab/>
            </w:r>
            <w:r w:rsidRPr="00540186">
              <w:rPr>
                <w:highlight w:val="yellow"/>
              </w:rPr>
              <w:t xml:space="preserve">2&gt; if the field </w:t>
            </w:r>
            <w:r w:rsidRPr="00540186">
              <w:rPr>
                <w:i/>
                <w:iCs/>
                <w:highlight w:val="yellow"/>
              </w:rPr>
              <w:t>typeOfBMCase1andBMCase2</w:t>
            </w:r>
            <w:r w:rsidRPr="00540186">
              <w:rPr>
                <w:highlight w:val="yellow"/>
              </w:rPr>
              <w:t xml:space="preserve"> is included:</w:t>
            </w:r>
          </w:p>
          <w:p w14:paraId="168B1831" w14:textId="77777777" w:rsidR="009D5F22" w:rsidRPr="00540186" w:rsidRDefault="009D5F22" w:rsidP="0095424E">
            <w:r w:rsidRPr="00540186">
              <w:tab/>
            </w:r>
            <w:r w:rsidRPr="00540186">
              <w:tab/>
              <w:t xml:space="preserve">3&gt; determine the applicability of the </w:t>
            </w:r>
            <w:r w:rsidRPr="00540186">
              <w:rPr>
                <w:i/>
                <w:iCs/>
              </w:rPr>
              <w:t>csi-ReportConfig</w:t>
            </w:r>
          </w:p>
          <w:p w14:paraId="712BCE83" w14:textId="5BC9385C" w:rsidR="009D5F22" w:rsidRPr="00540186" w:rsidRDefault="009D5F22" w:rsidP="0095424E">
            <w:r w:rsidRPr="00540186">
              <w:tab/>
            </w:r>
            <w:r w:rsidRPr="00540186">
              <w:tab/>
              <w:t>3&gt; include an entry in the applicability report list:</w:t>
            </w:r>
          </w:p>
          <w:p w14:paraId="389E7911" w14:textId="77777777" w:rsidR="009D5F22" w:rsidRPr="00540186" w:rsidRDefault="009D5F22" w:rsidP="0095424E">
            <w:r w:rsidRPr="00540186">
              <w:tab/>
            </w:r>
            <w:r w:rsidRPr="00540186">
              <w:tab/>
            </w:r>
            <w:r w:rsidRPr="00540186">
              <w:tab/>
              <w:t xml:space="preserve">4&gt; if the </w:t>
            </w:r>
            <w:r w:rsidRPr="00540186">
              <w:rPr>
                <w:i/>
                <w:iCs/>
              </w:rPr>
              <w:t>csi-ReportConfig</w:t>
            </w:r>
            <w:r w:rsidRPr="00540186">
              <w:t xml:space="preserve"> corresponds to an SCell:</w:t>
            </w:r>
          </w:p>
          <w:p w14:paraId="32975638" w14:textId="77777777" w:rsidR="009D5F22" w:rsidRPr="00540186" w:rsidRDefault="009D5F22" w:rsidP="0095424E">
            <w:r w:rsidRPr="00540186">
              <w:tab/>
            </w:r>
            <w:r w:rsidRPr="00540186">
              <w:tab/>
            </w:r>
            <w:r w:rsidRPr="00540186">
              <w:tab/>
            </w:r>
            <w:r w:rsidRPr="00540186">
              <w:tab/>
              <w:t xml:space="preserve">5&gt; include the </w:t>
            </w:r>
            <w:r w:rsidRPr="00540186">
              <w:rPr>
                <w:i/>
                <w:iCs/>
              </w:rPr>
              <w:t>SCellIndex</w:t>
            </w:r>
          </w:p>
          <w:p w14:paraId="72D38266" w14:textId="77777777" w:rsidR="009D5F22" w:rsidRPr="00540186" w:rsidRDefault="009D5F22" w:rsidP="0095424E">
            <w:pPr>
              <w:rPr>
                <w:i/>
                <w:iCs/>
              </w:rPr>
            </w:pPr>
            <w:r w:rsidRPr="00540186">
              <w:tab/>
            </w:r>
            <w:r w:rsidRPr="00540186">
              <w:tab/>
            </w:r>
            <w:r w:rsidRPr="00540186">
              <w:tab/>
              <w:t xml:space="preserve">4&gt; set the configuration ID to the </w:t>
            </w:r>
            <w:r w:rsidRPr="00540186">
              <w:rPr>
                <w:i/>
                <w:iCs/>
              </w:rPr>
              <w:t>CSI-ReportConfigId</w:t>
            </w:r>
          </w:p>
          <w:p w14:paraId="373E7E03" w14:textId="77777777" w:rsidR="009D5F22" w:rsidRPr="00540186" w:rsidRDefault="009D5F22" w:rsidP="0095424E">
            <w:pPr>
              <w:ind w:left="568" w:firstLine="284"/>
            </w:pPr>
            <w:r w:rsidRPr="00540186">
              <w:t xml:space="preserve">4&gt; set the configuration type to </w:t>
            </w:r>
            <w:r w:rsidRPr="00540186">
              <w:rPr>
                <w:i/>
                <w:iCs/>
              </w:rPr>
              <w:t>CSI-ReportConfigId</w:t>
            </w:r>
            <w:r w:rsidRPr="00540186">
              <w:t xml:space="preserve"> </w:t>
            </w:r>
          </w:p>
          <w:p w14:paraId="737515C6" w14:textId="77777777" w:rsidR="009D5F22" w:rsidRPr="00540186" w:rsidRDefault="009D5F22" w:rsidP="0095424E">
            <w:pPr>
              <w:ind w:left="568" w:firstLine="284"/>
            </w:pPr>
            <w:r w:rsidRPr="00540186">
              <w:t xml:space="preserve">4&gt; if the applicability of the </w:t>
            </w:r>
            <w:r w:rsidRPr="00540186">
              <w:rPr>
                <w:i/>
                <w:iCs/>
              </w:rPr>
              <w:t>csi-ReportConfig</w:t>
            </w:r>
            <w:r w:rsidRPr="00540186">
              <w:t xml:space="preserve"> has been determined to be applicable</w:t>
            </w:r>
          </w:p>
          <w:p w14:paraId="6DD14137" w14:textId="77777777" w:rsidR="009D5F22" w:rsidRPr="00540186" w:rsidRDefault="009D5F22" w:rsidP="0095424E">
            <w:pPr>
              <w:ind w:left="852" w:firstLine="284"/>
            </w:pPr>
            <w:r w:rsidRPr="00540186">
              <w:t xml:space="preserve">5&gt; set the </w:t>
            </w:r>
            <w:r w:rsidRPr="00540186">
              <w:rPr>
                <w:i/>
                <w:iCs/>
              </w:rPr>
              <w:t>applicability</w:t>
            </w:r>
            <w:r w:rsidRPr="00540186">
              <w:t xml:space="preserve"> to </w:t>
            </w:r>
            <w:r w:rsidRPr="00540186">
              <w:rPr>
                <w:i/>
                <w:iCs/>
              </w:rPr>
              <w:t>applicable</w:t>
            </w:r>
          </w:p>
          <w:p w14:paraId="0FBFD797" w14:textId="77777777" w:rsidR="009D5F22" w:rsidRPr="00540186" w:rsidRDefault="009D5F22" w:rsidP="009D5F22">
            <w:r w:rsidRPr="00540186">
              <w:tab/>
            </w:r>
            <w:r w:rsidRPr="00540186">
              <w:tab/>
            </w:r>
            <w:r w:rsidRPr="00540186">
              <w:tab/>
              <w:t>4&gt; else</w:t>
            </w:r>
          </w:p>
          <w:p w14:paraId="4DBE7207" w14:textId="77777777" w:rsidR="009D5F22" w:rsidRPr="00540186" w:rsidRDefault="009D5F22" w:rsidP="009D5F22">
            <w:r w:rsidRPr="00540186">
              <w:tab/>
            </w:r>
            <w:r w:rsidRPr="00540186">
              <w:tab/>
            </w:r>
            <w:r w:rsidRPr="00540186">
              <w:tab/>
            </w:r>
            <w:r w:rsidRPr="00540186">
              <w:tab/>
              <w:t xml:space="preserve">5&gt; set the </w:t>
            </w:r>
            <w:r w:rsidRPr="00540186">
              <w:rPr>
                <w:i/>
                <w:iCs/>
              </w:rPr>
              <w:t>applicability</w:t>
            </w:r>
            <w:r w:rsidRPr="00540186">
              <w:t xml:space="preserve"> to </w:t>
            </w:r>
            <w:r w:rsidRPr="00540186">
              <w:rPr>
                <w:i/>
                <w:iCs/>
              </w:rPr>
              <w:t>inapplicable</w:t>
            </w:r>
          </w:p>
          <w:p w14:paraId="1E295CE6" w14:textId="77777777" w:rsidR="009D5F22" w:rsidRPr="00540186" w:rsidRDefault="009D5F22" w:rsidP="009D5F22">
            <w:r w:rsidRPr="00540186">
              <w:tab/>
            </w:r>
            <w:r w:rsidRPr="00540186">
              <w:tab/>
            </w:r>
            <w:r w:rsidRPr="00540186">
              <w:tab/>
            </w:r>
            <w:r w:rsidRPr="00540186">
              <w:tab/>
              <w:t>5&gt; if configured to provide a cause of inapplicability</w:t>
            </w:r>
          </w:p>
          <w:p w14:paraId="33DD9BAD" w14:textId="77777777" w:rsidR="009D5F22" w:rsidRPr="00540186" w:rsidRDefault="009D5F22" w:rsidP="0095424E">
            <w:pPr>
              <w:ind w:left="1136" w:firstLine="284"/>
            </w:pPr>
            <w:r w:rsidRPr="00540186">
              <w:t>6&gt; determine the cause of inapplicability</w:t>
            </w:r>
          </w:p>
          <w:p w14:paraId="42FE1415" w14:textId="7155C996" w:rsidR="009D5F22" w:rsidRPr="00DF2E2F" w:rsidRDefault="009D5F22" w:rsidP="00540186">
            <w:pPr>
              <w:ind w:left="1136" w:firstLine="284"/>
            </w:pPr>
            <w:r w:rsidRPr="00540186">
              <w:t xml:space="preserve">6&gt; set the </w:t>
            </w:r>
            <w:r w:rsidRPr="00540186">
              <w:rPr>
                <w:i/>
                <w:iCs/>
              </w:rPr>
              <w:t>cause</w:t>
            </w:r>
            <w:r w:rsidRPr="00540186">
              <w:t xml:space="preserve"> to </w:t>
            </w:r>
            <w:r w:rsidRPr="00540186">
              <w:rPr>
                <w:i/>
                <w:iCs/>
              </w:rPr>
              <w:t>temporary</w:t>
            </w:r>
            <w:r w:rsidRPr="00540186">
              <w:t xml:space="preserve"> or </w:t>
            </w:r>
            <w:r w:rsidRPr="00540186">
              <w:rPr>
                <w:i/>
                <w:iCs/>
              </w:rPr>
              <w:t>permanent</w:t>
            </w:r>
            <w:r w:rsidRPr="00540186">
              <w:t xml:space="preserve"> inapplicability</w:t>
            </w:r>
          </w:p>
        </w:tc>
      </w:tr>
    </w:tbl>
    <w:p w14:paraId="27069474" w14:textId="77777777" w:rsidR="009D5F22" w:rsidRDefault="009D5F22" w:rsidP="0095424E"/>
    <w:p w14:paraId="2F2C8860" w14:textId="474A14C4" w:rsidR="004804F0" w:rsidRPr="00540186" w:rsidRDefault="004804F0" w:rsidP="00032255">
      <w:pPr>
        <w:rPr>
          <w:b/>
          <w:bCs/>
        </w:rPr>
      </w:pPr>
      <w:r w:rsidRPr="00540186">
        <w:rPr>
          <w:b/>
          <w:bCs/>
        </w:rPr>
        <w:t>Observation</w:t>
      </w:r>
      <w:r w:rsidR="008028FE">
        <w:rPr>
          <w:b/>
          <w:bCs/>
        </w:rPr>
        <w:t xml:space="preserve"> 7</w:t>
      </w:r>
      <w:r w:rsidRPr="00540186">
        <w:rPr>
          <w:b/>
          <w:bCs/>
        </w:rPr>
        <w:t xml:space="preserve">: Some fields in </w:t>
      </w:r>
      <w:r w:rsidRPr="00540186">
        <w:rPr>
          <w:b/>
          <w:bCs/>
          <w:i/>
          <w:iCs/>
        </w:rPr>
        <w:t>CSI-ReportConfig</w:t>
      </w:r>
      <w:r w:rsidRPr="00540186">
        <w:rPr>
          <w:b/>
          <w:bCs/>
        </w:rPr>
        <w:t xml:space="preserve"> will only be present in AI/ML-enabled configurations, such as </w:t>
      </w:r>
      <w:r w:rsidR="0021164B" w:rsidRPr="00540186">
        <w:rPr>
          <w:b/>
          <w:bCs/>
          <w:i/>
          <w:iCs/>
        </w:rPr>
        <w:t>typeOfBMCase1andBMCase2</w:t>
      </w:r>
      <w:r w:rsidR="006F3990" w:rsidRPr="00540186">
        <w:rPr>
          <w:b/>
          <w:bCs/>
        </w:rPr>
        <w:t xml:space="preserve">. These fields can be used to </w:t>
      </w:r>
      <w:r w:rsidR="006852BC" w:rsidRPr="00540186">
        <w:rPr>
          <w:b/>
          <w:bCs/>
        </w:rPr>
        <w:t xml:space="preserve">uniquely identify beam </w:t>
      </w:r>
      <w:r w:rsidR="00406B0D" w:rsidRPr="00540186">
        <w:rPr>
          <w:b/>
          <w:bCs/>
        </w:rPr>
        <w:t>prediction</w:t>
      </w:r>
      <w:r w:rsidR="006852BC" w:rsidRPr="00540186">
        <w:rPr>
          <w:b/>
          <w:bCs/>
        </w:rPr>
        <w:t xml:space="preserve"> AI/ML-enabled configurations based on </w:t>
      </w:r>
      <w:r w:rsidR="006852BC" w:rsidRPr="00540186">
        <w:rPr>
          <w:b/>
          <w:bCs/>
          <w:i/>
          <w:iCs/>
        </w:rPr>
        <w:t>CSI-ReportConfig</w:t>
      </w:r>
      <w:r w:rsidR="006852BC" w:rsidRPr="00540186">
        <w:rPr>
          <w:b/>
          <w:bCs/>
        </w:rPr>
        <w:t>.</w:t>
      </w:r>
    </w:p>
    <w:p w14:paraId="0C7A1D1F" w14:textId="204C0C53" w:rsidR="00FB1EBE" w:rsidRDefault="005546D8" w:rsidP="00032255">
      <w:pPr>
        <w:rPr>
          <w:b/>
          <w:bCs/>
        </w:rPr>
      </w:pPr>
      <w:r w:rsidRPr="00540186">
        <w:rPr>
          <w:b/>
          <w:bCs/>
        </w:rPr>
        <w:t>Proposal</w:t>
      </w:r>
      <w:r w:rsidR="008028FE">
        <w:rPr>
          <w:b/>
          <w:bCs/>
        </w:rPr>
        <w:t xml:space="preserve"> 7</w:t>
      </w:r>
      <w:r w:rsidRPr="00540186">
        <w:rPr>
          <w:b/>
          <w:bCs/>
        </w:rPr>
        <w:t xml:space="preserve">: Use a field </w:t>
      </w:r>
      <w:r w:rsidR="008206C5" w:rsidRPr="00540186">
        <w:rPr>
          <w:b/>
          <w:bCs/>
        </w:rPr>
        <w:t>or list of fields only available in AI/ML-enabled configurations</w:t>
      </w:r>
      <w:r w:rsidR="008745EF">
        <w:rPr>
          <w:b/>
          <w:bCs/>
        </w:rPr>
        <w:t xml:space="preserve">, e.g., </w:t>
      </w:r>
      <w:r w:rsidR="008745EF" w:rsidRPr="00045702">
        <w:rPr>
          <w:b/>
          <w:bCs/>
          <w:i/>
          <w:iCs/>
        </w:rPr>
        <w:t>typeOfBMCase1andBMCase2</w:t>
      </w:r>
      <w:r w:rsidR="0049332D">
        <w:rPr>
          <w:b/>
          <w:bCs/>
          <w:i/>
          <w:iCs/>
        </w:rPr>
        <w:t>,</w:t>
      </w:r>
      <w:r w:rsidR="008745EF">
        <w:rPr>
          <w:b/>
          <w:bCs/>
        </w:rPr>
        <w:t xml:space="preserve"> </w:t>
      </w:r>
      <w:r w:rsidR="008206C5" w:rsidRPr="00540186">
        <w:rPr>
          <w:b/>
          <w:bCs/>
        </w:rPr>
        <w:t xml:space="preserve">to </w:t>
      </w:r>
      <w:r w:rsidR="00256557" w:rsidRPr="00540186">
        <w:rPr>
          <w:b/>
          <w:bCs/>
        </w:rPr>
        <w:t>identify</w:t>
      </w:r>
      <w:r w:rsidR="008206C5" w:rsidRPr="00540186">
        <w:rPr>
          <w:b/>
          <w:bCs/>
        </w:rPr>
        <w:t xml:space="preserve"> configuration</w:t>
      </w:r>
      <w:r w:rsidR="00256557" w:rsidRPr="00540186">
        <w:rPr>
          <w:b/>
          <w:bCs/>
        </w:rPr>
        <w:t>s</w:t>
      </w:r>
      <w:r w:rsidR="008206C5" w:rsidRPr="00540186">
        <w:rPr>
          <w:b/>
          <w:bCs/>
        </w:rPr>
        <w:t xml:space="preserve"> </w:t>
      </w:r>
      <w:r w:rsidR="00256557" w:rsidRPr="00540186">
        <w:rPr>
          <w:b/>
          <w:bCs/>
        </w:rPr>
        <w:t>which are subject to the applicability determination procedure.</w:t>
      </w:r>
    </w:p>
    <w:p w14:paraId="6A2CF6DD" w14:textId="4A5EB0EA" w:rsidR="00D5450E" w:rsidRDefault="00D5450E" w:rsidP="00032255">
      <w:r>
        <w:t xml:space="preserve">Issue RRC-6 mentions a </w:t>
      </w:r>
      <w:r w:rsidR="00B40546">
        <w:t xml:space="preserve">“measurement prediction” and “prediction configuration”, but it isn’t clear why these terms are required outside of Stage 2. In Stage 3, we can be more implicit. If a </w:t>
      </w:r>
      <w:r w:rsidR="00B40546">
        <w:rPr>
          <w:i/>
          <w:iCs/>
        </w:rPr>
        <w:t>reportQuantity</w:t>
      </w:r>
      <w:r w:rsidR="00B40546">
        <w:t xml:space="preserve"> is set to </w:t>
      </w:r>
      <w:r w:rsidR="009462B8">
        <w:t>a predicted value, then it is clear that the configuration is for reporting predictions. Further description is not required.</w:t>
      </w:r>
    </w:p>
    <w:p w14:paraId="04B58A3E" w14:textId="03AAA03A" w:rsidR="008229CA" w:rsidRPr="00540186" w:rsidRDefault="008229CA" w:rsidP="00032255">
      <w:pPr>
        <w:rPr>
          <w:b/>
          <w:bCs/>
        </w:rPr>
      </w:pPr>
      <w:r w:rsidRPr="00540186">
        <w:rPr>
          <w:b/>
          <w:bCs/>
        </w:rPr>
        <w:t>Observation</w:t>
      </w:r>
      <w:r w:rsidR="008028FE">
        <w:rPr>
          <w:b/>
          <w:bCs/>
        </w:rPr>
        <w:t xml:space="preserve"> 8</w:t>
      </w:r>
      <w:r w:rsidRPr="00540186">
        <w:rPr>
          <w:b/>
          <w:bCs/>
        </w:rPr>
        <w:t xml:space="preserve">: Stage 2 can describe the nature of an AI/ML or prediction-based configuration. In Stage 3, </w:t>
      </w:r>
      <w:r w:rsidR="0084539B" w:rsidRPr="00540186">
        <w:rPr>
          <w:b/>
          <w:bCs/>
        </w:rPr>
        <w:t>the field names can describe the purpose of a configuration without the supporting text redescribing what is clear from the field names.</w:t>
      </w:r>
    </w:p>
    <w:p w14:paraId="6B9F8132" w14:textId="07A20C03" w:rsidR="009462B8" w:rsidRPr="00540186" w:rsidRDefault="009462B8" w:rsidP="00032255">
      <w:pPr>
        <w:rPr>
          <w:b/>
          <w:bCs/>
        </w:rPr>
      </w:pPr>
      <w:r w:rsidRPr="00540186">
        <w:rPr>
          <w:b/>
          <w:bCs/>
        </w:rPr>
        <w:t>Proposal</w:t>
      </w:r>
      <w:r w:rsidR="008028FE">
        <w:rPr>
          <w:b/>
          <w:bCs/>
        </w:rPr>
        <w:t xml:space="preserve"> 8</w:t>
      </w:r>
      <w:r w:rsidRPr="00540186">
        <w:rPr>
          <w:b/>
          <w:bCs/>
        </w:rPr>
        <w:t>: Outside of field names</w:t>
      </w:r>
      <w:r>
        <w:rPr>
          <w:b/>
          <w:bCs/>
        </w:rPr>
        <w:t xml:space="preserve">, </w:t>
      </w:r>
      <w:r w:rsidR="00080DA2">
        <w:rPr>
          <w:b/>
          <w:bCs/>
        </w:rPr>
        <w:t>there is no need in</w:t>
      </w:r>
      <w:r w:rsidR="00FB745A">
        <w:rPr>
          <w:b/>
          <w:bCs/>
        </w:rPr>
        <w:t xml:space="preserve"> 38.331</w:t>
      </w:r>
      <w:r w:rsidR="008229CA" w:rsidRPr="00540186">
        <w:rPr>
          <w:b/>
          <w:bCs/>
        </w:rPr>
        <w:t xml:space="preserve"> to explicit</w:t>
      </w:r>
      <w:r w:rsidR="00080DA2">
        <w:rPr>
          <w:b/>
          <w:bCs/>
        </w:rPr>
        <w:t>ly</w:t>
      </w:r>
      <w:r w:rsidR="0030505A">
        <w:rPr>
          <w:b/>
          <w:bCs/>
        </w:rPr>
        <w:t xml:space="preserve"> specify</w:t>
      </w:r>
      <w:r w:rsidR="008229CA" w:rsidRPr="00540186">
        <w:rPr>
          <w:b/>
          <w:bCs/>
        </w:rPr>
        <w:t xml:space="preserve"> whether a configuration is for prediction or whether reported measurements are predictions.</w:t>
      </w:r>
    </w:p>
    <w:p w14:paraId="25AC6067" w14:textId="76A3797C" w:rsidR="007A7934" w:rsidRPr="00540186" w:rsidRDefault="00A45E07" w:rsidP="00540186">
      <w:pPr>
        <w:pStyle w:val="Heading1"/>
        <w:rPr>
          <w:rFonts w:asciiTheme="majorBidi" w:eastAsia="MS Mincho" w:hAnsiTheme="majorBidi" w:cstheme="majorBidi"/>
          <w:b/>
        </w:rPr>
      </w:pPr>
      <w:r>
        <w:lastRenderedPageBreak/>
        <w:t>3</w:t>
      </w:r>
      <w:r>
        <w:tab/>
      </w:r>
      <w:r w:rsidR="007A7934">
        <w:t>Other Open Issues</w:t>
      </w:r>
    </w:p>
    <w:p w14:paraId="6E936B46" w14:textId="5660C8E7" w:rsidR="007A7934" w:rsidRDefault="007A7934" w:rsidP="0095424E">
      <w:pPr>
        <w:pStyle w:val="Heading2"/>
      </w:pPr>
      <w:r>
        <w:t>3.</w:t>
      </w:r>
      <w:r w:rsidR="000B7838">
        <w:t>1</w:t>
      </w:r>
      <w:r>
        <w:tab/>
        <w:t>Repeated indication of applicability for poorly performing configurations</w:t>
      </w:r>
    </w:p>
    <w:p w14:paraId="7C2C645C" w14:textId="77777777" w:rsidR="007A7934" w:rsidRDefault="007A7934" w:rsidP="009D1295">
      <w:r>
        <w:t>RAN2 agreed that the UE is the entity responsible for determination of the applicability of an AI/ML-enabled configuration, enabled by a UE-side model. The applicability depends in part on the evaluation of conditions involved in the consistency between training and inference. Some conditions are based on a comparison between model meta data and the configuration provided to the UE and others are evaluated based on aspects related to the UE, e.g., its velocity or the inputs from various sensors. What has not been considered thus far, however, is the consideration of historical performance of a configuration enabled by AI/ML models.</w:t>
      </w:r>
    </w:p>
    <w:p w14:paraId="4E1313BC" w14:textId="77777777" w:rsidR="007A7934" w:rsidRDefault="007A7934" w:rsidP="009D1295">
      <w:r>
        <w:t>A UE could frequent a cell, each time reporting that a configuration is applicable. However, due to a change in conditions, such as the construction of a new building or the presence of a large vehicle in front of the cell, or the lack of consideration for different weather conditions, a configuration reported as applicable consistently performs poorly.</w:t>
      </w:r>
    </w:p>
    <w:p w14:paraId="4CE8E5F1" w14:textId="78788E98" w:rsidR="007A7934" w:rsidRPr="00712254" w:rsidRDefault="007A7934" w:rsidP="009D1295">
      <w:pPr>
        <w:rPr>
          <w:b/>
        </w:rPr>
      </w:pPr>
      <w:r w:rsidRPr="00712254">
        <w:rPr>
          <w:b/>
        </w:rPr>
        <w:t>Observation</w:t>
      </w:r>
      <w:r w:rsidR="008028FE">
        <w:rPr>
          <w:b/>
        </w:rPr>
        <w:t xml:space="preserve"> 9</w:t>
      </w:r>
      <w:r w:rsidRPr="00712254">
        <w:rPr>
          <w:b/>
        </w:rPr>
        <w:t xml:space="preserve">: A poorly performing </w:t>
      </w:r>
      <w:r>
        <w:rPr>
          <w:b/>
        </w:rPr>
        <w:t>inference</w:t>
      </w:r>
      <w:r w:rsidRPr="00712254">
        <w:rPr>
          <w:b/>
        </w:rPr>
        <w:t xml:space="preserve"> configuration could consistently perform poorly because the applicability determination procedure is unable to account for unforeseen factors which could impact model performance.</w:t>
      </w:r>
    </w:p>
    <w:p w14:paraId="1DCA35CE" w14:textId="77777777" w:rsidR="007A7934" w:rsidRDefault="007A7934" w:rsidP="009D1295">
      <w:r>
        <w:t>To prevent the UE from repeatedly reporting a poorly performing functionality/configuration as applicable, we propose that the NW should be able to provide feedback to the UE while reconfiguring the UE due to a poorly performing AI/ML-enabled configuration. The UE could use the feedback to augment its applicability determination criteria.</w:t>
      </w:r>
    </w:p>
    <w:p w14:paraId="717EDED9" w14:textId="4403437F" w:rsidR="007A7934" w:rsidRDefault="007A7934" w:rsidP="009D1295">
      <w:pPr>
        <w:rPr>
          <w:b/>
          <w:bCs/>
        </w:rPr>
      </w:pPr>
      <w:r>
        <w:rPr>
          <w:b/>
          <w:bCs/>
        </w:rPr>
        <w:t>Observation</w:t>
      </w:r>
      <w:r w:rsidR="008028FE">
        <w:rPr>
          <w:b/>
          <w:bCs/>
        </w:rPr>
        <w:t xml:space="preserve"> 10</w:t>
      </w:r>
      <w:r>
        <w:rPr>
          <w:b/>
          <w:bCs/>
        </w:rPr>
        <w:t>: An indication of poor performance when reconfiguring a UE configured with an inference configuration could be used by the UE to help determine applicability of a configuration.</w:t>
      </w:r>
    </w:p>
    <w:p w14:paraId="0578CC6E" w14:textId="0CEDD9C6" w:rsidR="00282364" w:rsidRPr="00282364" w:rsidRDefault="007A7934" w:rsidP="00540186">
      <w:r>
        <w:rPr>
          <w:b/>
          <w:bCs/>
        </w:rPr>
        <w:t>Proposal</w:t>
      </w:r>
      <w:r w:rsidR="008028FE">
        <w:rPr>
          <w:b/>
          <w:bCs/>
        </w:rPr>
        <w:t xml:space="preserve"> 9</w:t>
      </w:r>
      <w:r>
        <w:rPr>
          <w:b/>
          <w:bCs/>
        </w:rPr>
        <w:t>: The NW can provide a cause with reconfiguration, e.g., modifying or re</w:t>
      </w:r>
      <w:r w:rsidR="00732EE7">
        <w:rPr>
          <w:b/>
          <w:bCs/>
        </w:rPr>
        <w:t>leasing</w:t>
      </w:r>
      <w:r>
        <w:rPr>
          <w:b/>
          <w:bCs/>
        </w:rPr>
        <w:t xml:space="preserve"> an inference configuration, </w:t>
      </w:r>
      <w:r w:rsidR="00732EE7">
        <w:rPr>
          <w:b/>
          <w:bCs/>
        </w:rPr>
        <w:t>indicating</w:t>
      </w:r>
      <w:r>
        <w:rPr>
          <w:b/>
          <w:bCs/>
        </w:rPr>
        <w:t xml:space="preserve"> that the configuration performed poorly.</w:t>
      </w:r>
    </w:p>
    <w:p w14:paraId="6FD213FC" w14:textId="522A8271" w:rsidR="008866F5" w:rsidRPr="008866F5" w:rsidRDefault="00282364" w:rsidP="00AC3FC7">
      <w:pPr>
        <w:pStyle w:val="Heading1"/>
      </w:pPr>
      <w:r>
        <w:t xml:space="preserve">4 </w:t>
      </w:r>
      <w:r w:rsidR="00A51382">
        <w:t>Remaining aspects on UE data collection request</w:t>
      </w:r>
    </w:p>
    <w:p w14:paraId="2B010C83" w14:textId="4300995C" w:rsidR="001A4707" w:rsidRPr="000B6897" w:rsidRDefault="00712231" w:rsidP="0009228B">
      <w:pPr>
        <w:rPr>
          <w:b/>
          <w:bCs/>
          <w:iCs/>
        </w:rPr>
      </w:pPr>
      <w:r>
        <w:t>In this section</w:t>
      </w:r>
      <w:r w:rsidR="00F80DCF">
        <w:t xml:space="preserve">, the remaining aspects </w:t>
      </w:r>
      <w:r w:rsidR="00402CD5">
        <w:t>concerning</w:t>
      </w:r>
      <w:r w:rsidR="00342E07">
        <w:t xml:space="preserve"> RRC-3 </w:t>
      </w:r>
      <w:r w:rsidR="00F315A2">
        <w:t>(</w:t>
      </w:r>
      <w:r w:rsidR="0048127F">
        <w:t>open issue</w:t>
      </w:r>
      <w:r w:rsidR="000644A6">
        <w:t xml:space="preserve"> </w:t>
      </w:r>
      <w:r w:rsidR="00481343">
        <w:t xml:space="preserve">being discussed </w:t>
      </w:r>
      <w:hyperlink r:id="rId17" w:history="1">
        <w:r w:rsidR="00EB5782" w:rsidRPr="005378CD">
          <w:rPr>
            <w:rStyle w:val="Hyperlink"/>
          </w:rPr>
          <w:t>here</w:t>
        </w:r>
      </w:hyperlink>
      <w:r w:rsidR="00EB5782">
        <w:t xml:space="preserve"> </w:t>
      </w:r>
      <w:r w:rsidR="000644A6">
        <w:t xml:space="preserve">on UE data collection request) </w:t>
      </w:r>
      <w:r w:rsidR="00A27D32">
        <w:t>are detailed</w:t>
      </w:r>
      <w:r w:rsidR="00200C32">
        <w:t>.</w:t>
      </w:r>
    </w:p>
    <w:p w14:paraId="7AB583A8" w14:textId="108832AE" w:rsidR="00720D0D" w:rsidRPr="00BE7CAD" w:rsidRDefault="00720D0D" w:rsidP="00540186">
      <w:pPr>
        <w:pStyle w:val="Heading2"/>
      </w:pPr>
      <w:r w:rsidRPr="00BE7CAD">
        <w:t>4.1</w:t>
      </w:r>
      <w:r w:rsidRPr="00BE7CAD">
        <w:tab/>
        <w:t>Indication of active data collection option</w:t>
      </w:r>
    </w:p>
    <w:p w14:paraId="4007301C" w14:textId="14E72BE1" w:rsidR="00404B8A" w:rsidRDefault="00A3340B" w:rsidP="009D1295">
      <w:r>
        <w:t xml:space="preserve">Many UEs will likely have the same data collection needs, especially those of the same hardware model or vendor. </w:t>
      </w:r>
      <w:r w:rsidR="008E5174">
        <w:t>Therefore, it could be that the reference signals for data collection are already transmitting when the UE indicates its preference to the NW. Therefore, we think it could be useful to indicate to the UE which of the candidate UE-side data collection configurations are already actively transmitting</w:t>
      </w:r>
      <w:r w:rsidR="009D4BD0">
        <w:t xml:space="preserve"> (</w:t>
      </w:r>
      <w:r w:rsidR="00657635">
        <w:t>e.g., CSI-ResourceConfig</w:t>
      </w:r>
      <w:r w:rsidR="004E15A0">
        <w:t>Id</w:t>
      </w:r>
      <w:r w:rsidR="00675CEE">
        <w:t>=1</w:t>
      </w:r>
      <w:r w:rsidR="009D4BD0">
        <w:t xml:space="preserve"> in Figure 4.1).</w:t>
      </w:r>
    </w:p>
    <w:p w14:paraId="03CE611D" w14:textId="0CF0BA75" w:rsidR="00404B8A" w:rsidRDefault="00B401E5" w:rsidP="009D1295">
      <w:r>
        <w:t xml:space="preserve">We propose the following ASN.1 </w:t>
      </w:r>
      <w:r w:rsidR="00EB44DC">
        <w:t xml:space="preserve">structure </w:t>
      </w:r>
      <w:r w:rsidR="0057388B">
        <w:t>in Figure 4</w:t>
      </w:r>
      <w:r w:rsidR="00E155A6">
        <w:t xml:space="preserve">.1-2 </w:t>
      </w:r>
      <w:r w:rsidR="00F116A3">
        <w:t xml:space="preserve">based on the </w:t>
      </w:r>
      <w:r w:rsidR="00795739">
        <w:t xml:space="preserve">RAN1 agreement </w:t>
      </w:r>
      <w:r w:rsidR="00471F46">
        <w:t xml:space="preserve">from RAN1#120 stating that </w:t>
      </w:r>
      <w:r w:rsidR="00471F46" w:rsidRPr="00540186">
        <w:rPr>
          <w:i/>
        </w:rPr>
        <w:t>“for UE-sided model, for configuring the resource for data collection purpose, support CSI-ReportConfig can used for configuring the resources for data collection purpose without CSI report”,</w:t>
      </w:r>
      <w:r w:rsidR="00795739">
        <w:t xml:space="preserve"> </w:t>
      </w:r>
      <w:r w:rsidR="0064076F">
        <w:t>with the addition of</w:t>
      </w:r>
      <w:r w:rsidR="00EB44DC">
        <w:t xml:space="preserve"> </w:t>
      </w:r>
      <w:r w:rsidR="004544CB">
        <w:t>indicating which configuration candidates are active</w:t>
      </w:r>
      <w:r w:rsidR="006C6B4F">
        <w:t>.</w:t>
      </w:r>
      <w:r w:rsidR="00C14AFE">
        <w:t xml:space="preserve"> We should keep in mind that other use cases will be supported in the future when designing this configuration</w:t>
      </w:r>
      <w:r w:rsidR="00242790">
        <w:t xml:space="preserve"> and propose a similar flexible structure for providing IDs as we proposed in Section 3.3 on the Applicability Report</w:t>
      </w:r>
      <w:r w:rsidR="00C14AFE">
        <w:t>.</w:t>
      </w:r>
    </w:p>
    <w:p w14:paraId="4E01CB14" w14:textId="0BE94F4C" w:rsidR="00C57F91" w:rsidRDefault="00C57F91" w:rsidP="00454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UE-DataCollectionPrefConfig-r19 ::= </w:t>
      </w:r>
      <w:r w:rsidRPr="004544CB">
        <w:rPr>
          <w:rFonts w:ascii="Courier New" w:hAnsi="Courier New"/>
          <w:color w:val="993366"/>
          <w:sz w:val="16"/>
          <w:lang w:eastAsia="en-GB"/>
        </w:rPr>
        <w:t>SEQUENCE</w:t>
      </w:r>
      <w:r>
        <w:rPr>
          <w:rFonts w:ascii="Courier New" w:hAnsi="Courier New"/>
          <w:sz w:val="16"/>
          <w:lang w:eastAsia="en-GB"/>
        </w:rPr>
        <w:t xml:space="preserve"> (</w:t>
      </w:r>
      <w:r w:rsidRPr="004544CB">
        <w:rPr>
          <w:rFonts w:ascii="Courier New" w:hAnsi="Courier New"/>
          <w:color w:val="993366"/>
          <w:sz w:val="16"/>
          <w:lang w:eastAsia="en-GB"/>
        </w:rPr>
        <w:t>S</w:t>
      </w:r>
      <w:r>
        <w:rPr>
          <w:rFonts w:ascii="Courier New" w:hAnsi="Courier New"/>
          <w:color w:val="993366"/>
          <w:sz w:val="16"/>
          <w:lang w:eastAsia="en-GB"/>
        </w:rPr>
        <w:t>IZE</w:t>
      </w:r>
      <w:r w:rsidR="00E27CFF">
        <w:rPr>
          <w:rFonts w:ascii="Courier New" w:hAnsi="Courier New"/>
          <w:sz w:val="16"/>
          <w:lang w:eastAsia="en-GB"/>
        </w:rPr>
        <w:t>(</w:t>
      </w:r>
      <w:proofErr w:type="gramStart"/>
      <w:r w:rsidR="00E27CFF">
        <w:rPr>
          <w:rFonts w:ascii="Courier New" w:hAnsi="Courier New"/>
          <w:sz w:val="16"/>
          <w:lang w:eastAsia="en-GB"/>
        </w:rPr>
        <w:t>1</w:t>
      </w:r>
      <w:r w:rsidR="00160509">
        <w:rPr>
          <w:rFonts w:ascii="Courier New" w:hAnsi="Courier New"/>
          <w:sz w:val="16"/>
          <w:lang w:eastAsia="en-GB"/>
        </w:rPr>
        <w:t>..</w:t>
      </w:r>
      <w:proofErr w:type="gramEnd"/>
      <w:r w:rsidR="00160509">
        <w:rPr>
          <w:rFonts w:ascii="Courier New" w:hAnsi="Courier New"/>
          <w:sz w:val="16"/>
          <w:lang w:eastAsia="en-GB"/>
        </w:rPr>
        <w:t>maxNrUE-DataCollectionPrefConfigs)) OF UE-DataCollectionPrefConfig</w:t>
      </w:r>
      <w:r w:rsidR="00342A90">
        <w:rPr>
          <w:rFonts w:ascii="Courier New" w:hAnsi="Courier New"/>
          <w:sz w:val="16"/>
          <w:lang w:eastAsia="en-GB"/>
        </w:rPr>
        <w:t>Item</w:t>
      </w:r>
      <w:r w:rsidR="00160509">
        <w:rPr>
          <w:rFonts w:ascii="Courier New" w:hAnsi="Courier New"/>
          <w:sz w:val="16"/>
          <w:lang w:eastAsia="en-GB"/>
        </w:rPr>
        <w:t>-r19</w:t>
      </w:r>
    </w:p>
    <w:p w14:paraId="1313648C" w14:textId="77777777" w:rsidR="00C57F91" w:rsidRDefault="00C57F91" w:rsidP="00454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84436C" w14:textId="4BFE6C31" w:rsidR="004544CB" w:rsidRPr="004544CB" w:rsidRDefault="0008766B" w:rsidP="00454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w:t>
      </w:r>
      <w:r w:rsidR="004544CB" w:rsidRPr="004544CB">
        <w:rPr>
          <w:rFonts w:ascii="Courier New" w:hAnsi="Courier New"/>
          <w:sz w:val="16"/>
          <w:lang w:eastAsia="en-GB"/>
        </w:rPr>
        <w:t>DataCollectionPrefConfig</w:t>
      </w:r>
      <w:r w:rsidR="00342A90">
        <w:rPr>
          <w:rFonts w:ascii="Courier New" w:hAnsi="Courier New"/>
          <w:sz w:val="16"/>
          <w:lang w:eastAsia="en-GB"/>
        </w:rPr>
        <w:t>Item</w:t>
      </w:r>
      <w:r w:rsidR="004544CB" w:rsidRPr="004544CB">
        <w:rPr>
          <w:rFonts w:ascii="Courier New" w:hAnsi="Courier New"/>
          <w:sz w:val="16"/>
          <w:lang w:eastAsia="en-GB"/>
        </w:rPr>
        <w:t xml:space="preserve">-r19 ::= </w:t>
      </w:r>
      <w:r w:rsidR="004544CB" w:rsidRPr="004544CB">
        <w:rPr>
          <w:rFonts w:ascii="Courier New" w:hAnsi="Courier New"/>
          <w:color w:val="993366"/>
          <w:sz w:val="16"/>
          <w:lang w:eastAsia="en-GB"/>
        </w:rPr>
        <w:t>SEQUENCE</w:t>
      </w:r>
      <w:r w:rsidR="004544CB" w:rsidRPr="004544CB">
        <w:rPr>
          <w:rFonts w:ascii="Courier New" w:hAnsi="Courier New"/>
          <w:sz w:val="16"/>
          <w:lang w:eastAsia="en-GB"/>
        </w:rPr>
        <w:t xml:space="preserve"> {</w:t>
      </w:r>
    </w:p>
    <w:p w14:paraId="2A83711F" w14:textId="28EE67E9" w:rsidR="00242790" w:rsidRPr="00996FAD" w:rsidRDefault="004544CB" w:rsidP="00242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544CB">
        <w:rPr>
          <w:rFonts w:ascii="Courier New" w:hAnsi="Courier New"/>
          <w:sz w:val="16"/>
          <w:lang w:eastAsia="en-GB"/>
        </w:rPr>
        <w:t xml:space="preserve">    </w:t>
      </w:r>
      <w:r w:rsidR="0008766B">
        <w:rPr>
          <w:rFonts w:ascii="Courier New" w:hAnsi="Courier New"/>
          <w:sz w:val="16"/>
          <w:lang w:eastAsia="en-GB"/>
        </w:rPr>
        <w:t>ue-DataCollectionConfig</w:t>
      </w:r>
      <w:r w:rsidR="00242790" w:rsidRPr="00996FAD">
        <w:rPr>
          <w:rFonts w:ascii="Courier New" w:hAnsi="Courier New"/>
          <w:sz w:val="16"/>
          <w:lang w:eastAsia="en-GB"/>
        </w:rPr>
        <w:t xml:space="preserve">IdType        </w:t>
      </w:r>
      <w:r w:rsidR="00242790" w:rsidRPr="00996FAD">
        <w:rPr>
          <w:rFonts w:ascii="Courier New" w:hAnsi="Courier New"/>
          <w:color w:val="993366"/>
          <w:sz w:val="16"/>
          <w:lang w:eastAsia="en-GB"/>
        </w:rPr>
        <w:t>ENUMERATED</w:t>
      </w:r>
      <w:r w:rsidR="00242790" w:rsidRPr="00996FAD">
        <w:rPr>
          <w:rFonts w:ascii="Courier New" w:hAnsi="Courier New"/>
          <w:sz w:val="16"/>
          <w:lang w:eastAsia="en-GB"/>
        </w:rPr>
        <w:t xml:space="preserve"> { csi-ReportConfigId, use-case-X-Rel-19, use-case-Y-Rel-19, spare3, spare4, spare5, spare6, spare 7 },</w:t>
      </w:r>
    </w:p>
    <w:p w14:paraId="0F976C8F" w14:textId="505B4175" w:rsidR="00242790" w:rsidRPr="00DF2E2F" w:rsidRDefault="00242790" w:rsidP="00242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AD">
        <w:rPr>
          <w:rFonts w:ascii="Courier New" w:hAnsi="Courier New"/>
          <w:sz w:val="16"/>
          <w:lang w:eastAsia="en-GB"/>
        </w:rPr>
        <w:t xml:space="preserve">    </w:t>
      </w:r>
      <w:r w:rsidR="0008766B">
        <w:rPr>
          <w:rFonts w:ascii="Courier New" w:hAnsi="Courier New"/>
          <w:sz w:val="16"/>
          <w:lang w:eastAsia="en-GB"/>
        </w:rPr>
        <w:t>ue-D</w:t>
      </w:r>
      <w:r w:rsidR="0008766B">
        <w:rPr>
          <w:rFonts w:ascii="Courier New" w:hAnsi="Courier New"/>
          <w:noProof/>
          <w:sz w:val="16"/>
          <w:lang w:eastAsia="en-GB"/>
        </w:rPr>
        <w:t>ataCollectionConfig</w:t>
      </w:r>
      <w:r w:rsidRPr="00DF2E2F">
        <w:rPr>
          <w:rFonts w:ascii="Courier New" w:hAnsi="Courier New"/>
          <w:noProof/>
          <w:sz w:val="16"/>
          <w:lang w:eastAsia="en-GB"/>
        </w:rPr>
        <w:t xml:space="preserve">Id            </w:t>
      </w:r>
      <w:r w:rsidRPr="00DF2E2F">
        <w:rPr>
          <w:rFonts w:ascii="Courier New" w:hAnsi="Courier New"/>
          <w:noProof/>
          <w:color w:val="993366"/>
          <w:sz w:val="16"/>
          <w:lang w:eastAsia="en-GB"/>
        </w:rPr>
        <w:t>OCTET STRING</w:t>
      </w:r>
      <w:r w:rsidRPr="00DF2E2F">
        <w:rPr>
          <w:rFonts w:ascii="Courier New" w:hAnsi="Courier New"/>
          <w:noProof/>
          <w:sz w:val="16"/>
          <w:lang w:eastAsia="en-GB"/>
        </w:rPr>
        <w:t>,</w:t>
      </w:r>
    </w:p>
    <w:p w14:paraId="6E1B6E3B" w14:textId="6ED42796" w:rsidR="004544CB" w:rsidRPr="004544CB" w:rsidRDefault="00F72965" w:rsidP="00454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noProof/>
          <w:sz w:val="16"/>
          <w:lang w:eastAsia="en-GB"/>
        </w:rPr>
        <w:t xml:space="preserve">    ue-DataCollectionConfigStatus        </w:t>
      </w:r>
      <w:r w:rsidRPr="00996FAD">
        <w:rPr>
          <w:rFonts w:ascii="Courier New" w:hAnsi="Courier New"/>
          <w:color w:val="993366"/>
          <w:sz w:val="16"/>
          <w:lang w:eastAsia="en-GB"/>
        </w:rPr>
        <w:t>ENUMERATED</w:t>
      </w:r>
      <w:r w:rsidRPr="00996FAD">
        <w:rPr>
          <w:rFonts w:ascii="Courier New" w:hAnsi="Courier New"/>
          <w:sz w:val="16"/>
          <w:lang w:eastAsia="en-GB"/>
        </w:rPr>
        <w:t xml:space="preserve"> {</w:t>
      </w:r>
      <w:r>
        <w:rPr>
          <w:rFonts w:ascii="Courier New" w:hAnsi="Courier New"/>
          <w:sz w:val="16"/>
          <w:lang w:eastAsia="en-GB"/>
        </w:rPr>
        <w:t xml:space="preserve"> active</w:t>
      </w:r>
      <w:r w:rsidR="00D56B32">
        <w:rPr>
          <w:rFonts w:ascii="Courier New" w:hAnsi="Courier New"/>
          <w:sz w:val="16"/>
          <w:lang w:eastAsia="en-GB"/>
        </w:rPr>
        <w:t xml:space="preserve"> } </w:t>
      </w:r>
      <w:r w:rsidR="00D56B32">
        <w:rPr>
          <w:rFonts w:ascii="Courier New" w:hAnsi="Courier New"/>
          <w:color w:val="993366"/>
          <w:sz w:val="16"/>
          <w:lang w:eastAsia="en-GB"/>
        </w:rPr>
        <w:t>OPTIONAL</w:t>
      </w:r>
    </w:p>
    <w:p w14:paraId="2D60D222" w14:textId="77777777" w:rsidR="004544CB" w:rsidRPr="004544CB" w:rsidRDefault="004544CB" w:rsidP="00454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544CB">
        <w:rPr>
          <w:rFonts w:ascii="Courier New" w:hAnsi="Courier New"/>
          <w:sz w:val="16"/>
          <w:lang w:eastAsia="en-GB"/>
        </w:rPr>
        <w:t>}</w:t>
      </w:r>
    </w:p>
    <w:p w14:paraId="259B22DE" w14:textId="0B1E2BDF" w:rsidR="004544CB" w:rsidRDefault="00E155A6" w:rsidP="00540186">
      <w:pPr>
        <w:jc w:val="center"/>
      </w:pPr>
      <w:r>
        <w:rPr>
          <w:b/>
          <w:bCs/>
        </w:rPr>
        <w:t xml:space="preserve">Figure 4.1-2 </w:t>
      </w:r>
      <w:r w:rsidR="00B11216">
        <w:rPr>
          <w:b/>
          <w:bCs/>
        </w:rPr>
        <w:t xml:space="preserve">indication of </w:t>
      </w:r>
      <w:r w:rsidR="00DE34AD">
        <w:rPr>
          <w:b/>
          <w:bCs/>
        </w:rPr>
        <w:t xml:space="preserve">data collection </w:t>
      </w:r>
      <w:r w:rsidR="006512B7">
        <w:rPr>
          <w:b/>
          <w:bCs/>
        </w:rPr>
        <w:t xml:space="preserve">for </w:t>
      </w:r>
      <w:r w:rsidR="003D0340">
        <w:rPr>
          <w:b/>
          <w:bCs/>
        </w:rPr>
        <w:t>UE-</w:t>
      </w:r>
      <w:r w:rsidR="001974DB">
        <w:rPr>
          <w:b/>
          <w:bCs/>
        </w:rPr>
        <w:t>Dat</w:t>
      </w:r>
      <w:r w:rsidR="002E3D6E">
        <w:rPr>
          <w:b/>
          <w:bCs/>
        </w:rPr>
        <w:t>a</w:t>
      </w:r>
      <w:r w:rsidR="00AC2699">
        <w:rPr>
          <w:b/>
          <w:bCs/>
        </w:rPr>
        <w:t>CollectionPrefConfig</w:t>
      </w:r>
      <w:r w:rsidRPr="000B6897">
        <w:rPr>
          <w:b/>
          <w:bCs/>
        </w:rPr>
        <w:t>-r19</w:t>
      </w:r>
    </w:p>
    <w:p w14:paraId="30514718" w14:textId="0A2DD04E" w:rsidR="00012AB5" w:rsidRPr="00540186" w:rsidRDefault="00012AB5" w:rsidP="00404B8A">
      <w:pPr>
        <w:rPr>
          <w:b/>
          <w:bCs/>
        </w:rPr>
      </w:pPr>
      <w:r w:rsidRPr="00540186">
        <w:rPr>
          <w:b/>
          <w:bCs/>
        </w:rPr>
        <w:t>Observation</w:t>
      </w:r>
      <w:r w:rsidR="008028FE">
        <w:rPr>
          <w:b/>
          <w:bCs/>
        </w:rPr>
        <w:t xml:space="preserve"> 11</w:t>
      </w:r>
      <w:r w:rsidRPr="00540186">
        <w:rPr>
          <w:b/>
          <w:bCs/>
        </w:rPr>
        <w:t xml:space="preserve">: Other UEs may have already </w:t>
      </w:r>
      <w:r w:rsidR="00040D92">
        <w:rPr>
          <w:b/>
          <w:bCs/>
        </w:rPr>
        <w:t>requested</w:t>
      </w:r>
      <w:r w:rsidRPr="00540186">
        <w:rPr>
          <w:b/>
          <w:bCs/>
        </w:rPr>
        <w:t xml:space="preserve"> the same preference for a UE data collection configuration as another UE and the configuration may already be active.</w:t>
      </w:r>
    </w:p>
    <w:p w14:paraId="2CF70948" w14:textId="4A3558CA" w:rsidR="0097603A" w:rsidRDefault="00AF193E" w:rsidP="00404B8A">
      <w:pPr>
        <w:rPr>
          <w:b/>
          <w:bCs/>
        </w:rPr>
      </w:pPr>
      <w:r w:rsidRPr="00540186">
        <w:rPr>
          <w:b/>
          <w:bCs/>
        </w:rPr>
        <w:lastRenderedPageBreak/>
        <w:t>Proposal</w:t>
      </w:r>
      <w:r w:rsidR="008028FE">
        <w:rPr>
          <w:b/>
          <w:bCs/>
        </w:rPr>
        <w:t xml:space="preserve"> 10</w:t>
      </w:r>
      <w:r w:rsidRPr="00540186">
        <w:rPr>
          <w:b/>
          <w:bCs/>
        </w:rPr>
        <w:t xml:space="preserve">: Include in the configuration for data collection </w:t>
      </w:r>
      <w:r w:rsidR="00C005E8" w:rsidRPr="00540186">
        <w:rPr>
          <w:b/>
          <w:bCs/>
        </w:rPr>
        <w:t xml:space="preserve">configuration </w:t>
      </w:r>
      <w:r w:rsidRPr="00540186">
        <w:rPr>
          <w:b/>
          <w:bCs/>
        </w:rPr>
        <w:t xml:space="preserve">candidates, e.g., </w:t>
      </w:r>
      <w:r w:rsidRPr="00540186">
        <w:rPr>
          <w:b/>
          <w:bCs/>
          <w:i/>
          <w:iCs/>
        </w:rPr>
        <w:t>UE-DataCollectionPrefConfig</w:t>
      </w:r>
      <w:r w:rsidR="005F7249" w:rsidRPr="00540186">
        <w:rPr>
          <w:b/>
          <w:bCs/>
        </w:rPr>
        <w:t xml:space="preserve">, an indication whether a </w:t>
      </w:r>
      <w:r w:rsidR="00C005E8" w:rsidRPr="00540186">
        <w:rPr>
          <w:b/>
          <w:bCs/>
        </w:rPr>
        <w:t xml:space="preserve">data collection configuration candidate is already active, e.g., for other UEs which already </w:t>
      </w:r>
      <w:r w:rsidR="00A0369F">
        <w:rPr>
          <w:b/>
          <w:bCs/>
        </w:rPr>
        <w:t>indicated</w:t>
      </w:r>
      <w:r w:rsidR="00C005E8" w:rsidRPr="00540186">
        <w:rPr>
          <w:b/>
          <w:bCs/>
        </w:rPr>
        <w:t xml:space="preserve"> the same preference.</w:t>
      </w:r>
    </w:p>
    <w:p w14:paraId="12E9C8F6" w14:textId="6DBACE97" w:rsidR="00720D0D" w:rsidRDefault="00DF4C5F" w:rsidP="00404B8A">
      <w:pPr>
        <w:rPr>
          <w:b/>
          <w:bCs/>
        </w:rPr>
      </w:pPr>
      <w:r>
        <w:rPr>
          <w:b/>
          <w:bCs/>
        </w:rPr>
        <w:t xml:space="preserve">Proposal 11: </w:t>
      </w:r>
      <w:r w:rsidR="00FD75C1">
        <w:rPr>
          <w:b/>
          <w:bCs/>
        </w:rPr>
        <w:t>A UE can immediately begin performing measurements on a data collection configuration candidate which is already active</w:t>
      </w:r>
      <w:r w:rsidR="005E2AEB">
        <w:rPr>
          <w:b/>
          <w:bCs/>
        </w:rPr>
        <w:t xml:space="preserve"> and can indicate its preference for an active data collection configuration candidate.</w:t>
      </w:r>
    </w:p>
    <w:p w14:paraId="3A38F889" w14:textId="2E62B505" w:rsidR="009641AB" w:rsidRDefault="003B3DAD">
      <w:pPr>
        <w:pStyle w:val="Heading1"/>
      </w:pPr>
      <w:r>
        <w:t>5</w:t>
      </w:r>
      <w:r>
        <w:tab/>
      </w:r>
      <w:r w:rsidR="009641AB" w:rsidRPr="00EC6FD2">
        <w:t>UE- sided model performance monitoring</w:t>
      </w:r>
    </w:p>
    <w:p w14:paraId="26AA804C" w14:textId="1E7AFBFA" w:rsidR="00D110B3" w:rsidRDefault="00D110B3" w:rsidP="00D110B3">
      <w:r>
        <w:t xml:space="preserve">UE is configured with </w:t>
      </w:r>
      <w:r w:rsidRPr="002A5785">
        <w:t xml:space="preserve">L1-RSRP </w:t>
      </w:r>
      <w:r>
        <w:t>m</w:t>
      </w:r>
      <w:r w:rsidRPr="002A5785">
        <w:t xml:space="preserve">easurements for </w:t>
      </w:r>
      <w:r w:rsidR="00DE630B">
        <w:t>i</w:t>
      </w:r>
      <w:r w:rsidRPr="002A5785">
        <w:t xml:space="preserve">nference by the </w:t>
      </w:r>
      <w:r>
        <w:t>network. This configuration</w:t>
      </w:r>
      <w:r w:rsidRPr="002A5785">
        <w:t xml:space="preserve"> include</w:t>
      </w:r>
      <w:r>
        <w:t>s</w:t>
      </w:r>
      <w:r w:rsidRPr="002A5785">
        <w:t xml:space="preserve"> measurements required as inputs to the beam prediction configuration, e.g., measurements of Set B for beam prediction Case-1 or measurements of Set A within the observation window for beam prediction Case-2.</w:t>
      </w:r>
      <w:r>
        <w:t xml:space="preserve"> </w:t>
      </w:r>
      <w:r w:rsidRPr="001C324E">
        <w:t xml:space="preserve">The beam prediction inference, e.g., L1-RSRP and/or RS index, are reported to the </w:t>
      </w:r>
      <w:r>
        <w:t>network</w:t>
      </w:r>
      <w:r w:rsidRPr="001C324E">
        <w:t>.</w:t>
      </w:r>
      <w:r>
        <w:t xml:space="preserve"> </w:t>
      </w:r>
    </w:p>
    <w:p w14:paraId="72167F28" w14:textId="6F215E63" w:rsidR="00AA5EAE" w:rsidRPr="00F355C1" w:rsidRDefault="00AA5EAE" w:rsidP="00AA5EAE">
      <w:r>
        <w:t xml:space="preserve">If </w:t>
      </w:r>
      <w:r w:rsidR="00DE630B">
        <w:t xml:space="preserve">a </w:t>
      </w:r>
      <w:r>
        <w:t>UE is configured with Type-1 Option-2</w:t>
      </w:r>
      <w:r w:rsidR="00DE630B">
        <w:t xml:space="preserve"> monitoring</w:t>
      </w:r>
      <w:r>
        <w:t xml:space="preserve">, then UE is configured with </w:t>
      </w:r>
      <w:r w:rsidRPr="00E62C9B">
        <w:t xml:space="preserve">L1-RSRP </w:t>
      </w:r>
      <w:r>
        <w:t>m</w:t>
      </w:r>
      <w:r w:rsidRPr="00E62C9B">
        <w:t xml:space="preserve">easurements for </w:t>
      </w:r>
      <w:r>
        <w:t>m</w:t>
      </w:r>
      <w:r w:rsidRPr="00E62C9B">
        <w:t>onitoring</w:t>
      </w:r>
      <w:r>
        <w:t>, which</w:t>
      </w:r>
      <w:r w:rsidRPr="00E62C9B">
        <w:t xml:space="preserve"> are used for UE-based KPI calculation</w:t>
      </w:r>
      <w:r>
        <w:t>. UE-based KPIs are calculated and reported to the network and network makes</w:t>
      </w:r>
      <w:r w:rsidDel="00251EAD">
        <w:t xml:space="preserve"> </w:t>
      </w:r>
      <w:r w:rsidRPr="00F355C1">
        <w:t xml:space="preserve">LCM decisions based on these reports. The following </w:t>
      </w:r>
      <w:r w:rsidR="00880796" w:rsidRPr="00F355C1">
        <w:t>was agreed in RAN1#120bis regarding the KPI calculation:</w:t>
      </w:r>
    </w:p>
    <w:tbl>
      <w:tblPr>
        <w:tblStyle w:val="TableGrid"/>
        <w:tblW w:w="0" w:type="auto"/>
        <w:tblLook w:val="04A0" w:firstRow="1" w:lastRow="0" w:firstColumn="1" w:lastColumn="0" w:noHBand="0" w:noVBand="1"/>
      </w:tblPr>
      <w:tblGrid>
        <w:gridCol w:w="9631"/>
      </w:tblGrid>
      <w:tr w:rsidR="00880796" w:rsidRPr="00F355C1" w14:paraId="62EF28AF" w14:textId="77777777" w:rsidTr="00880796">
        <w:tc>
          <w:tcPr>
            <w:tcW w:w="9631" w:type="dxa"/>
          </w:tcPr>
          <w:p w14:paraId="15749CB3" w14:textId="77777777" w:rsidR="00F355C1" w:rsidRPr="00540186" w:rsidRDefault="00F355C1" w:rsidP="00F355C1">
            <w:r w:rsidRPr="00540186">
              <w:rPr>
                <w:highlight w:val="green"/>
              </w:rPr>
              <w:t>Agreement</w:t>
            </w:r>
          </w:p>
          <w:p w14:paraId="35AC3DE5" w14:textId="77777777" w:rsidR="00F355C1" w:rsidRPr="00540186" w:rsidRDefault="00F355C1" w:rsidP="00F355C1">
            <w:r w:rsidRPr="00540186">
              <w:t>For UE-sided AI/ML model for beam management, for Option 2 (UE-assisted performance monitoring), the performance metric of Top 1 or Top K beam prediction accuracy is defined as:</w:t>
            </w:r>
          </w:p>
          <w:p w14:paraId="2BCF3CE1" w14:textId="77777777" w:rsidR="00F355C1" w:rsidRPr="00540186" w:rsidRDefault="00F355C1" w:rsidP="00F355C1">
            <w:pPr>
              <w:numPr>
                <w:ilvl w:val="0"/>
                <w:numId w:val="48"/>
              </w:numPr>
            </w:pPr>
            <w:r w:rsidRPr="00540186">
              <w:t xml:space="preserve">At least one of the Top M </w:t>
            </w:r>
            <w:proofErr w:type="gramStart"/>
            <w:r w:rsidRPr="00540186">
              <w:t>beam</w:t>
            </w:r>
            <w:proofErr w:type="gramEnd"/>
            <w:r w:rsidRPr="00540186">
              <w:t xml:space="preserve">(s) of the resource set(s) for monitoring is among </w:t>
            </w:r>
            <w:proofErr w:type="gramStart"/>
            <w:r w:rsidRPr="00540186">
              <w:t>Top-K</w:t>
            </w:r>
            <w:proofErr w:type="gramEnd"/>
            <w:r w:rsidRPr="00540186">
              <w:t xml:space="preserve"> predicted beam(s) of Set A (e.g., linked to at least one of the </w:t>
            </w:r>
            <w:proofErr w:type="gramStart"/>
            <w:r w:rsidRPr="00540186">
              <w:t>Top-K</w:t>
            </w:r>
            <w:proofErr w:type="gramEnd"/>
            <w:r w:rsidRPr="00540186">
              <w:t xml:space="preserve"> predicted beam(s) of Set A based on certain rule or signalling)</w:t>
            </w:r>
          </w:p>
          <w:p w14:paraId="485F508A" w14:textId="77777777" w:rsidR="00F355C1" w:rsidRPr="00540186" w:rsidRDefault="00F355C1" w:rsidP="00F355C1">
            <w:pPr>
              <w:numPr>
                <w:ilvl w:val="1"/>
                <w:numId w:val="48"/>
              </w:numPr>
            </w:pPr>
            <w:r w:rsidRPr="00540186">
              <w:t>Where K is the number of predicted beam(s) in the corresponding inference report per time instance</w:t>
            </w:r>
          </w:p>
          <w:p w14:paraId="0BA19EF2" w14:textId="77777777" w:rsidR="00F355C1" w:rsidRPr="00540186" w:rsidRDefault="00F355C1" w:rsidP="00F355C1">
            <w:pPr>
              <w:numPr>
                <w:ilvl w:val="1"/>
                <w:numId w:val="48"/>
              </w:numPr>
              <w:rPr>
                <w:highlight w:val="yellow"/>
              </w:rPr>
            </w:pPr>
            <w:r w:rsidRPr="00540186">
              <w:rPr>
                <w:highlight w:val="yellow"/>
              </w:rPr>
              <w:t>Where Top M beam(s) is the best M beam(s) based on L1-RSRP measurements of the resource set(s) for monitoring</w:t>
            </w:r>
          </w:p>
          <w:p w14:paraId="525B511A" w14:textId="77777777" w:rsidR="00F355C1" w:rsidRPr="00540186" w:rsidRDefault="00F355C1" w:rsidP="00F355C1">
            <w:pPr>
              <w:numPr>
                <w:ilvl w:val="1"/>
                <w:numId w:val="48"/>
              </w:numPr>
            </w:pPr>
            <w:r w:rsidRPr="00540186">
              <w:t>M is configured by NW in CSI report configuration for monitoring</w:t>
            </w:r>
          </w:p>
          <w:p w14:paraId="14432C36" w14:textId="77777777" w:rsidR="00F355C1" w:rsidRPr="00540186" w:rsidRDefault="00F355C1" w:rsidP="00F355C1">
            <w:pPr>
              <w:numPr>
                <w:ilvl w:val="2"/>
                <w:numId w:val="48"/>
              </w:numPr>
            </w:pPr>
            <w:r w:rsidRPr="00540186">
              <w:t>M= 1, 2</w:t>
            </w:r>
          </w:p>
          <w:p w14:paraId="70A772E2" w14:textId="198667B1" w:rsidR="00880796" w:rsidRPr="00540186" w:rsidRDefault="00F355C1" w:rsidP="00540186">
            <w:pPr>
              <w:numPr>
                <w:ilvl w:val="1"/>
                <w:numId w:val="48"/>
              </w:numPr>
            </w:pPr>
            <w:r w:rsidRPr="00540186">
              <w:t>FFS: detailed rule or signalling</w:t>
            </w:r>
          </w:p>
        </w:tc>
      </w:tr>
    </w:tbl>
    <w:p w14:paraId="6C38FD54" w14:textId="77777777" w:rsidR="00457EB7" w:rsidRDefault="00457EB7" w:rsidP="00457EB7">
      <w:pPr>
        <w:spacing w:after="160" w:line="278" w:lineRule="auto"/>
      </w:pPr>
    </w:p>
    <w:p w14:paraId="3A10458C" w14:textId="552F8A1C" w:rsidR="00457EB7" w:rsidRPr="00760CEC" w:rsidRDefault="000F560C" w:rsidP="00457EB7">
      <w:pPr>
        <w:spacing w:after="160" w:line="278" w:lineRule="auto"/>
        <w:rPr>
          <w:lang w:eastAsia="ja-JP"/>
        </w:rPr>
      </w:pPr>
      <w:r>
        <w:t>In Type</w:t>
      </w:r>
      <w:r w:rsidR="00183F93">
        <w:t>1</w:t>
      </w:r>
      <w:r>
        <w:t>-Option 2,</w:t>
      </w:r>
      <w:r w:rsidR="00457EB7">
        <w:t xml:space="preserve"> we can categorize the reporting </w:t>
      </w:r>
      <w:proofErr w:type="gramStart"/>
      <w:r>
        <w:t>Top-M</w:t>
      </w:r>
      <w:proofErr w:type="gramEnd"/>
      <w:r>
        <w:t xml:space="preserve"> beams </w:t>
      </w:r>
      <w:r w:rsidR="00457EB7">
        <w:t xml:space="preserve">to </w:t>
      </w:r>
      <w:r w:rsidR="006E7280">
        <w:t>different temporal</w:t>
      </w:r>
      <w:r w:rsidR="00457EB7">
        <w:t xml:space="preserve"> options, such as periodical, semi-persistent and event-triggered. In the periodical or semi-persistent, network can configure UE with periodical reporting or semi-persistent reporting (e.g., via a MAC-CE trigger from the network)  of monitoring metrics. Pertaining to the configuration, UE will report the monitoring metrics </w:t>
      </w:r>
      <w:r w:rsidR="001E33E4">
        <w:t xml:space="preserve">(based on L1-RSRP measurements of resource set(s) for monitoring) </w:t>
      </w:r>
      <w:r w:rsidR="00457EB7">
        <w:t>to the network. On the other hand, for event-triggered reporting, any L1</w:t>
      </w:r>
      <w:r w:rsidR="003F2552">
        <w:t>-</w:t>
      </w:r>
      <w:r w:rsidR="00457EB7">
        <w:t>based event can be considered. What kind of L1 based events could be considered</w:t>
      </w:r>
      <w:r w:rsidR="0067516E">
        <w:t xml:space="preserve"> for </w:t>
      </w:r>
      <w:proofErr w:type="gramStart"/>
      <w:r w:rsidR="0067516E">
        <w:t>Top-M</w:t>
      </w:r>
      <w:proofErr w:type="gramEnd"/>
      <w:r w:rsidR="0067516E">
        <w:t xml:space="preserve"> beam reporting</w:t>
      </w:r>
      <w:r w:rsidR="00457EB7">
        <w:t xml:space="preserve"> is up to RAN1. Along with the monitoring of events, reporting a failure event that is associated with multiple performance failure of a configuration related with ML models</w:t>
      </w:r>
      <w:r w:rsidR="00457EB7" w:rsidRPr="00493FA2">
        <w:rPr>
          <w:lang w:eastAsia="ja-JP"/>
        </w:rPr>
        <w:t xml:space="preserve"> </w:t>
      </w:r>
      <w:r w:rsidR="00457EB7" w:rsidRPr="00493FA2">
        <w:rPr>
          <w:iCs/>
          <w:lang w:eastAsia="ja-JP"/>
        </w:rPr>
        <w:t xml:space="preserve">when a failure happens for an ongoing </w:t>
      </w:r>
      <w:r w:rsidR="00CF5D79">
        <w:rPr>
          <w:iCs/>
          <w:lang w:eastAsia="ja-JP"/>
        </w:rPr>
        <w:t>inference configuration</w:t>
      </w:r>
      <w:r w:rsidR="00457EB7">
        <w:rPr>
          <w:iCs/>
          <w:lang w:eastAsia="ja-JP"/>
        </w:rPr>
        <w:t xml:space="preserve"> is also beneficial.</w:t>
      </w:r>
      <w:r w:rsidR="00457EB7" w:rsidDel="00C115A4">
        <w:t xml:space="preserve"> </w:t>
      </w:r>
      <w:r w:rsidR="00991C0C">
        <w:t>Monitoring a</w:t>
      </w:r>
      <w:r w:rsidR="0076565F">
        <w:t xml:space="preserve"> beam failure event</w:t>
      </w:r>
      <w:r w:rsidR="00A307FC">
        <w:t xml:space="preserve"> including</w:t>
      </w:r>
      <w:r w:rsidR="0025690D">
        <w:t xml:space="preserve"> </w:t>
      </w:r>
      <w:r w:rsidR="00D72ED8">
        <w:t xml:space="preserve">Set A beams </w:t>
      </w:r>
      <w:r w:rsidR="003E57E9">
        <w:t>reference signals</w:t>
      </w:r>
      <w:r w:rsidR="00597722">
        <w:t xml:space="preserve"> with </w:t>
      </w:r>
      <w:r w:rsidR="00CA21AF">
        <w:t xml:space="preserve">reporting </w:t>
      </w:r>
      <w:r w:rsidR="00C50C52">
        <w:t>early feedback</w:t>
      </w:r>
      <w:r w:rsidR="00DA38C9">
        <w:t xml:space="preserve"> of </w:t>
      </w:r>
      <w:r w:rsidR="00C50C52">
        <w:t>a</w:t>
      </w:r>
      <w:r w:rsidR="00CA21AF">
        <w:t xml:space="preserve"> failure event </w:t>
      </w:r>
      <w:r w:rsidR="00232485">
        <w:t xml:space="preserve">is essential </w:t>
      </w:r>
      <w:r w:rsidR="009B5592">
        <w:t xml:space="preserve">specially in case of </w:t>
      </w:r>
      <w:r w:rsidR="008C5E37">
        <w:t xml:space="preserve">not </w:t>
      </w:r>
      <w:r w:rsidR="001346A7">
        <w:t>receiving</w:t>
      </w:r>
      <w:r w:rsidR="008C5E37">
        <w:t xml:space="preserve"> fallback </w:t>
      </w:r>
      <w:r w:rsidR="00815324">
        <w:t>configuration from the NW</w:t>
      </w:r>
      <w:r w:rsidR="00EB256B">
        <w:t xml:space="preserve"> </w:t>
      </w:r>
      <w:r w:rsidR="006F5D68">
        <w:t xml:space="preserve">in time </w:t>
      </w:r>
      <w:r w:rsidR="00EB256B">
        <w:t>before the failure occurs</w:t>
      </w:r>
      <w:r w:rsidR="00815324">
        <w:t>.</w:t>
      </w:r>
      <w:r w:rsidR="001346A7">
        <w:t xml:space="preserve"> </w:t>
      </w:r>
    </w:p>
    <w:p w14:paraId="2ADC0D19" w14:textId="1BD24098" w:rsidR="00F46179" w:rsidRDefault="00F46179" w:rsidP="00F46179">
      <w:pPr>
        <w:spacing w:after="0"/>
        <w:rPr>
          <w:b/>
          <w:lang w:eastAsia="ja-JP"/>
        </w:rPr>
      </w:pPr>
      <w:r w:rsidRPr="00E437B1">
        <w:rPr>
          <w:b/>
          <w:lang w:eastAsia="ja-JP"/>
        </w:rPr>
        <w:t xml:space="preserve">Proposal </w:t>
      </w:r>
      <w:r w:rsidR="00402AB0">
        <w:rPr>
          <w:b/>
          <w:lang w:eastAsia="ja-JP"/>
        </w:rPr>
        <w:t>1</w:t>
      </w:r>
      <w:r w:rsidR="006469DB">
        <w:rPr>
          <w:b/>
          <w:lang w:eastAsia="ja-JP"/>
        </w:rPr>
        <w:t>2</w:t>
      </w:r>
      <w:r w:rsidRPr="00E437B1">
        <w:rPr>
          <w:b/>
          <w:lang w:eastAsia="ja-JP"/>
        </w:rPr>
        <w:t xml:space="preserve">: </w:t>
      </w:r>
      <w:bookmarkStart w:id="0" w:name="_Hlk173330477"/>
      <w:r w:rsidRPr="00E437B1">
        <w:rPr>
          <w:b/>
          <w:lang w:eastAsia="ja-JP"/>
        </w:rPr>
        <w:t xml:space="preserve">For </w:t>
      </w:r>
      <w:r w:rsidRPr="00E437B1">
        <w:rPr>
          <w:b/>
          <w:bCs/>
          <w:lang w:eastAsia="ja-JP"/>
        </w:rPr>
        <w:t>beam</w:t>
      </w:r>
      <w:r w:rsidRPr="00E437B1">
        <w:rPr>
          <w:b/>
          <w:lang w:eastAsia="ja-JP"/>
        </w:rPr>
        <w:t xml:space="preserve"> prediction-Case1 and </w:t>
      </w:r>
      <w:r w:rsidRPr="00E437B1">
        <w:rPr>
          <w:b/>
          <w:bCs/>
          <w:lang w:eastAsia="ja-JP"/>
        </w:rPr>
        <w:t>beam</w:t>
      </w:r>
      <w:r w:rsidRPr="00E437B1">
        <w:rPr>
          <w:b/>
          <w:lang w:eastAsia="ja-JP"/>
        </w:rPr>
        <w:t xml:space="preserve"> prediction-Case2, Type 1 Option 2 performance monitoring for beam prediction related CSI reporting</w:t>
      </w:r>
    </w:p>
    <w:p w14:paraId="71DD9552" w14:textId="77777777" w:rsidR="00F67304" w:rsidRDefault="00C50C52" w:rsidP="00F46179">
      <w:pPr>
        <w:pStyle w:val="ListParagraph"/>
        <w:numPr>
          <w:ilvl w:val="0"/>
          <w:numId w:val="35"/>
        </w:numPr>
        <w:spacing w:after="0"/>
        <w:rPr>
          <w:b/>
          <w:lang w:eastAsia="ja-JP"/>
        </w:rPr>
      </w:pPr>
      <w:r>
        <w:rPr>
          <w:b/>
          <w:lang w:eastAsia="ja-JP"/>
        </w:rPr>
        <w:t xml:space="preserve">Configure each UE with </w:t>
      </w:r>
      <w:r w:rsidR="004E5E06">
        <w:rPr>
          <w:b/>
          <w:lang w:eastAsia="ja-JP"/>
        </w:rPr>
        <w:t xml:space="preserve">dedicated reference signals from Set A beams for </w:t>
      </w:r>
      <w:r w:rsidR="00F16491">
        <w:rPr>
          <w:b/>
          <w:lang w:eastAsia="ja-JP"/>
        </w:rPr>
        <w:t xml:space="preserve">early feedback </w:t>
      </w:r>
      <w:r w:rsidR="00A15CF1">
        <w:rPr>
          <w:b/>
          <w:lang w:eastAsia="ja-JP"/>
        </w:rPr>
        <w:t xml:space="preserve">of a </w:t>
      </w:r>
      <w:r w:rsidR="00FA30B9">
        <w:rPr>
          <w:b/>
          <w:lang w:eastAsia="ja-JP"/>
        </w:rPr>
        <w:t>failure</w:t>
      </w:r>
      <w:r w:rsidR="0059424C">
        <w:rPr>
          <w:b/>
          <w:lang w:eastAsia="ja-JP"/>
        </w:rPr>
        <w:t xml:space="preserve"> event</w:t>
      </w:r>
    </w:p>
    <w:bookmarkEnd w:id="0"/>
    <w:p w14:paraId="56EF53CB" w14:textId="31225776" w:rsidR="00F46179" w:rsidRPr="00E437B1" w:rsidRDefault="00F67304" w:rsidP="00F46179">
      <w:pPr>
        <w:pStyle w:val="ListParagraph"/>
        <w:numPr>
          <w:ilvl w:val="0"/>
          <w:numId w:val="35"/>
        </w:numPr>
        <w:spacing w:after="0"/>
        <w:rPr>
          <w:b/>
          <w:lang w:eastAsia="ja-JP"/>
        </w:rPr>
      </w:pPr>
      <w:r>
        <w:rPr>
          <w:b/>
          <w:lang w:eastAsia="ja-JP"/>
        </w:rPr>
        <w:t>T</w:t>
      </w:r>
      <w:r w:rsidR="00F46179" w:rsidRPr="00E437B1">
        <w:rPr>
          <w:b/>
          <w:lang w:eastAsia="ja-JP"/>
        </w:rPr>
        <w:t xml:space="preserve">rigger </w:t>
      </w:r>
      <w:r>
        <w:rPr>
          <w:b/>
          <w:lang w:eastAsia="ja-JP"/>
        </w:rPr>
        <w:t>beam failure event</w:t>
      </w:r>
      <w:r w:rsidR="00F46179" w:rsidRPr="00E437B1">
        <w:rPr>
          <w:b/>
          <w:lang w:eastAsia="ja-JP"/>
        </w:rPr>
        <w:t xml:space="preserve"> reporting</w:t>
      </w:r>
      <w:r w:rsidR="001B4518">
        <w:rPr>
          <w:b/>
          <w:lang w:eastAsia="ja-JP"/>
        </w:rPr>
        <w:t xml:space="preserve"> via </w:t>
      </w:r>
      <w:r w:rsidR="008E6223">
        <w:rPr>
          <w:b/>
          <w:lang w:eastAsia="ja-JP"/>
        </w:rPr>
        <w:t>performance monitoring KPI</w:t>
      </w:r>
      <w:r w:rsidR="00F707D4">
        <w:rPr>
          <w:b/>
          <w:lang w:eastAsia="ja-JP"/>
        </w:rPr>
        <w:t xml:space="preserve"> evaluation</w:t>
      </w:r>
      <w:r w:rsidR="00F46179" w:rsidRPr="00E437B1">
        <w:rPr>
          <w:b/>
          <w:lang w:eastAsia="ja-JP"/>
        </w:rPr>
        <w:t xml:space="preserve"> </w:t>
      </w:r>
    </w:p>
    <w:p w14:paraId="5C6B9A2F" w14:textId="760898BB" w:rsidR="00364C10" w:rsidRDefault="00364C10" w:rsidP="00540186"/>
    <w:p w14:paraId="01222F6D" w14:textId="77777777" w:rsidR="00A45E07" w:rsidRPr="006E13D1" w:rsidRDefault="00A45E07" w:rsidP="00294CCF">
      <w:pPr>
        <w:pStyle w:val="Heading1"/>
      </w:pPr>
      <w:r>
        <w:lastRenderedPageBreak/>
        <w:t>6</w:t>
      </w:r>
      <w:r w:rsidRPr="006E13D1">
        <w:tab/>
      </w:r>
      <w:r>
        <w:t>Conclusion</w:t>
      </w:r>
    </w:p>
    <w:p w14:paraId="1782134F" w14:textId="77777777" w:rsidR="00A45E07" w:rsidRDefault="00A45E07" w:rsidP="00FE671A">
      <w:r>
        <w:t>This document has made the following observations:</w:t>
      </w:r>
    </w:p>
    <w:p w14:paraId="767FFAB1" w14:textId="77777777" w:rsidR="00F77EDA" w:rsidRDefault="00F77EDA" w:rsidP="00F77EDA">
      <w:pPr>
        <w:rPr>
          <w:b/>
          <w:bCs/>
        </w:rPr>
      </w:pPr>
      <w:r w:rsidRPr="00540186">
        <w:rPr>
          <w:b/>
          <w:bCs/>
        </w:rPr>
        <w:t>Observation</w:t>
      </w:r>
      <w:r>
        <w:rPr>
          <w:b/>
          <w:bCs/>
        </w:rPr>
        <w:t xml:space="preserve"> 1</w:t>
      </w:r>
      <w:r w:rsidRPr="00540186">
        <w:rPr>
          <w:b/>
          <w:bCs/>
        </w:rPr>
        <w:t>: An AI/ML-enabled configuration could be considered permanently inapplicable, in the context of an RRC session, if an applicable model neither exists in the UE nor in a model store available to the UE.</w:t>
      </w:r>
    </w:p>
    <w:p w14:paraId="53FD6130" w14:textId="77777777" w:rsidR="00F77EDA" w:rsidRPr="00540186" w:rsidRDefault="00F77EDA" w:rsidP="00F77EDA">
      <w:pPr>
        <w:rPr>
          <w:b/>
          <w:bCs/>
        </w:rPr>
      </w:pPr>
      <w:r w:rsidRPr="00540186">
        <w:rPr>
          <w:b/>
          <w:bCs/>
        </w:rPr>
        <w:t>Observation</w:t>
      </w:r>
      <w:r>
        <w:rPr>
          <w:b/>
          <w:bCs/>
        </w:rPr>
        <w:t xml:space="preserve"> 2</w:t>
      </w:r>
      <w:r w:rsidRPr="00540186">
        <w:rPr>
          <w:b/>
          <w:bCs/>
        </w:rPr>
        <w:t>: An AI/ML-enabled configuration could be considered temporarily inapplicable in two cases: if the UE has access to a model store with an applicable model or if the reason for inapplicability is related to UE performance constraints such as processing capacity or battery capacity.</w:t>
      </w:r>
    </w:p>
    <w:p w14:paraId="07D1B894" w14:textId="77777777" w:rsidR="00F77EDA" w:rsidRPr="00AE41CB" w:rsidRDefault="00F77EDA" w:rsidP="00F77EDA">
      <w:pPr>
        <w:rPr>
          <w:rFonts w:eastAsia="MS Mincho" w:cstheme="minorBidi"/>
          <w:b/>
        </w:rPr>
      </w:pPr>
      <w:r w:rsidRPr="00AE41CB">
        <w:rPr>
          <w:rStyle w:val="cf11"/>
          <w:rFonts w:asciiTheme="majorBidi" w:eastAsia="MS Mincho" w:hAnsiTheme="majorBidi" w:cstheme="majorBidi"/>
          <w:b/>
          <w:sz w:val="20"/>
          <w:szCs w:val="20"/>
        </w:rPr>
        <w:t>Observation</w:t>
      </w:r>
      <w:r>
        <w:rPr>
          <w:rStyle w:val="cf11"/>
          <w:rFonts w:asciiTheme="majorBidi" w:eastAsia="MS Mincho" w:hAnsiTheme="majorBidi" w:cstheme="majorBidi"/>
          <w:b/>
          <w:sz w:val="20"/>
          <w:szCs w:val="20"/>
        </w:rPr>
        <w:t xml:space="preserve"> 3</w:t>
      </w:r>
      <w:r w:rsidRPr="00AE41CB">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An active beam prediction configuration may become inapplicable after it is activated. During this time, the outputs of the model enabling the configuration could be unreliable or ambiguous</w:t>
      </w:r>
      <w:r w:rsidRPr="00AE41CB">
        <w:rPr>
          <w:rFonts w:cstheme="minorBidi"/>
          <w:b/>
        </w:rPr>
        <w:t>.</w:t>
      </w:r>
    </w:p>
    <w:p w14:paraId="10C3E8A2" w14:textId="77777777" w:rsidR="00F77EDA" w:rsidRDefault="00F77EDA" w:rsidP="00F77EDA">
      <w:pPr>
        <w:rPr>
          <w:b/>
          <w:bCs/>
        </w:rPr>
      </w:pPr>
      <w:r w:rsidRPr="002D1B7C">
        <w:rPr>
          <w:b/>
          <w:bCs/>
        </w:rPr>
        <w:t>Observation</w:t>
      </w:r>
      <w:r>
        <w:rPr>
          <w:b/>
          <w:bCs/>
        </w:rPr>
        <w:t xml:space="preserve"> 4</w:t>
      </w:r>
      <w:r w:rsidRPr="002D1B7C">
        <w:rPr>
          <w:b/>
          <w:bCs/>
        </w:rPr>
        <w:t xml:space="preserve">: (RRC-7) The same structure, i.e., </w:t>
      </w:r>
      <w:r w:rsidRPr="002D1B7C">
        <w:rPr>
          <w:b/>
          <w:bCs/>
          <w:i/>
          <w:iCs/>
        </w:rPr>
        <w:t>ApplicablityReportList</w:t>
      </w:r>
      <w:r w:rsidRPr="002D1B7C">
        <w:rPr>
          <w:b/>
          <w:bCs/>
        </w:rPr>
        <w:t xml:space="preserve">, can be used for reporting applicability in </w:t>
      </w:r>
      <w:r w:rsidRPr="002D1B7C">
        <w:rPr>
          <w:b/>
          <w:bCs/>
          <w:i/>
          <w:iCs/>
        </w:rPr>
        <w:t>RRCReconfigurationComplete</w:t>
      </w:r>
      <w:r w:rsidRPr="002D1B7C">
        <w:t xml:space="preserve"> </w:t>
      </w:r>
      <w:r w:rsidRPr="00540186">
        <w:rPr>
          <w:b/>
          <w:bCs/>
        </w:rPr>
        <w:t xml:space="preserve">and in </w:t>
      </w:r>
      <w:r w:rsidRPr="00540186">
        <w:rPr>
          <w:b/>
          <w:bCs/>
          <w:i/>
          <w:iCs/>
        </w:rPr>
        <w:t>UEAssistanceInformation</w:t>
      </w:r>
      <w:r w:rsidRPr="00540186">
        <w:rPr>
          <w:b/>
          <w:bCs/>
        </w:rPr>
        <w:t>.</w:t>
      </w:r>
      <w:r w:rsidRPr="002D1B7C">
        <w:rPr>
          <w:b/>
          <w:bCs/>
        </w:rPr>
        <w:t xml:space="preserve"> By using the same structure, the applicability of  sets of inference related parameters, or Option B, can be reported the same way as full inference configurations.</w:t>
      </w:r>
    </w:p>
    <w:p w14:paraId="46C0598E" w14:textId="77777777" w:rsidR="00F77EDA" w:rsidRPr="00B116BC" w:rsidRDefault="00F77EDA" w:rsidP="00F77EDA">
      <w:pPr>
        <w:rPr>
          <w:b/>
          <w:bCs/>
        </w:rPr>
      </w:pPr>
      <w:r>
        <w:rPr>
          <w:b/>
          <w:bCs/>
        </w:rPr>
        <w:t xml:space="preserve">Observation 5: (RRC-8) Full inference configurations and sets of inference-related parameters would be configured separately and have their own IDs. Therefore, they can be reported simultaneously using the same </w:t>
      </w:r>
      <w:r>
        <w:rPr>
          <w:b/>
          <w:bCs/>
          <w:i/>
          <w:iCs/>
        </w:rPr>
        <w:t>ApplicabilityReport</w:t>
      </w:r>
      <w:r>
        <w:rPr>
          <w:b/>
          <w:bCs/>
        </w:rPr>
        <w:t>.</w:t>
      </w:r>
    </w:p>
    <w:p w14:paraId="60BAF20D" w14:textId="77777777" w:rsidR="00F77EDA" w:rsidRDefault="00F77EDA" w:rsidP="00F77EDA">
      <w:pPr>
        <w:rPr>
          <w:b/>
          <w:bCs/>
        </w:rPr>
      </w:pPr>
      <w:r w:rsidRPr="00540186">
        <w:rPr>
          <w:b/>
          <w:bCs/>
        </w:rPr>
        <w:t>Observation</w:t>
      </w:r>
      <w:r>
        <w:rPr>
          <w:b/>
          <w:bCs/>
        </w:rPr>
        <w:t xml:space="preserve"> 6</w:t>
      </w:r>
      <w:r w:rsidRPr="00540186">
        <w:rPr>
          <w:b/>
          <w:bCs/>
        </w:rPr>
        <w:t>: In our latest agreements, we have been able to describe AI/ML-related behaviours without using the term functionality, and in previous meetings, we have agreed to avoid the use of new AI/ML-specific terminology when legacy terminology is sufficient.</w:t>
      </w:r>
    </w:p>
    <w:p w14:paraId="64BD69D6" w14:textId="77777777" w:rsidR="00F77EDA" w:rsidRPr="00540186" w:rsidRDefault="00F77EDA" w:rsidP="00F77EDA">
      <w:pPr>
        <w:rPr>
          <w:b/>
          <w:bCs/>
        </w:rPr>
      </w:pPr>
      <w:r w:rsidRPr="00540186">
        <w:rPr>
          <w:b/>
          <w:bCs/>
        </w:rPr>
        <w:t>Observation</w:t>
      </w:r>
      <w:r>
        <w:rPr>
          <w:b/>
          <w:bCs/>
        </w:rPr>
        <w:t xml:space="preserve"> 7</w:t>
      </w:r>
      <w:r w:rsidRPr="00540186">
        <w:rPr>
          <w:b/>
          <w:bCs/>
        </w:rPr>
        <w:t xml:space="preserve">: Some fields in </w:t>
      </w:r>
      <w:r w:rsidRPr="00540186">
        <w:rPr>
          <w:b/>
          <w:bCs/>
          <w:i/>
          <w:iCs/>
        </w:rPr>
        <w:t>CSI-ReportConfig</w:t>
      </w:r>
      <w:r w:rsidRPr="00540186">
        <w:rPr>
          <w:b/>
          <w:bCs/>
        </w:rPr>
        <w:t xml:space="preserve"> will only be present in AI/ML-enabled configurations, such as </w:t>
      </w:r>
      <w:r w:rsidRPr="00540186">
        <w:rPr>
          <w:b/>
          <w:bCs/>
          <w:i/>
          <w:iCs/>
        </w:rPr>
        <w:t>typeOfBMCase1andBMCase2</w:t>
      </w:r>
      <w:r w:rsidRPr="00540186">
        <w:rPr>
          <w:b/>
          <w:bCs/>
        </w:rPr>
        <w:t xml:space="preserve">. These fields can be used to uniquely identify beam prediction AI/ML-enabled configurations based on </w:t>
      </w:r>
      <w:r w:rsidRPr="00540186">
        <w:rPr>
          <w:b/>
          <w:bCs/>
          <w:i/>
          <w:iCs/>
        </w:rPr>
        <w:t>CSI-ReportConfig</w:t>
      </w:r>
      <w:r w:rsidRPr="00540186">
        <w:rPr>
          <w:b/>
          <w:bCs/>
        </w:rPr>
        <w:t>.</w:t>
      </w:r>
    </w:p>
    <w:p w14:paraId="08B1F068" w14:textId="77777777" w:rsidR="00F77EDA" w:rsidRPr="00540186" w:rsidRDefault="00F77EDA" w:rsidP="00F77EDA">
      <w:pPr>
        <w:rPr>
          <w:b/>
          <w:bCs/>
        </w:rPr>
      </w:pPr>
      <w:r w:rsidRPr="00540186">
        <w:rPr>
          <w:b/>
          <w:bCs/>
        </w:rPr>
        <w:t>Observation</w:t>
      </w:r>
      <w:r>
        <w:rPr>
          <w:b/>
          <w:bCs/>
        </w:rPr>
        <w:t xml:space="preserve"> 8</w:t>
      </w:r>
      <w:r w:rsidRPr="00540186">
        <w:rPr>
          <w:b/>
          <w:bCs/>
        </w:rPr>
        <w:t>: Stage 2 can describe the nature of an AI/ML or prediction-based configuration. In Stage 3, the field names can describe the purpose of a configuration without the supporting text redescribing what is clear from the field names.</w:t>
      </w:r>
    </w:p>
    <w:p w14:paraId="22F02C9A" w14:textId="77777777" w:rsidR="00F77EDA" w:rsidRPr="00712254" w:rsidRDefault="00F77EDA" w:rsidP="00F77EDA">
      <w:pPr>
        <w:rPr>
          <w:b/>
        </w:rPr>
      </w:pPr>
      <w:r w:rsidRPr="00712254">
        <w:rPr>
          <w:b/>
        </w:rPr>
        <w:t>Observation</w:t>
      </w:r>
      <w:r>
        <w:rPr>
          <w:b/>
        </w:rPr>
        <w:t xml:space="preserve"> 9</w:t>
      </w:r>
      <w:r w:rsidRPr="00712254">
        <w:rPr>
          <w:b/>
        </w:rPr>
        <w:t xml:space="preserve">: A poorly performing </w:t>
      </w:r>
      <w:r>
        <w:rPr>
          <w:b/>
        </w:rPr>
        <w:t>inference</w:t>
      </w:r>
      <w:r w:rsidRPr="00712254">
        <w:rPr>
          <w:b/>
        </w:rPr>
        <w:t xml:space="preserve"> configuration could consistently perform poorly because the applicability determination procedure is unable to account for unforeseen factors which could impact model performance.</w:t>
      </w:r>
    </w:p>
    <w:p w14:paraId="795D7516" w14:textId="77777777" w:rsidR="00F77EDA" w:rsidRDefault="00F77EDA" w:rsidP="00F77EDA">
      <w:pPr>
        <w:rPr>
          <w:b/>
          <w:bCs/>
        </w:rPr>
      </w:pPr>
      <w:r>
        <w:rPr>
          <w:b/>
          <w:bCs/>
        </w:rPr>
        <w:t>Observation 10: An indication of poor performance when reconfiguring a UE configured with an inference configuration could be used by the UE to help determine applicability of a configuration.</w:t>
      </w:r>
    </w:p>
    <w:p w14:paraId="02EB40D5" w14:textId="77777777" w:rsidR="00F77EDA" w:rsidRPr="00540186" w:rsidRDefault="00F77EDA" w:rsidP="00F77EDA">
      <w:pPr>
        <w:rPr>
          <w:b/>
          <w:bCs/>
        </w:rPr>
      </w:pPr>
      <w:r w:rsidRPr="00540186">
        <w:rPr>
          <w:b/>
          <w:bCs/>
        </w:rPr>
        <w:t>Observation</w:t>
      </w:r>
      <w:r>
        <w:rPr>
          <w:b/>
          <w:bCs/>
        </w:rPr>
        <w:t xml:space="preserve"> 11</w:t>
      </w:r>
      <w:r w:rsidRPr="00540186">
        <w:rPr>
          <w:b/>
          <w:bCs/>
        </w:rPr>
        <w:t xml:space="preserve">: Other UEs may have already </w:t>
      </w:r>
      <w:r>
        <w:rPr>
          <w:b/>
          <w:bCs/>
        </w:rPr>
        <w:t>requested</w:t>
      </w:r>
      <w:r w:rsidRPr="00540186">
        <w:rPr>
          <w:b/>
          <w:bCs/>
        </w:rPr>
        <w:t xml:space="preserve"> the same preference for a UE data collection configuration as another UE and the configuration may already be active.</w:t>
      </w:r>
    </w:p>
    <w:p w14:paraId="1E7B54F4" w14:textId="77777777" w:rsidR="00F77EDA" w:rsidRDefault="00F77EDA" w:rsidP="00FE671A"/>
    <w:p w14:paraId="742B85B4" w14:textId="77777777" w:rsidR="00A45E07" w:rsidRDefault="00A45E07" w:rsidP="00FE671A">
      <w:pPr>
        <w:rPr>
          <w:bCs/>
        </w:rPr>
      </w:pPr>
      <w:r>
        <w:rPr>
          <w:bCs/>
        </w:rPr>
        <w:t>And the following</w:t>
      </w:r>
      <w:r>
        <w:t xml:space="preserve"> proposals</w:t>
      </w:r>
      <w:r>
        <w:rPr>
          <w:bCs/>
        </w:rPr>
        <w:t>:</w:t>
      </w:r>
    </w:p>
    <w:p w14:paraId="61544DA6" w14:textId="77777777" w:rsidR="00F77EDA" w:rsidRPr="00540186" w:rsidRDefault="00F77EDA" w:rsidP="00F77EDA">
      <w:pPr>
        <w:rPr>
          <w:b/>
          <w:bCs/>
        </w:rPr>
      </w:pPr>
      <w:r w:rsidRPr="00540186">
        <w:rPr>
          <w:b/>
          <w:bCs/>
        </w:rPr>
        <w:t>Proposal</w:t>
      </w:r>
      <w:r>
        <w:rPr>
          <w:b/>
          <w:bCs/>
        </w:rPr>
        <w:t xml:space="preserve"> 1</w:t>
      </w:r>
      <w:r w:rsidRPr="00540186">
        <w:rPr>
          <w:b/>
          <w:bCs/>
        </w:rPr>
        <w:t>: Support two cause values for inapplicability: permanent inapplicability and temporary inapplicability. Setting the appropriate value is up to UE implementation.</w:t>
      </w:r>
    </w:p>
    <w:p w14:paraId="0200EC67" w14:textId="77777777" w:rsidR="00F77EDA" w:rsidRPr="00540186" w:rsidRDefault="00F77EDA" w:rsidP="00F77EDA">
      <w:pPr>
        <w:rPr>
          <w:b/>
          <w:bCs/>
        </w:rPr>
      </w:pPr>
      <w:r w:rsidRPr="00540186">
        <w:rPr>
          <w:b/>
          <w:bCs/>
        </w:rPr>
        <w:t>Proposal</w:t>
      </w:r>
      <w:r>
        <w:rPr>
          <w:b/>
          <w:bCs/>
        </w:rPr>
        <w:t xml:space="preserve"> 2</w:t>
      </w:r>
      <w:r w:rsidRPr="00540186">
        <w:rPr>
          <w:b/>
          <w:bCs/>
        </w:rPr>
        <w:t>: Support only a flag to enable or disable the reporting of updates to applicability of AI/ML configurations. The absence of the configuration implies that reporting of updates to applicability is disabled.</w:t>
      </w:r>
    </w:p>
    <w:p w14:paraId="65485933" w14:textId="77777777" w:rsidR="00F77EDA" w:rsidRPr="00E40CDC" w:rsidRDefault="00F77EDA" w:rsidP="00F77EDA">
      <w:pPr>
        <w:rPr>
          <w:rStyle w:val="cf11"/>
          <w:rFonts w:asciiTheme="majorBidi" w:eastAsia="MS Mincho" w:hAnsiTheme="majorBidi" w:cstheme="majorBidi"/>
          <w:b/>
          <w:bCs/>
          <w:sz w:val="20"/>
          <w:szCs w:val="20"/>
        </w:rPr>
      </w:pPr>
      <w:r w:rsidRPr="5C4B4485">
        <w:rPr>
          <w:rStyle w:val="cf11"/>
          <w:rFonts w:asciiTheme="majorBidi" w:eastAsia="MS Mincho" w:hAnsiTheme="majorBidi" w:cstheme="majorBidi"/>
          <w:b/>
          <w:bCs/>
          <w:sz w:val="20"/>
          <w:szCs w:val="20"/>
        </w:rPr>
        <w:t>Proposal</w:t>
      </w:r>
      <w:r>
        <w:rPr>
          <w:rStyle w:val="cf11"/>
          <w:rFonts w:asciiTheme="majorBidi" w:eastAsia="MS Mincho" w:hAnsiTheme="majorBidi" w:cstheme="majorBidi"/>
          <w:b/>
          <w:bCs/>
          <w:sz w:val="20"/>
          <w:szCs w:val="20"/>
        </w:rPr>
        <w:t xml:space="preserve"> 3:</w:t>
      </w:r>
      <w:r w:rsidRPr="5C4B4485">
        <w:rPr>
          <w:rStyle w:val="cf11"/>
          <w:rFonts w:asciiTheme="majorBidi" w:eastAsia="MS Mincho" w:hAnsiTheme="majorBidi" w:cstheme="majorBidi"/>
          <w:b/>
          <w:bCs/>
          <w:sz w:val="20"/>
          <w:szCs w:val="20"/>
        </w:rPr>
        <w:t xml:space="preserve"> When an active</w:t>
      </w:r>
      <w:r>
        <w:rPr>
          <w:rStyle w:val="cf11"/>
          <w:rFonts w:asciiTheme="majorBidi" w:eastAsia="MS Mincho" w:hAnsiTheme="majorBidi" w:cstheme="majorBidi"/>
          <w:b/>
          <w:bCs/>
          <w:sz w:val="20"/>
          <w:szCs w:val="20"/>
        </w:rPr>
        <w:t xml:space="preserve"> periodic</w:t>
      </w:r>
      <w:r w:rsidRPr="5C4B4485">
        <w:rPr>
          <w:rStyle w:val="cf11"/>
          <w:rFonts w:asciiTheme="majorBidi" w:eastAsia="MS Mincho" w:hAnsiTheme="majorBidi" w:cstheme="majorBidi"/>
          <w:b/>
          <w:bCs/>
          <w:sz w:val="20"/>
          <w:szCs w:val="20"/>
        </w:rPr>
        <w:t xml:space="preserve"> beam prediction configuration becomes inapplicable, the UE shall suspend the transmission of Set A beam predictions and </w:t>
      </w:r>
      <w:r w:rsidRPr="00DF2E2F">
        <w:rPr>
          <w:rStyle w:val="cf11"/>
          <w:rFonts w:asciiTheme="majorBidi" w:eastAsia="MS Mincho" w:hAnsiTheme="majorBidi" w:cstheme="majorBidi"/>
          <w:b/>
          <w:bCs/>
          <w:sz w:val="20"/>
          <w:szCs w:val="20"/>
        </w:rPr>
        <w:t>report</w:t>
      </w:r>
      <w:r>
        <w:rPr>
          <w:rStyle w:val="cf11"/>
          <w:rFonts w:asciiTheme="majorBidi" w:eastAsia="MS Mincho" w:hAnsiTheme="majorBidi" w:cstheme="majorBidi"/>
          <w:b/>
          <w:bCs/>
          <w:sz w:val="20"/>
          <w:szCs w:val="20"/>
        </w:rPr>
        <w:t>ing of</w:t>
      </w:r>
      <w:r w:rsidRPr="5C4B4485">
        <w:rPr>
          <w:rStyle w:val="cf11"/>
          <w:rFonts w:asciiTheme="majorBidi" w:eastAsia="MS Mincho" w:hAnsiTheme="majorBidi" w:cstheme="majorBidi"/>
          <w:b/>
          <w:bCs/>
          <w:sz w:val="20"/>
          <w:szCs w:val="20"/>
        </w:rPr>
        <w:t xml:space="preserve"> Set B measurements</w:t>
      </w:r>
      <w:r>
        <w:rPr>
          <w:rStyle w:val="cf11"/>
          <w:rFonts w:asciiTheme="majorBidi" w:eastAsia="MS Mincho" w:hAnsiTheme="majorBidi" w:cstheme="majorBidi"/>
          <w:b/>
          <w:bCs/>
          <w:sz w:val="20"/>
          <w:szCs w:val="20"/>
        </w:rPr>
        <w:t xml:space="preserve"> corresponding to the inapplicable configuration</w:t>
      </w:r>
      <w:r w:rsidRPr="5C4B4485">
        <w:rPr>
          <w:rStyle w:val="cf11"/>
          <w:rFonts w:asciiTheme="majorBidi" w:eastAsia="MS Mincho" w:hAnsiTheme="majorBidi" w:cstheme="majorBidi"/>
          <w:b/>
          <w:bCs/>
          <w:sz w:val="20"/>
          <w:szCs w:val="20"/>
        </w:rPr>
        <w:t xml:space="preserve"> until the UE is reconfigured by the NW.</w:t>
      </w:r>
    </w:p>
    <w:p w14:paraId="2392F636" w14:textId="77777777" w:rsidR="00F77EDA" w:rsidRDefault="00F77EDA" w:rsidP="00F77EDA">
      <w:pPr>
        <w:rPr>
          <w:rStyle w:val="cf11"/>
          <w:rFonts w:asciiTheme="majorBidi" w:eastAsia="MS Mincho" w:hAnsiTheme="majorBidi" w:cstheme="majorBidi"/>
          <w:b/>
          <w:sz w:val="20"/>
          <w:szCs w:val="20"/>
        </w:rPr>
      </w:pPr>
      <w:r w:rsidRPr="00081DED">
        <w:rPr>
          <w:rStyle w:val="cf11"/>
          <w:rFonts w:asciiTheme="majorBidi" w:eastAsia="MS Mincho" w:hAnsiTheme="majorBidi" w:cstheme="majorBidi"/>
          <w:b/>
          <w:sz w:val="20"/>
          <w:szCs w:val="20"/>
        </w:rPr>
        <w:t>Proposal</w:t>
      </w:r>
      <w:r>
        <w:rPr>
          <w:rStyle w:val="cf11"/>
          <w:rFonts w:asciiTheme="majorBidi" w:eastAsia="MS Mincho" w:hAnsiTheme="majorBidi" w:cstheme="majorBidi"/>
          <w:b/>
          <w:sz w:val="20"/>
          <w:szCs w:val="20"/>
        </w:rPr>
        <w:t xml:space="preserve"> 4:</w:t>
      </w:r>
      <w:r w:rsidRPr="00081DED">
        <w:rPr>
          <w:rStyle w:val="cf11"/>
          <w:rFonts w:asciiTheme="majorBidi" w:eastAsia="MS Mincho" w:hAnsiTheme="majorBidi" w:cstheme="majorBidi"/>
          <w:b/>
          <w:sz w:val="20"/>
          <w:szCs w:val="20"/>
        </w:rPr>
        <w:t xml:space="preserve"> </w:t>
      </w:r>
      <w:r>
        <w:rPr>
          <w:rStyle w:val="cf11"/>
          <w:rFonts w:asciiTheme="majorBidi" w:eastAsia="MS Mincho" w:hAnsiTheme="majorBidi" w:cstheme="majorBidi"/>
          <w:b/>
          <w:sz w:val="20"/>
          <w:szCs w:val="20"/>
        </w:rPr>
        <w:t xml:space="preserve">RAN2 to endorse the text proposal within Applicability Reporting Clause for Stage 2 running CR (changes are highlighted in </w:t>
      </w:r>
      <w:r w:rsidRPr="00A13518">
        <w:rPr>
          <w:rStyle w:val="cf11"/>
          <w:rFonts w:asciiTheme="majorBidi" w:eastAsia="MS Mincho" w:hAnsiTheme="majorBidi" w:cstheme="majorBidi"/>
          <w:b/>
          <w:color w:val="ED7D31" w:themeColor="accent2"/>
          <w:sz w:val="20"/>
          <w:szCs w:val="20"/>
        </w:rPr>
        <w:t>orange in Section 7</w:t>
      </w:r>
      <w:r>
        <w:rPr>
          <w:rStyle w:val="cf11"/>
          <w:rFonts w:asciiTheme="majorBidi" w:eastAsia="MS Mincho" w:hAnsiTheme="majorBidi" w:cstheme="majorBidi"/>
          <w:b/>
          <w:sz w:val="20"/>
          <w:szCs w:val="20"/>
        </w:rPr>
        <w:t>).</w:t>
      </w:r>
    </w:p>
    <w:p w14:paraId="6DDF4F51" w14:textId="77777777" w:rsidR="00F77EDA" w:rsidRPr="00540186" w:rsidRDefault="00F77EDA" w:rsidP="00F77EDA">
      <w:pPr>
        <w:rPr>
          <w:b/>
          <w:bCs/>
        </w:rPr>
      </w:pPr>
      <w:r w:rsidRPr="002D1B7C">
        <w:rPr>
          <w:b/>
          <w:bCs/>
        </w:rPr>
        <w:t>Proposal</w:t>
      </w:r>
      <w:r>
        <w:rPr>
          <w:b/>
          <w:bCs/>
        </w:rPr>
        <w:t xml:space="preserve"> 5</w:t>
      </w:r>
      <w:r w:rsidRPr="002D1B7C">
        <w:rPr>
          <w:b/>
          <w:bCs/>
        </w:rPr>
        <w:t xml:space="preserve">: To allow future-proof extensibility, adopt the structure of Figure 3.1-1of </w:t>
      </w:r>
      <w:r w:rsidRPr="002D1B7C">
        <w:rPr>
          <w:b/>
          <w:bCs/>
          <w:i/>
          <w:iCs/>
        </w:rPr>
        <w:t>the ApplicabilityReport-r19</w:t>
      </w:r>
      <w:r w:rsidRPr="002D1B7C">
        <w:rPr>
          <w:b/>
          <w:bCs/>
        </w:rPr>
        <w:t xml:space="preserve"> and its inclusion in </w:t>
      </w:r>
      <w:r w:rsidRPr="002D1B7C">
        <w:rPr>
          <w:b/>
          <w:bCs/>
          <w:i/>
          <w:iCs/>
        </w:rPr>
        <w:t>UEAssistanceInformation-v1900-IEs</w:t>
      </w:r>
      <w:r w:rsidRPr="002D1B7C">
        <w:rPr>
          <w:b/>
          <w:bCs/>
        </w:rPr>
        <w:t xml:space="preserve"> and </w:t>
      </w:r>
      <w:r w:rsidRPr="002D1B7C">
        <w:rPr>
          <w:b/>
          <w:bCs/>
          <w:i/>
          <w:iCs/>
        </w:rPr>
        <w:t>RRCReconfigurationComplete-v1900-IEs</w:t>
      </w:r>
      <w:r w:rsidRPr="002D1B7C">
        <w:rPr>
          <w:b/>
          <w:bCs/>
        </w:rPr>
        <w:t xml:space="preserve">, including the reporting for a combination of full inference configurations and sets of inference-related parameters with the </w:t>
      </w:r>
      <w:r w:rsidRPr="002D1B7C">
        <w:rPr>
          <w:b/>
          <w:bCs/>
        </w:rPr>
        <w:lastRenderedPageBreak/>
        <w:t>ability to indicate the configuration ID type (e.g., CSI-ReportConfigId, InferenceRelatedParametersId) and the configuration ID for which applicability is being reported.</w:t>
      </w:r>
    </w:p>
    <w:p w14:paraId="7BFC825E" w14:textId="77777777" w:rsidR="00F77EDA" w:rsidRPr="00540186" w:rsidRDefault="00F77EDA" w:rsidP="00F77EDA">
      <w:pPr>
        <w:rPr>
          <w:b/>
          <w:bCs/>
        </w:rPr>
      </w:pPr>
      <w:r>
        <w:rPr>
          <w:b/>
          <w:bCs/>
        </w:rPr>
        <w:t>Proposal 6: Do not use the term “functionality” in 38.331 and 38.300.</w:t>
      </w:r>
    </w:p>
    <w:p w14:paraId="33135405" w14:textId="77777777" w:rsidR="00F77EDA" w:rsidRDefault="00F77EDA" w:rsidP="00F77EDA">
      <w:pPr>
        <w:rPr>
          <w:b/>
          <w:bCs/>
        </w:rPr>
      </w:pPr>
      <w:r w:rsidRPr="00540186">
        <w:rPr>
          <w:b/>
          <w:bCs/>
        </w:rPr>
        <w:t>Proposal</w:t>
      </w:r>
      <w:r>
        <w:rPr>
          <w:b/>
          <w:bCs/>
        </w:rPr>
        <w:t xml:space="preserve"> 7</w:t>
      </w:r>
      <w:r w:rsidRPr="00540186">
        <w:rPr>
          <w:b/>
          <w:bCs/>
        </w:rPr>
        <w:t>: Use a field or list of fields only available in AI/ML-enabled configurations</w:t>
      </w:r>
      <w:r>
        <w:rPr>
          <w:b/>
          <w:bCs/>
        </w:rPr>
        <w:t xml:space="preserve">, e.g., </w:t>
      </w:r>
      <w:r w:rsidRPr="00045702">
        <w:rPr>
          <w:b/>
          <w:bCs/>
          <w:i/>
          <w:iCs/>
        </w:rPr>
        <w:t>typeOfBMCase1andBMCase2</w:t>
      </w:r>
      <w:r>
        <w:rPr>
          <w:b/>
          <w:bCs/>
          <w:i/>
          <w:iCs/>
        </w:rPr>
        <w:t>,</w:t>
      </w:r>
      <w:r>
        <w:rPr>
          <w:b/>
          <w:bCs/>
        </w:rPr>
        <w:t xml:space="preserve"> </w:t>
      </w:r>
      <w:r w:rsidRPr="00540186">
        <w:rPr>
          <w:b/>
          <w:bCs/>
        </w:rPr>
        <w:t>to identify configurations which are subject to the applicability determination procedure.</w:t>
      </w:r>
    </w:p>
    <w:p w14:paraId="77CDEDAB" w14:textId="77777777" w:rsidR="00F77EDA" w:rsidRPr="00540186" w:rsidRDefault="00F77EDA" w:rsidP="00F77EDA">
      <w:pPr>
        <w:rPr>
          <w:b/>
          <w:bCs/>
        </w:rPr>
      </w:pPr>
      <w:r w:rsidRPr="00540186">
        <w:rPr>
          <w:b/>
          <w:bCs/>
        </w:rPr>
        <w:t>Proposal</w:t>
      </w:r>
      <w:r>
        <w:rPr>
          <w:b/>
          <w:bCs/>
        </w:rPr>
        <w:t xml:space="preserve"> 8</w:t>
      </w:r>
      <w:r w:rsidRPr="00540186">
        <w:rPr>
          <w:b/>
          <w:bCs/>
        </w:rPr>
        <w:t>: Outside of field names</w:t>
      </w:r>
      <w:r>
        <w:rPr>
          <w:b/>
          <w:bCs/>
        </w:rPr>
        <w:t>, there is no need in 38.331</w:t>
      </w:r>
      <w:r w:rsidRPr="00540186">
        <w:rPr>
          <w:b/>
          <w:bCs/>
        </w:rPr>
        <w:t xml:space="preserve"> to explicit</w:t>
      </w:r>
      <w:r>
        <w:rPr>
          <w:b/>
          <w:bCs/>
        </w:rPr>
        <w:t>ly specify</w:t>
      </w:r>
      <w:r w:rsidRPr="00540186">
        <w:rPr>
          <w:b/>
          <w:bCs/>
        </w:rPr>
        <w:t xml:space="preserve"> whether a configuration is for prediction or whether reported measurements are predictions.</w:t>
      </w:r>
    </w:p>
    <w:p w14:paraId="052B8BDE" w14:textId="77777777" w:rsidR="00F77EDA" w:rsidRPr="00282364" w:rsidRDefault="00F77EDA" w:rsidP="00F77EDA">
      <w:r>
        <w:rPr>
          <w:b/>
          <w:bCs/>
        </w:rPr>
        <w:t>Proposal 9: The NW can provide a cause with reconfiguration, e.g., modifying or releasing an inference configuration, indicating that the configuration performed poorly.</w:t>
      </w:r>
    </w:p>
    <w:p w14:paraId="781EB59A" w14:textId="77777777" w:rsidR="00F77EDA" w:rsidRDefault="00F77EDA" w:rsidP="00F77EDA">
      <w:pPr>
        <w:rPr>
          <w:b/>
          <w:bCs/>
        </w:rPr>
      </w:pPr>
      <w:r w:rsidRPr="00540186">
        <w:rPr>
          <w:b/>
          <w:bCs/>
        </w:rPr>
        <w:t>Proposal</w:t>
      </w:r>
      <w:r>
        <w:rPr>
          <w:b/>
          <w:bCs/>
        </w:rPr>
        <w:t xml:space="preserve"> 10</w:t>
      </w:r>
      <w:r w:rsidRPr="00540186">
        <w:rPr>
          <w:b/>
          <w:bCs/>
        </w:rPr>
        <w:t xml:space="preserve">: Include in the configuration for data collection configuration candidates, e.g., </w:t>
      </w:r>
      <w:r w:rsidRPr="00540186">
        <w:rPr>
          <w:b/>
          <w:bCs/>
          <w:i/>
          <w:iCs/>
        </w:rPr>
        <w:t>UE-DataCollectionPrefConfig</w:t>
      </w:r>
      <w:r w:rsidRPr="00540186">
        <w:rPr>
          <w:b/>
          <w:bCs/>
        </w:rPr>
        <w:t xml:space="preserve">, an indication whether a data collection configuration candidate is already active, e.g., for other UEs which already </w:t>
      </w:r>
      <w:r>
        <w:rPr>
          <w:b/>
          <w:bCs/>
        </w:rPr>
        <w:t>indicated</w:t>
      </w:r>
      <w:r w:rsidRPr="00540186">
        <w:rPr>
          <w:b/>
          <w:bCs/>
        </w:rPr>
        <w:t xml:space="preserve"> the same preference.</w:t>
      </w:r>
    </w:p>
    <w:p w14:paraId="4D29BF1E" w14:textId="77777777" w:rsidR="00F77EDA" w:rsidRDefault="00F77EDA" w:rsidP="00F77EDA">
      <w:pPr>
        <w:rPr>
          <w:b/>
          <w:bCs/>
        </w:rPr>
      </w:pPr>
      <w:r>
        <w:rPr>
          <w:b/>
          <w:bCs/>
        </w:rPr>
        <w:t>Proposal 11: A UE can immediately begin performing measurements on a data collection configuration candidate which is already active and can indicate its preference for an active data collection configuration candidate.</w:t>
      </w:r>
    </w:p>
    <w:p w14:paraId="4C6B5CEC" w14:textId="77777777" w:rsidR="00F77EDA" w:rsidRDefault="00F77EDA" w:rsidP="00F77EDA">
      <w:pPr>
        <w:spacing w:after="0"/>
        <w:rPr>
          <w:b/>
          <w:lang w:eastAsia="ja-JP"/>
        </w:rPr>
      </w:pPr>
      <w:r w:rsidRPr="00E437B1">
        <w:rPr>
          <w:b/>
          <w:lang w:eastAsia="ja-JP"/>
        </w:rPr>
        <w:t xml:space="preserve">Proposal </w:t>
      </w:r>
      <w:r>
        <w:rPr>
          <w:b/>
          <w:lang w:eastAsia="ja-JP"/>
        </w:rPr>
        <w:t>12</w:t>
      </w:r>
      <w:r w:rsidRPr="00E437B1">
        <w:rPr>
          <w:b/>
          <w:lang w:eastAsia="ja-JP"/>
        </w:rPr>
        <w:t xml:space="preserve">: For </w:t>
      </w:r>
      <w:r w:rsidRPr="00E437B1">
        <w:rPr>
          <w:b/>
          <w:bCs/>
          <w:lang w:eastAsia="ja-JP"/>
        </w:rPr>
        <w:t>beam</w:t>
      </w:r>
      <w:r w:rsidRPr="00E437B1">
        <w:rPr>
          <w:b/>
          <w:lang w:eastAsia="ja-JP"/>
        </w:rPr>
        <w:t xml:space="preserve"> prediction-Case1 and </w:t>
      </w:r>
      <w:r w:rsidRPr="00E437B1">
        <w:rPr>
          <w:b/>
          <w:bCs/>
          <w:lang w:eastAsia="ja-JP"/>
        </w:rPr>
        <w:t>beam</w:t>
      </w:r>
      <w:r w:rsidRPr="00E437B1">
        <w:rPr>
          <w:b/>
          <w:lang w:eastAsia="ja-JP"/>
        </w:rPr>
        <w:t xml:space="preserve"> prediction-Case2, Type 1 Option 2 performance monitoring for beam prediction related CSI reporting</w:t>
      </w:r>
    </w:p>
    <w:p w14:paraId="4DD8B70E" w14:textId="77777777" w:rsidR="00F77EDA" w:rsidRDefault="00F77EDA" w:rsidP="00F77EDA">
      <w:pPr>
        <w:pStyle w:val="ListParagraph"/>
        <w:numPr>
          <w:ilvl w:val="0"/>
          <w:numId w:val="35"/>
        </w:numPr>
        <w:spacing w:after="0"/>
        <w:rPr>
          <w:b/>
          <w:lang w:eastAsia="ja-JP"/>
        </w:rPr>
      </w:pPr>
      <w:r>
        <w:rPr>
          <w:b/>
          <w:lang w:eastAsia="ja-JP"/>
        </w:rPr>
        <w:t>Configure each UE with dedicated reference signals from Set A beams for early feedback of a failure event</w:t>
      </w:r>
    </w:p>
    <w:p w14:paraId="0DF36E74" w14:textId="77777777" w:rsidR="00F77EDA" w:rsidRPr="00E437B1" w:rsidRDefault="00F77EDA" w:rsidP="00F77EDA">
      <w:pPr>
        <w:pStyle w:val="ListParagraph"/>
        <w:numPr>
          <w:ilvl w:val="0"/>
          <w:numId w:val="35"/>
        </w:numPr>
        <w:spacing w:after="0"/>
        <w:rPr>
          <w:b/>
          <w:lang w:eastAsia="ja-JP"/>
        </w:rPr>
      </w:pPr>
      <w:r>
        <w:rPr>
          <w:b/>
          <w:lang w:eastAsia="ja-JP"/>
        </w:rPr>
        <w:t>T</w:t>
      </w:r>
      <w:r w:rsidRPr="00E437B1">
        <w:rPr>
          <w:b/>
          <w:lang w:eastAsia="ja-JP"/>
        </w:rPr>
        <w:t xml:space="preserve">rigger </w:t>
      </w:r>
      <w:r>
        <w:rPr>
          <w:b/>
          <w:lang w:eastAsia="ja-JP"/>
        </w:rPr>
        <w:t>beam failure event</w:t>
      </w:r>
      <w:r w:rsidRPr="00E437B1">
        <w:rPr>
          <w:b/>
          <w:lang w:eastAsia="ja-JP"/>
        </w:rPr>
        <w:t xml:space="preserve"> reporting</w:t>
      </w:r>
      <w:r>
        <w:rPr>
          <w:b/>
          <w:lang w:eastAsia="ja-JP"/>
        </w:rPr>
        <w:t xml:space="preserve"> via performance monitoring KPI evaluation</w:t>
      </w:r>
      <w:r w:rsidRPr="00E437B1">
        <w:rPr>
          <w:b/>
          <w:lang w:eastAsia="ja-JP"/>
        </w:rPr>
        <w:t xml:space="preserve"> </w:t>
      </w:r>
    </w:p>
    <w:p w14:paraId="05C190DE" w14:textId="77777777" w:rsidR="00F77EDA" w:rsidRDefault="00F77EDA" w:rsidP="00F77EDA">
      <w:pPr>
        <w:rPr>
          <w:rStyle w:val="cf11"/>
          <w:rFonts w:asciiTheme="majorBidi" w:eastAsia="MS Mincho" w:hAnsiTheme="majorBidi" w:cstheme="majorBidi"/>
          <w:b/>
          <w:sz w:val="20"/>
          <w:szCs w:val="20"/>
        </w:rPr>
      </w:pPr>
    </w:p>
    <w:p w14:paraId="6620C7CA" w14:textId="77777777" w:rsidR="00FE671A" w:rsidRDefault="00FE671A">
      <w:pPr>
        <w:spacing w:after="0"/>
        <w:rPr>
          <w:b/>
          <w:bCs/>
        </w:rPr>
      </w:pPr>
      <w:r>
        <w:rPr>
          <w:b/>
          <w:bCs/>
        </w:rPr>
        <w:br w:type="page"/>
      </w:r>
    </w:p>
    <w:p w14:paraId="12EAE7E8" w14:textId="4D13F8B1" w:rsidR="00F60018" w:rsidRDefault="000764E9" w:rsidP="000F592C">
      <w:pPr>
        <w:pStyle w:val="Heading1"/>
      </w:pPr>
      <w:r w:rsidRPr="00D67BE2">
        <w:lastRenderedPageBreak/>
        <w:t>7</w:t>
      </w:r>
      <w:r w:rsidRPr="00D67BE2">
        <w:tab/>
        <w:t>Text Proposal for 38.300 Applicability Reporting Procedure</w:t>
      </w:r>
    </w:p>
    <w:p w14:paraId="630BE356" w14:textId="6350E88E" w:rsidR="00CF60BA" w:rsidRPr="00CF60BA" w:rsidRDefault="00CF60BA" w:rsidP="00A13518">
      <w:r>
        <w:t xml:space="preserve">Note: The </w:t>
      </w:r>
      <w:r w:rsidR="00C418CB">
        <w:t xml:space="preserve">changes </w:t>
      </w:r>
      <w:r w:rsidR="00BA1630">
        <w:t xml:space="preserve">in the section below are </w:t>
      </w:r>
      <w:r w:rsidR="00FC4D8B">
        <w:t>on top of the latest available version of the running CR</w:t>
      </w:r>
      <w:r w:rsidR="008F2C56">
        <w:t xml:space="preserve"> [</w:t>
      </w:r>
      <w:r w:rsidR="00F77A03">
        <w:t>3</w:t>
      </w:r>
      <w:r w:rsidR="008F2C56">
        <w:t>]</w:t>
      </w:r>
      <w:r w:rsidR="00FC4D8B">
        <w:t>.</w:t>
      </w:r>
    </w:p>
    <w:p w14:paraId="2D5B30CA" w14:textId="77777777" w:rsidR="009B2B90" w:rsidRDefault="009B2B90" w:rsidP="009B2B90">
      <w:pPr>
        <w:pStyle w:val="Heading4"/>
        <w:ind w:leftChars="90" w:left="1598"/>
      </w:pPr>
      <w:bookmarkStart w:id="1" w:name="_Hlk185319166"/>
      <w:r w:rsidRPr="00961939">
        <w:t>X.Y</w:t>
      </w:r>
      <w:r w:rsidRPr="000C68CE">
        <w:t>.</w:t>
      </w:r>
      <w:r>
        <w:t>2</w:t>
      </w:r>
      <w:r w:rsidRPr="000C68CE">
        <w:t>.</w:t>
      </w:r>
      <w:r>
        <w:t>3</w:t>
      </w:r>
      <w:r w:rsidRPr="000C68CE">
        <w:tab/>
      </w:r>
      <w:r w:rsidRPr="00A551A0">
        <w:rPr>
          <w:rFonts w:eastAsiaTheme="minorEastAsia"/>
          <w:lang w:eastAsia="en-GB"/>
        </w:rPr>
        <w:t>Applicability</w:t>
      </w:r>
      <w:r>
        <w:t xml:space="preserve"> Reporting</w:t>
      </w:r>
    </w:p>
    <w:p w14:paraId="1E6B79A5" w14:textId="77777777" w:rsidR="009B2B90" w:rsidRPr="00F44FB1" w:rsidRDefault="009B2B90" w:rsidP="009B2B90">
      <w:pPr>
        <w:rPr>
          <w:rFonts w:eastAsia="DengXian"/>
          <w:highlight w:val="yellow"/>
        </w:rPr>
      </w:pPr>
      <w:r>
        <w:rPr>
          <w:rFonts w:eastAsia="DengXian" w:hint="eastAsia"/>
        </w:rPr>
        <w:t>F</w:t>
      </w:r>
      <w:r>
        <w:rPr>
          <w:rFonts w:eastAsia="DengXian"/>
        </w:rPr>
        <w:t xml:space="preserve">or UE side model, the Network </w:t>
      </w:r>
      <w:r w:rsidRPr="00B40122">
        <w:rPr>
          <w:rFonts w:eastAsia="DengXian"/>
        </w:rPr>
        <w:t>provide inference configuration</w:t>
      </w:r>
      <w:r>
        <w:rPr>
          <w:rFonts w:eastAsia="DengXian"/>
        </w:rPr>
        <w:t xml:space="preserve"> based on UE supported functionalities. The UE can report its applicable functionalities, non-applicable functionalities </w:t>
      </w:r>
      <w:r w:rsidRPr="00CC01FE">
        <w:rPr>
          <w:rFonts w:eastAsia="DengXian"/>
        </w:rPr>
        <w:t>with relevant cause</w:t>
      </w:r>
      <w:r>
        <w:rPr>
          <w:rFonts w:eastAsia="DengXian"/>
        </w:rPr>
        <w:t xml:space="preserve"> and their subsequent change to Network. The basic procedure of applicability reporting is described as in </w:t>
      </w:r>
      <w:r>
        <w:t>Figure X.Y.2.3-1.</w:t>
      </w:r>
    </w:p>
    <w:bookmarkStart w:id="2" w:name="_Hlk193472051"/>
    <w:p w14:paraId="1C2674A1" w14:textId="77777777" w:rsidR="009B2B90" w:rsidRDefault="009B2B90" w:rsidP="009B2B90">
      <w:pPr>
        <w:jc w:val="center"/>
        <w:rPr>
          <w:rFonts w:eastAsia="DengXian"/>
        </w:rPr>
      </w:pPr>
      <w:r>
        <w:object w:dxaOrig="5138" w:dyaOrig="6698" w14:anchorId="7DF4A497">
          <v:shape id="_x0000_i1026" type="#_x0000_t75" style="width:256.5pt;height:335.25pt" o:ole="">
            <v:imagedata r:id="rId18" o:title=""/>
          </v:shape>
          <o:OLEObject Type="Embed" ProgID="Mscgen.Chart" ShapeID="_x0000_i1026" DrawAspect="Content" ObjectID="_1808238505" r:id="rId19"/>
        </w:object>
      </w:r>
    </w:p>
    <w:p w14:paraId="0A54F51F" w14:textId="77777777" w:rsidR="009B2B90" w:rsidRDefault="009B2B90" w:rsidP="009B2B90">
      <w:pPr>
        <w:pStyle w:val="TF"/>
      </w:pPr>
      <w:r>
        <w:t>Figure X.Y.2.3-1: Initial applicability and applicability status change reporting for Option A</w:t>
      </w:r>
    </w:p>
    <w:p w14:paraId="784C5550" w14:textId="77777777" w:rsidR="009B2B90" w:rsidRPr="008F1B19" w:rsidRDefault="009B2B90" w:rsidP="009B2B90">
      <w:pPr>
        <w:pStyle w:val="B1"/>
      </w:pPr>
      <w:r w:rsidRPr="008F1B19">
        <w:t xml:space="preserve">1. The </w:t>
      </w:r>
      <w:r>
        <w:t>n</w:t>
      </w:r>
      <w:r w:rsidRPr="008F1B19">
        <w:t>etwork inquiries about the UE capability information.</w:t>
      </w:r>
    </w:p>
    <w:p w14:paraId="2371E0F7" w14:textId="77777777" w:rsidR="009B2B90" w:rsidRPr="008F1B19" w:rsidRDefault="009B2B90" w:rsidP="009B2B90">
      <w:pPr>
        <w:pStyle w:val="B1"/>
      </w:pPr>
      <w:r w:rsidRPr="008F1B19">
        <w:t>2. UE indicate</w:t>
      </w:r>
      <w:r>
        <w:t>s</w:t>
      </w:r>
      <w:r w:rsidRPr="008F1B19">
        <w:t xml:space="preserve"> its supported functionalities to the </w:t>
      </w:r>
      <w:r>
        <w:t>n</w:t>
      </w:r>
      <w:r w:rsidRPr="008F1B19">
        <w:t>etwork via UE capability information.</w:t>
      </w:r>
    </w:p>
    <w:p w14:paraId="62D023CB" w14:textId="77777777" w:rsidR="009B2B90" w:rsidRDefault="009B2B90" w:rsidP="009B2B90">
      <w:pPr>
        <w:pStyle w:val="B1"/>
      </w:pPr>
      <w:r w:rsidRPr="008F1B19">
        <w:t xml:space="preserve">3. The </w:t>
      </w:r>
      <w:r>
        <w:t>n</w:t>
      </w:r>
      <w:r w:rsidRPr="008F1B19">
        <w:t xml:space="preserve">etwork </w:t>
      </w:r>
      <w:r>
        <w:t xml:space="preserve">may </w:t>
      </w:r>
      <w:r w:rsidRPr="008F1B19">
        <w:t>provide inference configuration with NW-side additional conditions to UE via CSI report configuration</w:t>
      </w:r>
      <w:r>
        <w:t xml:space="preserve"> or via </w:t>
      </w:r>
      <w:r w:rsidRPr="00FF729F">
        <w:rPr>
          <w:i/>
          <w:iCs/>
        </w:rPr>
        <w:t>otherconfig</w:t>
      </w:r>
      <w:r w:rsidRPr="008F1B19">
        <w:t>.</w:t>
      </w:r>
    </w:p>
    <w:p w14:paraId="65FA0832" w14:textId="77777777" w:rsidR="009B2B90" w:rsidRDefault="009B2B90" w:rsidP="009B2B90">
      <w:pPr>
        <w:pStyle w:val="B1"/>
      </w:pPr>
      <w:r w:rsidRPr="00BF0A9F">
        <w:rPr>
          <w:i/>
          <w:iCs/>
        </w:rPr>
        <w:t>Editor's note</w:t>
      </w:r>
      <w:r w:rsidRPr="0083561D">
        <w:rPr>
          <w:i/>
          <w:iCs/>
        </w:rPr>
        <w:t>: Whether to specify anything for NW-side additional conditions should be up to RAN1.</w:t>
      </w:r>
    </w:p>
    <w:p w14:paraId="4419641E" w14:textId="77777777" w:rsidR="009B2B90" w:rsidRDefault="009B2B90" w:rsidP="009B2B90">
      <w:pPr>
        <w:pStyle w:val="B1"/>
      </w:pPr>
      <w:r w:rsidRPr="008F1B19">
        <w:t xml:space="preserve">4. </w:t>
      </w:r>
      <w:r w:rsidRPr="00410060">
        <w:t xml:space="preserve">UE </w:t>
      </w:r>
      <w:r>
        <w:t>determines</w:t>
      </w:r>
      <w:r w:rsidRPr="00410060">
        <w:t xml:space="preserve"> the applicable AI/ML functionalities based on NW-side additional conditions (if provided), UE-side additional conditions (internally known by UE) and model availability in the UE. </w:t>
      </w:r>
    </w:p>
    <w:p w14:paraId="1D22B9B4" w14:textId="77777777" w:rsidR="009B2B90" w:rsidRPr="008F1B19" w:rsidRDefault="009B2B90" w:rsidP="009B2B90">
      <w:pPr>
        <w:pStyle w:val="B1"/>
      </w:pPr>
      <w:r w:rsidRPr="008F1B19">
        <w:t xml:space="preserve">5. </w:t>
      </w:r>
      <w:r>
        <w:t>T</w:t>
      </w:r>
      <w:r w:rsidRPr="008F1B19">
        <w:t>he UE report</w:t>
      </w:r>
      <w:r>
        <w:t>s</w:t>
      </w:r>
      <w:r w:rsidRPr="008F1B19">
        <w:t xml:space="preserve"> its initial functionality applicability in </w:t>
      </w:r>
      <w:r w:rsidRPr="00472DC3">
        <w:rPr>
          <w:i/>
          <w:iCs/>
        </w:rPr>
        <w:t>RRCReconfigurationComplete</w:t>
      </w:r>
      <w:r w:rsidRPr="008F1B19">
        <w:t xml:space="preserve"> </w:t>
      </w:r>
      <w:r w:rsidRPr="008F1B19">
        <w:rPr>
          <w:rFonts w:hint="eastAsia"/>
        </w:rPr>
        <w:t>message</w:t>
      </w:r>
      <w:r w:rsidRPr="008F1B19">
        <w:t>.</w:t>
      </w:r>
    </w:p>
    <w:p w14:paraId="583AE9F5" w14:textId="77777777" w:rsidR="009B2B90" w:rsidRPr="008F1B19" w:rsidRDefault="009B2B90" w:rsidP="009B2B90">
      <w:pPr>
        <w:pStyle w:val="B1"/>
      </w:pPr>
      <w:r>
        <w:t>6</w:t>
      </w:r>
      <w:r w:rsidRPr="008F1B19">
        <w:t xml:space="preserve">. </w:t>
      </w:r>
      <w:r>
        <w:t xml:space="preserve"> </w:t>
      </w:r>
      <w:r w:rsidRPr="00E349C6">
        <w:rPr>
          <w:rFonts w:eastAsia="DengXian"/>
        </w:rPr>
        <w:t>When provided with periodic CSI configuration consistent with reported UE capabilities</w:t>
      </w:r>
      <w:r>
        <w:rPr>
          <w:rFonts w:eastAsia="DengXian"/>
        </w:rPr>
        <w:t xml:space="preserve"> in CSI report configuration</w:t>
      </w:r>
      <w:r w:rsidRPr="00E349C6">
        <w:rPr>
          <w:rFonts w:eastAsia="DengXian"/>
        </w:rPr>
        <w:t>, upon reporting the applicable functionalities, the UE autonomously activates the applicable</w:t>
      </w:r>
      <w:r>
        <w:rPr>
          <w:rFonts w:eastAsia="DengXian"/>
        </w:rPr>
        <w:t xml:space="preserve"> AI/ML</w:t>
      </w:r>
      <w:r w:rsidRPr="00E349C6">
        <w:rPr>
          <w:rFonts w:eastAsia="DengXian"/>
        </w:rPr>
        <w:t xml:space="preserve"> functionalities. When provided with semi-persistent CSI and/or aperiodic CSI configuration, upon reporting the applicable </w:t>
      </w:r>
      <w:r>
        <w:rPr>
          <w:rFonts w:eastAsia="DengXian"/>
        </w:rPr>
        <w:t>AI/ML</w:t>
      </w:r>
      <w:r w:rsidRPr="00E349C6">
        <w:rPr>
          <w:rFonts w:eastAsia="DengXian"/>
        </w:rPr>
        <w:t xml:space="preserve"> functionalities, applicable </w:t>
      </w:r>
      <w:r>
        <w:rPr>
          <w:rFonts w:eastAsia="DengXian"/>
        </w:rPr>
        <w:t>AI/ML</w:t>
      </w:r>
      <w:r w:rsidRPr="00E349C6">
        <w:rPr>
          <w:rFonts w:eastAsia="DengXian"/>
        </w:rPr>
        <w:t xml:space="preserve"> functionality activation follows the CSI </w:t>
      </w:r>
      <w:r>
        <w:rPr>
          <w:rFonts w:eastAsia="DengXian"/>
        </w:rPr>
        <w:lastRenderedPageBreak/>
        <w:t>measurement and reporting</w:t>
      </w:r>
      <w:r w:rsidRPr="00E349C6">
        <w:rPr>
          <w:rFonts w:eastAsia="DengXian"/>
        </w:rPr>
        <w:t>, i.e., semi-persistent reporting can be activated by MAC CE/DCI and aperiodic CSI reporting can be activated by DCI.</w:t>
      </w:r>
    </w:p>
    <w:p w14:paraId="672E455A" w14:textId="77777777" w:rsidR="009B2B90" w:rsidRPr="008F1B19" w:rsidRDefault="009B2B90" w:rsidP="009B2B90">
      <w:pPr>
        <w:pStyle w:val="NO"/>
      </w:pPr>
      <w:r>
        <w:t xml:space="preserve">NOTE 1:  </w:t>
      </w:r>
      <w:r w:rsidRPr="008F1B19">
        <w:t xml:space="preserve">The network </w:t>
      </w:r>
      <w:r>
        <w:t xml:space="preserve">may </w:t>
      </w:r>
      <w:r w:rsidRPr="008F1B19">
        <w:t xml:space="preserve">transmit an </w:t>
      </w:r>
      <w:r w:rsidRPr="00472DC3">
        <w:rPr>
          <w:i/>
          <w:iCs/>
        </w:rPr>
        <w:t>RRCReconfiguration</w:t>
      </w:r>
      <w:r w:rsidRPr="008F1B19">
        <w:t xml:space="preserve"> message to the UE including the inference configuration</w:t>
      </w:r>
      <w:r w:rsidRPr="003830D9">
        <w:rPr>
          <w:rFonts w:eastAsia="DengXian"/>
        </w:rPr>
        <w:t xml:space="preserve"> </w:t>
      </w:r>
      <w:r>
        <w:rPr>
          <w:rFonts w:eastAsia="DengXian"/>
        </w:rPr>
        <w:t xml:space="preserve">in case inference configuration is not provided in step 3. </w:t>
      </w:r>
      <w:r w:rsidRPr="008F1B19">
        <w:t xml:space="preserve">Upon receiving one or more inference configuration(s), UE shall maintain all the inference configuration(s) no matter the inference configuration is applicable or </w:t>
      </w:r>
      <w:r>
        <w:t>non-</w:t>
      </w:r>
      <w:r w:rsidRPr="008F1B19">
        <w:t>applicable until the network releases it explicitly.</w:t>
      </w:r>
    </w:p>
    <w:p w14:paraId="7527765E" w14:textId="06BA65E9" w:rsidR="009B2B90" w:rsidRDefault="009B2B90" w:rsidP="009B2B90">
      <w:pPr>
        <w:pStyle w:val="B1"/>
        <w:rPr>
          <w:rFonts w:eastAsia="DengXian"/>
        </w:rPr>
      </w:pPr>
      <w:r>
        <w:t>7</w:t>
      </w:r>
      <w:r w:rsidRPr="008F1B19">
        <w:t xml:space="preserve">. When the network has configured applicability reporting via </w:t>
      </w:r>
      <w:r w:rsidRPr="00FF729F">
        <w:rPr>
          <w:i/>
          <w:iCs/>
        </w:rPr>
        <w:t>otherconfig</w:t>
      </w:r>
      <w:r w:rsidRPr="008F1B19">
        <w:t xml:space="preserve">, and applicability of the functionality changes, the UE can report updated functionality applicability </w:t>
      </w:r>
      <w:r>
        <w:t>and non-</w:t>
      </w:r>
      <w:r w:rsidRPr="008F1B19">
        <w:t xml:space="preserve">applicability </w:t>
      </w:r>
      <w:r>
        <w:t xml:space="preserve">with relevant cause </w:t>
      </w:r>
      <w:r w:rsidRPr="008F1B19">
        <w:t xml:space="preserve">in </w:t>
      </w:r>
      <w:r w:rsidRPr="00472DC3">
        <w:rPr>
          <w:i/>
          <w:iCs/>
        </w:rPr>
        <w:t>UEAssistanceInformation</w:t>
      </w:r>
      <w:r w:rsidRPr="008F1B19">
        <w:t xml:space="preserve"> </w:t>
      </w:r>
      <w:r w:rsidRPr="008F1B19">
        <w:rPr>
          <w:rFonts w:hint="eastAsia"/>
        </w:rPr>
        <w:t>message</w:t>
      </w:r>
      <w:r w:rsidRPr="008F1B19">
        <w:t>.</w:t>
      </w:r>
      <w:r>
        <w:t xml:space="preserve"> </w:t>
      </w:r>
      <w:r w:rsidRPr="00E349C6">
        <w:rPr>
          <w:rFonts w:eastAsia="DengXian"/>
        </w:rPr>
        <w:t xml:space="preserve">When an activated </w:t>
      </w:r>
      <w:r>
        <w:rPr>
          <w:rFonts w:eastAsia="DengXian"/>
        </w:rPr>
        <w:t xml:space="preserve">AI/ML </w:t>
      </w:r>
      <w:r w:rsidRPr="00E349C6">
        <w:rPr>
          <w:rFonts w:eastAsia="DengXian"/>
        </w:rPr>
        <w:t xml:space="preserve">functionality becomes </w:t>
      </w:r>
      <w:r>
        <w:rPr>
          <w:rFonts w:eastAsia="DengXian"/>
        </w:rPr>
        <w:t>non-</w:t>
      </w:r>
      <w:r w:rsidRPr="00E349C6">
        <w:rPr>
          <w:rFonts w:eastAsia="DengXian"/>
        </w:rPr>
        <w:t>applicable, the UE does not autonomously deactivate it</w:t>
      </w:r>
      <w:r>
        <w:t>, but the UE indicates to the network the change in the applicability</w:t>
      </w:r>
      <w:r w:rsidRPr="00E349C6">
        <w:rPr>
          <w:rFonts w:eastAsia="DengXian"/>
        </w:rPr>
        <w:t>. Upon reception of UE indication of the functionality becoming non-applicable, the network should deactivate or release this activated functionality.</w:t>
      </w:r>
      <w:r w:rsidR="006926F3">
        <w:rPr>
          <w:rFonts w:eastAsia="DengXian"/>
        </w:rPr>
        <w:t xml:space="preserve"> </w:t>
      </w:r>
      <w:r w:rsidR="006926F3" w:rsidRPr="00A13518">
        <w:rPr>
          <w:rFonts w:eastAsia="DengXian"/>
          <w:color w:val="ED7D31" w:themeColor="accent2"/>
        </w:rPr>
        <w:t xml:space="preserve">When an activated applicable AI/ML </w:t>
      </w:r>
      <w:r w:rsidR="006926F3">
        <w:rPr>
          <w:rFonts w:eastAsia="DengXian"/>
          <w:color w:val="ED7D31" w:themeColor="accent2"/>
        </w:rPr>
        <w:t>configuration</w:t>
      </w:r>
      <w:r w:rsidR="006926F3" w:rsidRPr="00A13518">
        <w:rPr>
          <w:rFonts w:eastAsia="DengXian"/>
          <w:color w:val="ED7D31" w:themeColor="accent2"/>
        </w:rPr>
        <w:t xml:space="preserve"> with periodic CSI configuration becomes inapplicable, the UE report</w:t>
      </w:r>
      <w:r w:rsidR="006926F3">
        <w:rPr>
          <w:rFonts w:eastAsia="DengXian"/>
          <w:color w:val="ED7D31" w:themeColor="accent2"/>
        </w:rPr>
        <w:t>s</w:t>
      </w:r>
      <w:r w:rsidR="006926F3" w:rsidRPr="00A13518">
        <w:rPr>
          <w:rFonts w:eastAsia="DengXian"/>
          <w:color w:val="ED7D31" w:themeColor="accent2"/>
        </w:rPr>
        <w:t xml:space="preserve"> only</w:t>
      </w:r>
      <w:r w:rsidR="006926F3">
        <w:rPr>
          <w:rFonts w:eastAsia="DengXian"/>
          <w:color w:val="ED7D31" w:themeColor="accent2"/>
        </w:rPr>
        <w:t xml:space="preserve"> the</w:t>
      </w:r>
      <w:r w:rsidR="006926F3" w:rsidRPr="00A13518">
        <w:rPr>
          <w:rFonts w:eastAsia="DengXian"/>
          <w:color w:val="ED7D31" w:themeColor="accent2"/>
        </w:rPr>
        <w:t xml:space="preserve"> measured beams </w:t>
      </w:r>
      <w:r w:rsidR="006926F3">
        <w:rPr>
          <w:rFonts w:eastAsia="DengXian"/>
          <w:color w:val="ED7D31" w:themeColor="accent2"/>
        </w:rPr>
        <w:t>configured in the</w:t>
      </w:r>
      <w:r w:rsidR="006926F3" w:rsidRPr="00A13518">
        <w:rPr>
          <w:rFonts w:eastAsia="DengXian"/>
          <w:color w:val="ED7D31" w:themeColor="accent2"/>
        </w:rPr>
        <w:t xml:space="preserve"> </w:t>
      </w:r>
      <w:r w:rsidR="006926F3">
        <w:rPr>
          <w:rFonts w:eastAsia="DengXian"/>
          <w:color w:val="ED7D31" w:themeColor="accent2"/>
        </w:rPr>
        <w:t>inapplicable</w:t>
      </w:r>
      <w:r w:rsidR="006926F3" w:rsidRPr="00A13518">
        <w:rPr>
          <w:rFonts w:eastAsia="DengXian"/>
          <w:color w:val="ED7D31" w:themeColor="accent2"/>
        </w:rPr>
        <w:t xml:space="preserve"> configuration until the network deactivates or release this activated </w:t>
      </w:r>
      <w:r w:rsidR="006926F3">
        <w:rPr>
          <w:rFonts w:eastAsia="DengXian"/>
          <w:color w:val="ED7D31" w:themeColor="accent2"/>
        </w:rPr>
        <w:t>configuration.</w:t>
      </w:r>
    </w:p>
    <w:p w14:paraId="203AE983" w14:textId="0A0E524C" w:rsidR="000764E9" w:rsidRPr="00540186" w:rsidRDefault="009B2B90" w:rsidP="006A2AD6">
      <w:pPr>
        <w:pStyle w:val="NO"/>
        <w:rPr>
          <w:i/>
          <w:iCs/>
        </w:rPr>
      </w:pPr>
      <w:r w:rsidRPr="00093CC5">
        <w:rPr>
          <w:i/>
          <w:iCs/>
        </w:rPr>
        <w:t xml:space="preserve">Editor's note: </w:t>
      </w:r>
      <w:r w:rsidRPr="00E837C7">
        <w:rPr>
          <w:i/>
          <w:iCs/>
        </w:rPr>
        <w:t>FFS signaling details for option B (e.g.</w:t>
      </w:r>
      <w:r>
        <w:rPr>
          <w:rFonts w:ascii="SimSun" w:eastAsia="SimSun" w:hAnsi="SimSun" w:cs="SimSun" w:hint="eastAsia"/>
          <w:i/>
          <w:iCs/>
        </w:rPr>
        <w:t>,</w:t>
      </w:r>
      <w:r w:rsidRPr="00E837C7">
        <w:rPr>
          <w:i/>
          <w:iCs/>
        </w:rPr>
        <w:t xml:space="preserve"> whether it is signaling in CSI-Report Config or otherconfig)</w:t>
      </w:r>
      <w:r>
        <w:rPr>
          <w:i/>
          <w:iCs/>
        </w:rPr>
        <w:t xml:space="preserve"> and activation.</w:t>
      </w:r>
      <w:bookmarkEnd w:id="2"/>
      <w:bookmarkEnd w:id="1"/>
    </w:p>
    <w:p w14:paraId="16705F31" w14:textId="60B213FC" w:rsidR="00A45E07" w:rsidRPr="00CD4C7B" w:rsidRDefault="00F60018" w:rsidP="00294CCF">
      <w:pPr>
        <w:pStyle w:val="Heading1"/>
      </w:pPr>
      <w:r w:rsidRPr="00CA2AB1">
        <w:t>8</w:t>
      </w:r>
      <w:r w:rsidR="00A45E07" w:rsidRPr="00CA2AB1">
        <w:tab/>
        <w:t>References</w:t>
      </w:r>
    </w:p>
    <w:p w14:paraId="70009EC2" w14:textId="4C9A89FB" w:rsidR="00A45E07" w:rsidRDefault="00A45E07" w:rsidP="0055451E">
      <w:pPr>
        <w:rPr>
          <w:bCs/>
        </w:rPr>
      </w:pPr>
      <w:r>
        <w:rPr>
          <w:bCs/>
        </w:rPr>
        <w:t xml:space="preserve">[1] </w:t>
      </w:r>
      <w:r w:rsidRPr="0068185F">
        <w:rPr>
          <w:bCs/>
        </w:rPr>
        <w:t>R1-2410898</w:t>
      </w:r>
      <w:r>
        <w:rPr>
          <w:bCs/>
        </w:rPr>
        <w:t>, “</w:t>
      </w:r>
      <w:r w:rsidR="0055451E" w:rsidRPr="0055451E">
        <w:rPr>
          <w:bCs/>
        </w:rPr>
        <w:t>RAN2 Chair’s Notes”, 3GPP TSG RAN WG2 #12</w:t>
      </w:r>
      <w:r w:rsidR="0055451E">
        <w:rPr>
          <w:bCs/>
        </w:rPr>
        <w:t>9</w:t>
      </w:r>
      <w:r w:rsidR="0055451E" w:rsidRPr="0055451E">
        <w:rPr>
          <w:bCs/>
        </w:rPr>
        <w:t>,</w:t>
      </w:r>
      <w:r w:rsidR="0055451E">
        <w:rPr>
          <w:bCs/>
        </w:rPr>
        <w:t xml:space="preserve"> Athens</w:t>
      </w:r>
      <w:r w:rsidR="0055451E" w:rsidRPr="0055451E">
        <w:rPr>
          <w:bCs/>
        </w:rPr>
        <w:t xml:space="preserve">, </w:t>
      </w:r>
      <w:r w:rsidR="0055451E">
        <w:rPr>
          <w:bCs/>
        </w:rPr>
        <w:t>Greece</w:t>
      </w:r>
      <w:r w:rsidR="0055451E" w:rsidRPr="0055451E">
        <w:rPr>
          <w:bCs/>
        </w:rPr>
        <w:t xml:space="preserve">, </w:t>
      </w:r>
      <w:r w:rsidR="0055451E">
        <w:rPr>
          <w:bCs/>
        </w:rPr>
        <w:t>February</w:t>
      </w:r>
      <w:r w:rsidR="0055451E" w:rsidRPr="0055451E">
        <w:rPr>
          <w:bCs/>
        </w:rPr>
        <w:t xml:space="preserve"> 1</w:t>
      </w:r>
      <w:r w:rsidR="00ED5C89">
        <w:rPr>
          <w:bCs/>
        </w:rPr>
        <w:t>7</w:t>
      </w:r>
      <w:r w:rsidR="0055451E" w:rsidRPr="0055451E">
        <w:rPr>
          <w:bCs/>
        </w:rPr>
        <w:t xml:space="preserve"> – 2</w:t>
      </w:r>
      <w:r w:rsidR="00ED5C89">
        <w:rPr>
          <w:bCs/>
        </w:rPr>
        <w:t>1</w:t>
      </w:r>
      <w:r w:rsidR="0055451E" w:rsidRPr="0055451E">
        <w:rPr>
          <w:bCs/>
        </w:rPr>
        <w:t>, 202</w:t>
      </w:r>
      <w:r w:rsidR="00ED5C89">
        <w:rPr>
          <w:bCs/>
        </w:rPr>
        <w:t>5</w:t>
      </w:r>
      <w:r w:rsidR="0055451E" w:rsidRPr="0055451E">
        <w:rPr>
          <w:bCs/>
        </w:rPr>
        <w:t>.</w:t>
      </w:r>
    </w:p>
    <w:p w14:paraId="62D76F03" w14:textId="15C017D4" w:rsidR="00A45E07" w:rsidRPr="009E1B15" w:rsidRDefault="00A45E07" w:rsidP="00A45E07">
      <w:r>
        <w:rPr>
          <w:bCs/>
        </w:rPr>
        <w:t>[2]</w:t>
      </w:r>
      <w:r w:rsidRPr="00E254FE">
        <w:rPr>
          <w:bCs/>
        </w:rPr>
        <w:t xml:space="preserve"> R1-2407554, “</w:t>
      </w:r>
      <w:r w:rsidR="00307299" w:rsidRPr="0055451E">
        <w:rPr>
          <w:bCs/>
        </w:rPr>
        <w:t>RAN2 Chair’s Notes”, 3GPP TSG RAN WG2 #12</w:t>
      </w:r>
      <w:r w:rsidR="00307299">
        <w:rPr>
          <w:bCs/>
        </w:rPr>
        <w:t>8</w:t>
      </w:r>
      <w:r w:rsidR="00307299" w:rsidRPr="0055451E">
        <w:rPr>
          <w:bCs/>
        </w:rPr>
        <w:t>,</w:t>
      </w:r>
      <w:r w:rsidR="00307299">
        <w:rPr>
          <w:bCs/>
        </w:rPr>
        <w:t xml:space="preserve"> Orlando</w:t>
      </w:r>
      <w:r w:rsidR="00307299" w:rsidRPr="0055451E">
        <w:rPr>
          <w:bCs/>
        </w:rPr>
        <w:t xml:space="preserve">, </w:t>
      </w:r>
      <w:r w:rsidR="00307299">
        <w:rPr>
          <w:bCs/>
        </w:rPr>
        <w:t>US</w:t>
      </w:r>
      <w:r w:rsidR="00307299" w:rsidRPr="0055451E">
        <w:rPr>
          <w:bCs/>
        </w:rPr>
        <w:t xml:space="preserve">, </w:t>
      </w:r>
      <w:r w:rsidR="00770E3B">
        <w:rPr>
          <w:bCs/>
        </w:rPr>
        <w:t>November</w:t>
      </w:r>
      <w:r w:rsidR="00307299" w:rsidRPr="0055451E">
        <w:rPr>
          <w:bCs/>
        </w:rPr>
        <w:t xml:space="preserve"> </w:t>
      </w:r>
      <w:r w:rsidR="007025BF">
        <w:rPr>
          <w:bCs/>
        </w:rPr>
        <w:t>18</w:t>
      </w:r>
      <w:r w:rsidR="00307299" w:rsidRPr="0055451E">
        <w:rPr>
          <w:bCs/>
        </w:rPr>
        <w:t xml:space="preserve"> – 2</w:t>
      </w:r>
      <w:r w:rsidR="007025BF">
        <w:rPr>
          <w:bCs/>
        </w:rPr>
        <w:t>2</w:t>
      </w:r>
      <w:r w:rsidR="00307299" w:rsidRPr="0055451E">
        <w:rPr>
          <w:bCs/>
        </w:rPr>
        <w:t>, 202</w:t>
      </w:r>
      <w:r w:rsidR="00307299">
        <w:rPr>
          <w:bCs/>
        </w:rPr>
        <w:t>4</w:t>
      </w:r>
      <w:r w:rsidR="00307299" w:rsidRPr="0055451E">
        <w:rPr>
          <w:bCs/>
        </w:rPr>
        <w:t>.</w:t>
      </w:r>
    </w:p>
    <w:p w14:paraId="56D38FE0" w14:textId="0138442A" w:rsidR="00F77A03" w:rsidRPr="00F77A03" w:rsidRDefault="00F77A03" w:rsidP="00F77A03">
      <w:r>
        <w:rPr>
          <w:b/>
          <w:bCs/>
        </w:rPr>
        <w:t xml:space="preserve">[3] </w:t>
      </w:r>
      <w:r w:rsidRPr="00A13518">
        <w:t xml:space="preserve">[POST129][024][AI PHY] Stage 2 running CR (vivo) </w:t>
      </w:r>
      <w:hyperlink r:id="rId20" w:tgtFrame="_blank" w:tooltip="https://www.3gpp.org/ftp/email_discussions/ran2/%5bran2%23129%5d/%5bpost129%5d%5b024%5d%5bai%20phy%5d%20stage%202%20running%20cr%20(vivo)/r2-25xxxxx_introduction%20of%20ai%20for%20air%20interface%20feature%20in%2038300_v00_rapp.docx" w:history="1">
        <w:r w:rsidRPr="00F77A03">
          <w:rPr>
            <w:rStyle w:val="Hyperlink"/>
          </w:rPr>
          <w:t>R2-25xxxxx_Introduction of AI for Air interface feature in 38300</w:t>
        </w:r>
      </w:hyperlink>
    </w:p>
    <w:p w14:paraId="7DCAADB6" w14:textId="77777777" w:rsidR="00A45E07" w:rsidRPr="00E437B1" w:rsidRDefault="00A45E07" w:rsidP="00A45E07"/>
    <w:p w14:paraId="63772756" w14:textId="77777777" w:rsidR="00A45E07" w:rsidRPr="00A209D6" w:rsidRDefault="00A45E07" w:rsidP="00A45E07">
      <w:r w:rsidDel="00E30525">
        <w:t xml:space="preserve"> </w:t>
      </w:r>
    </w:p>
    <w:p w14:paraId="35F222F4" w14:textId="753D613F" w:rsidR="00080512" w:rsidRPr="00A209D6" w:rsidRDefault="00080512" w:rsidP="009339CB"/>
    <w:sectPr w:rsidR="00080512" w:rsidRPr="00A209D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6FED5" w14:textId="77777777" w:rsidR="00BF38A5" w:rsidRDefault="00BF38A5">
      <w:r>
        <w:separator/>
      </w:r>
    </w:p>
  </w:endnote>
  <w:endnote w:type="continuationSeparator" w:id="0">
    <w:p w14:paraId="16623D4C" w14:textId="77777777" w:rsidR="00BF38A5" w:rsidRDefault="00BF38A5">
      <w:r>
        <w:continuationSeparator/>
      </w:r>
    </w:p>
  </w:endnote>
  <w:endnote w:type="continuationNotice" w:id="1">
    <w:p w14:paraId="229C26B8" w14:textId="77777777" w:rsidR="00BF38A5" w:rsidRDefault="00BF3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265F1" w14:textId="77777777" w:rsidR="00BF38A5" w:rsidRDefault="00BF38A5">
      <w:r>
        <w:separator/>
      </w:r>
    </w:p>
  </w:footnote>
  <w:footnote w:type="continuationSeparator" w:id="0">
    <w:p w14:paraId="2091C132" w14:textId="77777777" w:rsidR="00BF38A5" w:rsidRDefault="00BF38A5">
      <w:r>
        <w:continuationSeparator/>
      </w:r>
    </w:p>
  </w:footnote>
  <w:footnote w:type="continuationNotice" w:id="1">
    <w:p w14:paraId="22AB01D5" w14:textId="77777777" w:rsidR="00BF38A5" w:rsidRDefault="00BF38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intelligence2.xml><?xml version="1.0" encoding="utf-8"?>
<int2:intelligence xmlns:int2="http://schemas.microsoft.com/office/intelligence/2020/intelligence" xmlns:oel="http://schemas.microsoft.com/office/2019/extlst">
  <int2:observations>
    <int2:textHash int2:hashCode="Hw5o5IaAGLI+yD" int2:id="V7urw46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675CA"/>
    <w:multiLevelType w:val="hybridMultilevel"/>
    <w:tmpl w:val="3E26945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27F4C"/>
    <w:multiLevelType w:val="hybridMultilevel"/>
    <w:tmpl w:val="F72AC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A436D5C"/>
    <w:multiLevelType w:val="hybridMultilevel"/>
    <w:tmpl w:val="5E52C8A0"/>
    <w:lvl w:ilvl="0" w:tplc="4ED4847C">
      <w:start w:val="1"/>
      <w:numFmt w:val="bullet"/>
      <w:lvlText w:val=""/>
      <w:lvlJc w:val="left"/>
      <w:pPr>
        <w:tabs>
          <w:tab w:val="num" w:pos="720"/>
        </w:tabs>
        <w:ind w:left="720" w:hanging="360"/>
      </w:pPr>
      <w:rPr>
        <w:rFonts w:ascii="Symbol" w:hAnsi="Symbol" w:hint="default"/>
      </w:rPr>
    </w:lvl>
    <w:lvl w:ilvl="1" w:tplc="1ED890E2" w:tentative="1">
      <w:start w:val="1"/>
      <w:numFmt w:val="bullet"/>
      <w:lvlText w:val=""/>
      <w:lvlJc w:val="left"/>
      <w:pPr>
        <w:tabs>
          <w:tab w:val="num" w:pos="1440"/>
        </w:tabs>
        <w:ind w:left="1440" w:hanging="360"/>
      </w:pPr>
      <w:rPr>
        <w:rFonts w:ascii="Symbol" w:hAnsi="Symbol" w:hint="default"/>
      </w:rPr>
    </w:lvl>
    <w:lvl w:ilvl="2" w:tplc="C592F34E" w:tentative="1">
      <w:start w:val="1"/>
      <w:numFmt w:val="bullet"/>
      <w:lvlText w:val=""/>
      <w:lvlJc w:val="left"/>
      <w:pPr>
        <w:tabs>
          <w:tab w:val="num" w:pos="2160"/>
        </w:tabs>
        <w:ind w:left="2160" w:hanging="360"/>
      </w:pPr>
      <w:rPr>
        <w:rFonts w:ascii="Symbol" w:hAnsi="Symbol" w:hint="default"/>
      </w:rPr>
    </w:lvl>
    <w:lvl w:ilvl="3" w:tplc="9E00EB18" w:tentative="1">
      <w:start w:val="1"/>
      <w:numFmt w:val="bullet"/>
      <w:lvlText w:val=""/>
      <w:lvlJc w:val="left"/>
      <w:pPr>
        <w:tabs>
          <w:tab w:val="num" w:pos="2880"/>
        </w:tabs>
        <w:ind w:left="2880" w:hanging="360"/>
      </w:pPr>
      <w:rPr>
        <w:rFonts w:ascii="Symbol" w:hAnsi="Symbol" w:hint="default"/>
      </w:rPr>
    </w:lvl>
    <w:lvl w:ilvl="4" w:tplc="7FEE3B58" w:tentative="1">
      <w:start w:val="1"/>
      <w:numFmt w:val="bullet"/>
      <w:lvlText w:val=""/>
      <w:lvlJc w:val="left"/>
      <w:pPr>
        <w:tabs>
          <w:tab w:val="num" w:pos="3600"/>
        </w:tabs>
        <w:ind w:left="3600" w:hanging="360"/>
      </w:pPr>
      <w:rPr>
        <w:rFonts w:ascii="Symbol" w:hAnsi="Symbol" w:hint="default"/>
      </w:rPr>
    </w:lvl>
    <w:lvl w:ilvl="5" w:tplc="E9FE612C" w:tentative="1">
      <w:start w:val="1"/>
      <w:numFmt w:val="bullet"/>
      <w:lvlText w:val=""/>
      <w:lvlJc w:val="left"/>
      <w:pPr>
        <w:tabs>
          <w:tab w:val="num" w:pos="4320"/>
        </w:tabs>
        <w:ind w:left="4320" w:hanging="360"/>
      </w:pPr>
      <w:rPr>
        <w:rFonts w:ascii="Symbol" w:hAnsi="Symbol" w:hint="default"/>
      </w:rPr>
    </w:lvl>
    <w:lvl w:ilvl="6" w:tplc="745EDE84" w:tentative="1">
      <w:start w:val="1"/>
      <w:numFmt w:val="bullet"/>
      <w:lvlText w:val=""/>
      <w:lvlJc w:val="left"/>
      <w:pPr>
        <w:tabs>
          <w:tab w:val="num" w:pos="5040"/>
        </w:tabs>
        <w:ind w:left="5040" w:hanging="360"/>
      </w:pPr>
      <w:rPr>
        <w:rFonts w:ascii="Symbol" w:hAnsi="Symbol" w:hint="default"/>
      </w:rPr>
    </w:lvl>
    <w:lvl w:ilvl="7" w:tplc="E6C0ECC6" w:tentative="1">
      <w:start w:val="1"/>
      <w:numFmt w:val="bullet"/>
      <w:lvlText w:val=""/>
      <w:lvlJc w:val="left"/>
      <w:pPr>
        <w:tabs>
          <w:tab w:val="num" w:pos="5760"/>
        </w:tabs>
        <w:ind w:left="5760" w:hanging="360"/>
      </w:pPr>
      <w:rPr>
        <w:rFonts w:ascii="Symbol" w:hAnsi="Symbol" w:hint="default"/>
      </w:rPr>
    </w:lvl>
    <w:lvl w:ilvl="8" w:tplc="162627C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D1C1DC4"/>
    <w:multiLevelType w:val="hybridMultilevel"/>
    <w:tmpl w:val="F6CA61E2"/>
    <w:lvl w:ilvl="0" w:tplc="87F400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982430"/>
    <w:multiLevelType w:val="hybridMultilevel"/>
    <w:tmpl w:val="FAE24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FA74F6"/>
    <w:multiLevelType w:val="multilevel"/>
    <w:tmpl w:val="C53C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CE7463"/>
    <w:multiLevelType w:val="hybridMultilevel"/>
    <w:tmpl w:val="AC7490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B83F29"/>
    <w:multiLevelType w:val="hybridMultilevel"/>
    <w:tmpl w:val="742081AC"/>
    <w:lvl w:ilvl="0" w:tplc="4B10F38E">
      <w:start w:val="1"/>
      <w:numFmt w:val="decimal"/>
      <w:lvlText w:val="%1."/>
      <w:lvlJc w:val="left"/>
      <w:pPr>
        <w:tabs>
          <w:tab w:val="num" w:pos="720"/>
        </w:tabs>
        <w:ind w:left="720" w:hanging="360"/>
      </w:pPr>
    </w:lvl>
    <w:lvl w:ilvl="1" w:tplc="1932D680" w:tentative="1">
      <w:start w:val="1"/>
      <w:numFmt w:val="decimal"/>
      <w:lvlText w:val="%2."/>
      <w:lvlJc w:val="left"/>
      <w:pPr>
        <w:tabs>
          <w:tab w:val="num" w:pos="1440"/>
        </w:tabs>
        <w:ind w:left="1440" w:hanging="360"/>
      </w:pPr>
    </w:lvl>
    <w:lvl w:ilvl="2" w:tplc="76E4827C">
      <w:numFmt w:val="bullet"/>
      <w:lvlText w:val=""/>
      <w:lvlJc w:val="left"/>
      <w:pPr>
        <w:tabs>
          <w:tab w:val="num" w:pos="2160"/>
        </w:tabs>
        <w:ind w:left="2160" w:hanging="360"/>
      </w:pPr>
      <w:rPr>
        <w:rFonts w:ascii="Wingdings" w:hAnsi="Wingdings" w:hint="default"/>
      </w:rPr>
    </w:lvl>
    <w:lvl w:ilvl="3" w:tplc="4E6E441E" w:tentative="1">
      <w:start w:val="1"/>
      <w:numFmt w:val="decimal"/>
      <w:lvlText w:val="%4."/>
      <w:lvlJc w:val="left"/>
      <w:pPr>
        <w:tabs>
          <w:tab w:val="num" w:pos="2880"/>
        </w:tabs>
        <w:ind w:left="2880" w:hanging="360"/>
      </w:pPr>
    </w:lvl>
    <w:lvl w:ilvl="4" w:tplc="93408F5C" w:tentative="1">
      <w:start w:val="1"/>
      <w:numFmt w:val="decimal"/>
      <w:lvlText w:val="%5."/>
      <w:lvlJc w:val="left"/>
      <w:pPr>
        <w:tabs>
          <w:tab w:val="num" w:pos="3600"/>
        </w:tabs>
        <w:ind w:left="3600" w:hanging="360"/>
      </w:pPr>
    </w:lvl>
    <w:lvl w:ilvl="5" w:tplc="53045C06" w:tentative="1">
      <w:start w:val="1"/>
      <w:numFmt w:val="decimal"/>
      <w:lvlText w:val="%6."/>
      <w:lvlJc w:val="left"/>
      <w:pPr>
        <w:tabs>
          <w:tab w:val="num" w:pos="4320"/>
        </w:tabs>
        <w:ind w:left="4320" w:hanging="360"/>
      </w:pPr>
    </w:lvl>
    <w:lvl w:ilvl="6" w:tplc="E3583078" w:tentative="1">
      <w:start w:val="1"/>
      <w:numFmt w:val="decimal"/>
      <w:lvlText w:val="%7."/>
      <w:lvlJc w:val="left"/>
      <w:pPr>
        <w:tabs>
          <w:tab w:val="num" w:pos="5040"/>
        </w:tabs>
        <w:ind w:left="5040" w:hanging="360"/>
      </w:pPr>
    </w:lvl>
    <w:lvl w:ilvl="7" w:tplc="E786AC18" w:tentative="1">
      <w:start w:val="1"/>
      <w:numFmt w:val="decimal"/>
      <w:lvlText w:val="%8."/>
      <w:lvlJc w:val="left"/>
      <w:pPr>
        <w:tabs>
          <w:tab w:val="num" w:pos="5760"/>
        </w:tabs>
        <w:ind w:left="5760" w:hanging="360"/>
      </w:pPr>
    </w:lvl>
    <w:lvl w:ilvl="8" w:tplc="97EE0AA2" w:tentative="1">
      <w:start w:val="1"/>
      <w:numFmt w:val="decimal"/>
      <w:lvlText w:val="%9."/>
      <w:lvlJc w:val="left"/>
      <w:pPr>
        <w:tabs>
          <w:tab w:val="num" w:pos="6480"/>
        </w:tabs>
        <w:ind w:left="6480" w:hanging="360"/>
      </w:pPr>
    </w:lvl>
  </w:abstractNum>
  <w:abstractNum w:abstractNumId="18" w15:restartNumberingAfterBreak="0">
    <w:nsid w:val="26BF1F3E"/>
    <w:multiLevelType w:val="hybridMultilevel"/>
    <w:tmpl w:val="2E329F6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2D0B3032"/>
    <w:multiLevelType w:val="hybridMultilevel"/>
    <w:tmpl w:val="7934286E"/>
    <w:lvl w:ilvl="0" w:tplc="57966C0A">
      <w:start w:val="1"/>
      <w:numFmt w:val="decimal"/>
      <w:lvlText w:val="%1."/>
      <w:lvlJc w:val="left"/>
      <w:pPr>
        <w:tabs>
          <w:tab w:val="num" w:pos="720"/>
        </w:tabs>
        <w:ind w:left="720" w:hanging="360"/>
      </w:pPr>
    </w:lvl>
    <w:lvl w:ilvl="1" w:tplc="15EA3416" w:tentative="1">
      <w:start w:val="1"/>
      <w:numFmt w:val="decimal"/>
      <w:lvlText w:val="%2."/>
      <w:lvlJc w:val="left"/>
      <w:pPr>
        <w:tabs>
          <w:tab w:val="num" w:pos="1440"/>
        </w:tabs>
        <w:ind w:left="1440" w:hanging="360"/>
      </w:pPr>
    </w:lvl>
    <w:lvl w:ilvl="2" w:tplc="9B5CA3AE" w:tentative="1">
      <w:start w:val="1"/>
      <w:numFmt w:val="decimal"/>
      <w:lvlText w:val="%3."/>
      <w:lvlJc w:val="left"/>
      <w:pPr>
        <w:tabs>
          <w:tab w:val="num" w:pos="2160"/>
        </w:tabs>
        <w:ind w:left="2160" w:hanging="360"/>
      </w:pPr>
    </w:lvl>
    <w:lvl w:ilvl="3" w:tplc="F2508C5A" w:tentative="1">
      <w:start w:val="1"/>
      <w:numFmt w:val="decimal"/>
      <w:lvlText w:val="%4."/>
      <w:lvlJc w:val="left"/>
      <w:pPr>
        <w:tabs>
          <w:tab w:val="num" w:pos="2880"/>
        </w:tabs>
        <w:ind w:left="2880" w:hanging="360"/>
      </w:pPr>
    </w:lvl>
    <w:lvl w:ilvl="4" w:tplc="C952F2AE" w:tentative="1">
      <w:start w:val="1"/>
      <w:numFmt w:val="decimal"/>
      <w:lvlText w:val="%5."/>
      <w:lvlJc w:val="left"/>
      <w:pPr>
        <w:tabs>
          <w:tab w:val="num" w:pos="3600"/>
        </w:tabs>
        <w:ind w:left="3600" w:hanging="360"/>
      </w:pPr>
    </w:lvl>
    <w:lvl w:ilvl="5" w:tplc="B6A8C3F2" w:tentative="1">
      <w:start w:val="1"/>
      <w:numFmt w:val="decimal"/>
      <w:lvlText w:val="%6."/>
      <w:lvlJc w:val="left"/>
      <w:pPr>
        <w:tabs>
          <w:tab w:val="num" w:pos="4320"/>
        </w:tabs>
        <w:ind w:left="4320" w:hanging="360"/>
      </w:pPr>
    </w:lvl>
    <w:lvl w:ilvl="6" w:tplc="BE78B93C" w:tentative="1">
      <w:start w:val="1"/>
      <w:numFmt w:val="decimal"/>
      <w:lvlText w:val="%7."/>
      <w:lvlJc w:val="left"/>
      <w:pPr>
        <w:tabs>
          <w:tab w:val="num" w:pos="5040"/>
        </w:tabs>
        <w:ind w:left="5040" w:hanging="360"/>
      </w:pPr>
    </w:lvl>
    <w:lvl w:ilvl="7" w:tplc="D2B6399C" w:tentative="1">
      <w:start w:val="1"/>
      <w:numFmt w:val="decimal"/>
      <w:lvlText w:val="%8."/>
      <w:lvlJc w:val="left"/>
      <w:pPr>
        <w:tabs>
          <w:tab w:val="num" w:pos="5760"/>
        </w:tabs>
        <w:ind w:left="5760" w:hanging="360"/>
      </w:pPr>
    </w:lvl>
    <w:lvl w:ilvl="8" w:tplc="863069C4" w:tentative="1">
      <w:start w:val="1"/>
      <w:numFmt w:val="decimal"/>
      <w:lvlText w:val="%9."/>
      <w:lvlJc w:val="left"/>
      <w:pPr>
        <w:tabs>
          <w:tab w:val="num" w:pos="6480"/>
        </w:tabs>
        <w:ind w:left="6480" w:hanging="360"/>
      </w:pPr>
    </w:lvl>
  </w:abstractNum>
  <w:abstractNum w:abstractNumId="21" w15:restartNumberingAfterBreak="0">
    <w:nsid w:val="30BA13FF"/>
    <w:multiLevelType w:val="hybridMultilevel"/>
    <w:tmpl w:val="8ACE9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0CF34F1"/>
    <w:multiLevelType w:val="hybridMultilevel"/>
    <w:tmpl w:val="7450C158"/>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3" w15:restartNumberingAfterBreak="0">
    <w:nsid w:val="35D30E0E"/>
    <w:multiLevelType w:val="hybridMultilevel"/>
    <w:tmpl w:val="B31E05CE"/>
    <w:lvl w:ilvl="0" w:tplc="0D003536">
      <w:start w:val="1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20B42"/>
    <w:multiLevelType w:val="hybridMultilevel"/>
    <w:tmpl w:val="0CD82C0A"/>
    <w:lvl w:ilvl="0" w:tplc="06FADE4A">
      <w:start w:val="1"/>
      <w:numFmt w:val="bullet"/>
      <w:lvlText w:val=""/>
      <w:lvlJc w:val="left"/>
      <w:pPr>
        <w:ind w:left="2320" w:hanging="360"/>
      </w:pPr>
      <w:rPr>
        <w:rFonts w:ascii="Symbol" w:hAnsi="Symbol"/>
      </w:rPr>
    </w:lvl>
    <w:lvl w:ilvl="1" w:tplc="3C0856CE">
      <w:start w:val="1"/>
      <w:numFmt w:val="bullet"/>
      <w:lvlText w:val=""/>
      <w:lvlJc w:val="left"/>
      <w:pPr>
        <w:ind w:left="2320" w:hanging="360"/>
      </w:pPr>
      <w:rPr>
        <w:rFonts w:ascii="Symbol" w:hAnsi="Symbol"/>
      </w:rPr>
    </w:lvl>
    <w:lvl w:ilvl="2" w:tplc="B6682114">
      <w:start w:val="1"/>
      <w:numFmt w:val="bullet"/>
      <w:lvlText w:val=""/>
      <w:lvlJc w:val="left"/>
      <w:pPr>
        <w:ind w:left="2320" w:hanging="360"/>
      </w:pPr>
      <w:rPr>
        <w:rFonts w:ascii="Symbol" w:hAnsi="Symbol"/>
      </w:rPr>
    </w:lvl>
    <w:lvl w:ilvl="3" w:tplc="62388B16">
      <w:start w:val="1"/>
      <w:numFmt w:val="bullet"/>
      <w:lvlText w:val=""/>
      <w:lvlJc w:val="left"/>
      <w:pPr>
        <w:ind w:left="2320" w:hanging="360"/>
      </w:pPr>
      <w:rPr>
        <w:rFonts w:ascii="Symbol" w:hAnsi="Symbol"/>
      </w:rPr>
    </w:lvl>
    <w:lvl w:ilvl="4" w:tplc="662AB9A2">
      <w:start w:val="1"/>
      <w:numFmt w:val="bullet"/>
      <w:lvlText w:val=""/>
      <w:lvlJc w:val="left"/>
      <w:pPr>
        <w:ind w:left="2320" w:hanging="360"/>
      </w:pPr>
      <w:rPr>
        <w:rFonts w:ascii="Symbol" w:hAnsi="Symbol"/>
      </w:rPr>
    </w:lvl>
    <w:lvl w:ilvl="5" w:tplc="2B943DA4">
      <w:start w:val="1"/>
      <w:numFmt w:val="bullet"/>
      <w:lvlText w:val=""/>
      <w:lvlJc w:val="left"/>
      <w:pPr>
        <w:ind w:left="2320" w:hanging="360"/>
      </w:pPr>
      <w:rPr>
        <w:rFonts w:ascii="Symbol" w:hAnsi="Symbol"/>
      </w:rPr>
    </w:lvl>
    <w:lvl w:ilvl="6" w:tplc="35789508">
      <w:start w:val="1"/>
      <w:numFmt w:val="bullet"/>
      <w:lvlText w:val=""/>
      <w:lvlJc w:val="left"/>
      <w:pPr>
        <w:ind w:left="2320" w:hanging="360"/>
      </w:pPr>
      <w:rPr>
        <w:rFonts w:ascii="Symbol" w:hAnsi="Symbol"/>
      </w:rPr>
    </w:lvl>
    <w:lvl w:ilvl="7" w:tplc="D1761F26">
      <w:start w:val="1"/>
      <w:numFmt w:val="bullet"/>
      <w:lvlText w:val=""/>
      <w:lvlJc w:val="left"/>
      <w:pPr>
        <w:ind w:left="2320" w:hanging="360"/>
      </w:pPr>
      <w:rPr>
        <w:rFonts w:ascii="Symbol" w:hAnsi="Symbol"/>
      </w:rPr>
    </w:lvl>
    <w:lvl w:ilvl="8" w:tplc="41CED786">
      <w:start w:val="1"/>
      <w:numFmt w:val="bullet"/>
      <w:lvlText w:val=""/>
      <w:lvlJc w:val="left"/>
      <w:pPr>
        <w:ind w:left="2320" w:hanging="360"/>
      </w:pPr>
      <w:rPr>
        <w:rFonts w:ascii="Symbol" w:hAnsi="Symbol"/>
      </w:rPr>
    </w:lvl>
  </w:abstractNum>
  <w:abstractNum w:abstractNumId="25" w15:restartNumberingAfterBreak="0">
    <w:nsid w:val="3B420C9C"/>
    <w:multiLevelType w:val="hybridMultilevel"/>
    <w:tmpl w:val="FDF2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EA2A47"/>
    <w:multiLevelType w:val="hybridMultilevel"/>
    <w:tmpl w:val="35929580"/>
    <w:lvl w:ilvl="0" w:tplc="E73A1B02">
      <w:start w:val="1"/>
      <w:numFmt w:val="decimal"/>
      <w:lvlText w:val="%1."/>
      <w:lvlJc w:val="left"/>
      <w:pPr>
        <w:ind w:left="2320" w:hanging="360"/>
      </w:pPr>
    </w:lvl>
    <w:lvl w:ilvl="1" w:tplc="A348B030">
      <w:start w:val="1"/>
      <w:numFmt w:val="decimal"/>
      <w:lvlText w:val="%2."/>
      <w:lvlJc w:val="left"/>
      <w:pPr>
        <w:ind w:left="2320" w:hanging="360"/>
      </w:pPr>
    </w:lvl>
    <w:lvl w:ilvl="2" w:tplc="C41CDE8C">
      <w:start w:val="1"/>
      <w:numFmt w:val="decimal"/>
      <w:lvlText w:val="%3."/>
      <w:lvlJc w:val="left"/>
      <w:pPr>
        <w:ind w:left="2320" w:hanging="360"/>
      </w:pPr>
    </w:lvl>
    <w:lvl w:ilvl="3" w:tplc="475AAB28">
      <w:start w:val="1"/>
      <w:numFmt w:val="decimal"/>
      <w:lvlText w:val="%4."/>
      <w:lvlJc w:val="left"/>
      <w:pPr>
        <w:ind w:left="2320" w:hanging="360"/>
      </w:pPr>
    </w:lvl>
    <w:lvl w:ilvl="4" w:tplc="8758C336">
      <w:start w:val="1"/>
      <w:numFmt w:val="decimal"/>
      <w:lvlText w:val="%5."/>
      <w:lvlJc w:val="left"/>
      <w:pPr>
        <w:ind w:left="2320" w:hanging="360"/>
      </w:pPr>
    </w:lvl>
    <w:lvl w:ilvl="5" w:tplc="6054DF06">
      <w:start w:val="1"/>
      <w:numFmt w:val="decimal"/>
      <w:lvlText w:val="%6."/>
      <w:lvlJc w:val="left"/>
      <w:pPr>
        <w:ind w:left="2320" w:hanging="360"/>
      </w:pPr>
    </w:lvl>
    <w:lvl w:ilvl="6" w:tplc="7FEA95A0">
      <w:start w:val="1"/>
      <w:numFmt w:val="decimal"/>
      <w:lvlText w:val="%7."/>
      <w:lvlJc w:val="left"/>
      <w:pPr>
        <w:ind w:left="2320" w:hanging="360"/>
      </w:pPr>
    </w:lvl>
    <w:lvl w:ilvl="7" w:tplc="84D8BB06">
      <w:start w:val="1"/>
      <w:numFmt w:val="decimal"/>
      <w:lvlText w:val="%8."/>
      <w:lvlJc w:val="left"/>
      <w:pPr>
        <w:ind w:left="2320" w:hanging="360"/>
      </w:pPr>
    </w:lvl>
    <w:lvl w:ilvl="8" w:tplc="7AA6D240">
      <w:start w:val="1"/>
      <w:numFmt w:val="decimal"/>
      <w:lvlText w:val="%9."/>
      <w:lvlJc w:val="left"/>
      <w:pPr>
        <w:ind w:left="2320" w:hanging="360"/>
      </w:pPr>
    </w:lvl>
  </w:abstractNum>
  <w:abstractNum w:abstractNumId="27" w15:restartNumberingAfterBreak="0">
    <w:nsid w:val="3FBB1CA4"/>
    <w:multiLevelType w:val="hybridMultilevel"/>
    <w:tmpl w:val="297244F0"/>
    <w:lvl w:ilvl="0" w:tplc="8564E920">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8" w15:restartNumberingAfterBreak="0">
    <w:nsid w:val="420D286F"/>
    <w:multiLevelType w:val="hybridMultilevel"/>
    <w:tmpl w:val="443E4D60"/>
    <w:lvl w:ilvl="0" w:tplc="043A962A">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9" w15:restartNumberingAfterBreak="0">
    <w:nsid w:val="454B0995"/>
    <w:multiLevelType w:val="hybridMultilevel"/>
    <w:tmpl w:val="F6CA61E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1" w15:restartNumberingAfterBreak="0">
    <w:nsid w:val="486F1E8A"/>
    <w:multiLevelType w:val="hybridMultilevel"/>
    <w:tmpl w:val="6B10DF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4B3F7035"/>
    <w:multiLevelType w:val="hybridMultilevel"/>
    <w:tmpl w:val="C0B45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0191C"/>
    <w:multiLevelType w:val="hybridMultilevel"/>
    <w:tmpl w:val="7934286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E94C4A"/>
    <w:multiLevelType w:val="multilevel"/>
    <w:tmpl w:val="0418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072676"/>
    <w:multiLevelType w:val="hybridMultilevel"/>
    <w:tmpl w:val="54CA2CDE"/>
    <w:lvl w:ilvl="0" w:tplc="94365FD6">
      <w:start w:val="1"/>
      <w:numFmt w:val="bullet"/>
      <w:lvlText w:val=""/>
      <w:lvlJc w:val="left"/>
      <w:pPr>
        <w:tabs>
          <w:tab w:val="num" w:pos="720"/>
        </w:tabs>
        <w:ind w:left="720" w:hanging="360"/>
      </w:pPr>
      <w:rPr>
        <w:rFonts w:ascii="Symbol" w:hAnsi="Symbol" w:hint="default"/>
      </w:rPr>
    </w:lvl>
    <w:lvl w:ilvl="1" w:tplc="FAF40652" w:tentative="1">
      <w:start w:val="1"/>
      <w:numFmt w:val="bullet"/>
      <w:lvlText w:val=""/>
      <w:lvlJc w:val="left"/>
      <w:pPr>
        <w:tabs>
          <w:tab w:val="num" w:pos="1440"/>
        </w:tabs>
        <w:ind w:left="1440" w:hanging="360"/>
      </w:pPr>
      <w:rPr>
        <w:rFonts w:ascii="Symbol" w:hAnsi="Symbol" w:hint="default"/>
      </w:rPr>
    </w:lvl>
    <w:lvl w:ilvl="2" w:tplc="E5046ED4" w:tentative="1">
      <w:start w:val="1"/>
      <w:numFmt w:val="bullet"/>
      <w:lvlText w:val=""/>
      <w:lvlJc w:val="left"/>
      <w:pPr>
        <w:tabs>
          <w:tab w:val="num" w:pos="2160"/>
        </w:tabs>
        <w:ind w:left="2160" w:hanging="360"/>
      </w:pPr>
      <w:rPr>
        <w:rFonts w:ascii="Symbol" w:hAnsi="Symbol" w:hint="default"/>
      </w:rPr>
    </w:lvl>
    <w:lvl w:ilvl="3" w:tplc="182E2178" w:tentative="1">
      <w:start w:val="1"/>
      <w:numFmt w:val="bullet"/>
      <w:lvlText w:val=""/>
      <w:lvlJc w:val="left"/>
      <w:pPr>
        <w:tabs>
          <w:tab w:val="num" w:pos="2880"/>
        </w:tabs>
        <w:ind w:left="2880" w:hanging="360"/>
      </w:pPr>
      <w:rPr>
        <w:rFonts w:ascii="Symbol" w:hAnsi="Symbol" w:hint="default"/>
      </w:rPr>
    </w:lvl>
    <w:lvl w:ilvl="4" w:tplc="845E9F5A" w:tentative="1">
      <w:start w:val="1"/>
      <w:numFmt w:val="bullet"/>
      <w:lvlText w:val=""/>
      <w:lvlJc w:val="left"/>
      <w:pPr>
        <w:tabs>
          <w:tab w:val="num" w:pos="3600"/>
        </w:tabs>
        <w:ind w:left="3600" w:hanging="360"/>
      </w:pPr>
      <w:rPr>
        <w:rFonts w:ascii="Symbol" w:hAnsi="Symbol" w:hint="default"/>
      </w:rPr>
    </w:lvl>
    <w:lvl w:ilvl="5" w:tplc="D286105C" w:tentative="1">
      <w:start w:val="1"/>
      <w:numFmt w:val="bullet"/>
      <w:lvlText w:val=""/>
      <w:lvlJc w:val="left"/>
      <w:pPr>
        <w:tabs>
          <w:tab w:val="num" w:pos="4320"/>
        </w:tabs>
        <w:ind w:left="4320" w:hanging="360"/>
      </w:pPr>
      <w:rPr>
        <w:rFonts w:ascii="Symbol" w:hAnsi="Symbol" w:hint="default"/>
      </w:rPr>
    </w:lvl>
    <w:lvl w:ilvl="6" w:tplc="08A2AAB2" w:tentative="1">
      <w:start w:val="1"/>
      <w:numFmt w:val="bullet"/>
      <w:lvlText w:val=""/>
      <w:lvlJc w:val="left"/>
      <w:pPr>
        <w:tabs>
          <w:tab w:val="num" w:pos="5040"/>
        </w:tabs>
        <w:ind w:left="5040" w:hanging="360"/>
      </w:pPr>
      <w:rPr>
        <w:rFonts w:ascii="Symbol" w:hAnsi="Symbol" w:hint="default"/>
      </w:rPr>
    </w:lvl>
    <w:lvl w:ilvl="7" w:tplc="193C54FE" w:tentative="1">
      <w:start w:val="1"/>
      <w:numFmt w:val="bullet"/>
      <w:lvlText w:val=""/>
      <w:lvlJc w:val="left"/>
      <w:pPr>
        <w:tabs>
          <w:tab w:val="num" w:pos="5760"/>
        </w:tabs>
        <w:ind w:left="5760" w:hanging="360"/>
      </w:pPr>
      <w:rPr>
        <w:rFonts w:ascii="Symbol" w:hAnsi="Symbol" w:hint="default"/>
      </w:rPr>
    </w:lvl>
    <w:lvl w:ilvl="8" w:tplc="ED162A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4F671EC"/>
    <w:multiLevelType w:val="multilevel"/>
    <w:tmpl w:val="CD42178C"/>
    <w:lvl w:ilvl="0">
      <w:start w:val="1"/>
      <w:numFmt w:val="decimal"/>
      <w:lvlText w:val="%1."/>
      <w:lvlJc w:val="left"/>
      <w:pPr>
        <w:tabs>
          <w:tab w:val="num" w:pos="360"/>
        </w:tabs>
        <w:ind w:left="360" w:hanging="360"/>
      </w:pPr>
      <w:rPr>
        <w:rFonts w:hint="default"/>
        <w:b/>
        <w:i w:val="0"/>
        <w:color w:val="auto"/>
        <w:sz w:val="22"/>
      </w:rPr>
    </w:lvl>
    <w:lvl w:ilvl="1">
      <w:start w:val="4"/>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C7F1C3A"/>
    <w:multiLevelType w:val="hybridMultilevel"/>
    <w:tmpl w:val="0FBAA8F0"/>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DC659F"/>
    <w:multiLevelType w:val="hybridMultilevel"/>
    <w:tmpl w:val="9B9C5FC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2" w15:restartNumberingAfterBreak="0">
    <w:nsid w:val="72CF3F30"/>
    <w:multiLevelType w:val="hybridMultilevel"/>
    <w:tmpl w:val="B83A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A42D7C"/>
    <w:multiLevelType w:val="hybridMultilevel"/>
    <w:tmpl w:val="2FD2D98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44" w15:restartNumberingAfterBreak="0">
    <w:nsid w:val="73BD6D18"/>
    <w:multiLevelType w:val="hybridMultilevel"/>
    <w:tmpl w:val="E5E8992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8356E90"/>
    <w:multiLevelType w:val="hybridMultilevel"/>
    <w:tmpl w:val="CC740C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36010C"/>
    <w:multiLevelType w:val="hybridMultilevel"/>
    <w:tmpl w:val="8B1C28E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7" w15:restartNumberingAfterBreak="0">
    <w:nsid w:val="7AE572CE"/>
    <w:multiLevelType w:val="hybridMultilevel"/>
    <w:tmpl w:val="076059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BAC441D"/>
    <w:multiLevelType w:val="hybridMultilevel"/>
    <w:tmpl w:val="8FDA46A6"/>
    <w:lvl w:ilvl="0" w:tplc="D30C2250">
      <w:start w:val="1"/>
      <w:numFmt w:val="bullet"/>
      <w:lvlText w:val=""/>
      <w:lvlJc w:val="left"/>
      <w:pPr>
        <w:tabs>
          <w:tab w:val="num" w:pos="720"/>
        </w:tabs>
        <w:ind w:left="720" w:hanging="360"/>
      </w:pPr>
      <w:rPr>
        <w:rFonts w:ascii="Symbol" w:hAnsi="Symbol" w:hint="default"/>
      </w:rPr>
    </w:lvl>
    <w:lvl w:ilvl="1" w:tplc="A2485454">
      <w:numFmt w:val="bullet"/>
      <w:lvlText w:val="o"/>
      <w:lvlJc w:val="left"/>
      <w:pPr>
        <w:tabs>
          <w:tab w:val="num" w:pos="1440"/>
        </w:tabs>
        <w:ind w:left="1440" w:hanging="360"/>
      </w:pPr>
      <w:rPr>
        <w:rFonts w:ascii="Courier New" w:hAnsi="Courier New" w:hint="default"/>
      </w:rPr>
    </w:lvl>
    <w:lvl w:ilvl="2" w:tplc="7716F274">
      <w:numFmt w:val="bullet"/>
      <w:lvlText w:val=""/>
      <w:lvlJc w:val="left"/>
      <w:pPr>
        <w:tabs>
          <w:tab w:val="num" w:pos="2160"/>
        </w:tabs>
        <w:ind w:left="2160" w:hanging="360"/>
      </w:pPr>
      <w:rPr>
        <w:rFonts w:ascii="Wingdings" w:hAnsi="Wingdings" w:hint="default"/>
      </w:rPr>
    </w:lvl>
    <w:lvl w:ilvl="3" w:tplc="EAB0EBAC" w:tentative="1">
      <w:start w:val="1"/>
      <w:numFmt w:val="bullet"/>
      <w:lvlText w:val=""/>
      <w:lvlJc w:val="left"/>
      <w:pPr>
        <w:tabs>
          <w:tab w:val="num" w:pos="2880"/>
        </w:tabs>
        <w:ind w:left="2880" w:hanging="360"/>
      </w:pPr>
      <w:rPr>
        <w:rFonts w:ascii="Symbol" w:hAnsi="Symbol" w:hint="default"/>
      </w:rPr>
    </w:lvl>
    <w:lvl w:ilvl="4" w:tplc="C7023A84" w:tentative="1">
      <w:start w:val="1"/>
      <w:numFmt w:val="bullet"/>
      <w:lvlText w:val=""/>
      <w:lvlJc w:val="left"/>
      <w:pPr>
        <w:tabs>
          <w:tab w:val="num" w:pos="3600"/>
        </w:tabs>
        <w:ind w:left="3600" w:hanging="360"/>
      </w:pPr>
      <w:rPr>
        <w:rFonts w:ascii="Symbol" w:hAnsi="Symbol" w:hint="default"/>
      </w:rPr>
    </w:lvl>
    <w:lvl w:ilvl="5" w:tplc="21E6B748" w:tentative="1">
      <w:start w:val="1"/>
      <w:numFmt w:val="bullet"/>
      <w:lvlText w:val=""/>
      <w:lvlJc w:val="left"/>
      <w:pPr>
        <w:tabs>
          <w:tab w:val="num" w:pos="4320"/>
        </w:tabs>
        <w:ind w:left="4320" w:hanging="360"/>
      </w:pPr>
      <w:rPr>
        <w:rFonts w:ascii="Symbol" w:hAnsi="Symbol" w:hint="default"/>
      </w:rPr>
    </w:lvl>
    <w:lvl w:ilvl="6" w:tplc="B7220766" w:tentative="1">
      <w:start w:val="1"/>
      <w:numFmt w:val="bullet"/>
      <w:lvlText w:val=""/>
      <w:lvlJc w:val="left"/>
      <w:pPr>
        <w:tabs>
          <w:tab w:val="num" w:pos="5040"/>
        </w:tabs>
        <w:ind w:left="5040" w:hanging="360"/>
      </w:pPr>
      <w:rPr>
        <w:rFonts w:ascii="Symbol" w:hAnsi="Symbol" w:hint="default"/>
      </w:rPr>
    </w:lvl>
    <w:lvl w:ilvl="7" w:tplc="35987576" w:tentative="1">
      <w:start w:val="1"/>
      <w:numFmt w:val="bullet"/>
      <w:lvlText w:val=""/>
      <w:lvlJc w:val="left"/>
      <w:pPr>
        <w:tabs>
          <w:tab w:val="num" w:pos="5760"/>
        </w:tabs>
        <w:ind w:left="5760" w:hanging="360"/>
      </w:pPr>
      <w:rPr>
        <w:rFonts w:ascii="Symbol" w:hAnsi="Symbol" w:hint="default"/>
      </w:rPr>
    </w:lvl>
    <w:lvl w:ilvl="8" w:tplc="AFE0B0C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DD765DF"/>
    <w:multiLevelType w:val="hybridMultilevel"/>
    <w:tmpl w:val="BFD4A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D86686"/>
    <w:multiLevelType w:val="multilevel"/>
    <w:tmpl w:val="DAEC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71106892">
    <w:abstractNumId w:val="14"/>
  </w:num>
  <w:num w:numId="12" w16cid:durableId="1611277786">
    <w:abstractNumId w:val="31"/>
  </w:num>
  <w:num w:numId="13" w16cid:durableId="1440876958">
    <w:abstractNumId w:val="10"/>
  </w:num>
  <w:num w:numId="14" w16cid:durableId="17699680">
    <w:abstractNumId w:val="38"/>
  </w:num>
  <w:num w:numId="15" w16cid:durableId="187565178">
    <w:abstractNumId w:val="25"/>
  </w:num>
  <w:num w:numId="16" w16cid:durableId="1284072770">
    <w:abstractNumId w:val="36"/>
  </w:num>
  <w:num w:numId="17" w16cid:durableId="762799397">
    <w:abstractNumId w:val="47"/>
  </w:num>
  <w:num w:numId="18" w16cid:durableId="454830815">
    <w:abstractNumId w:val="34"/>
  </w:num>
  <w:num w:numId="19" w16cid:durableId="789129044">
    <w:abstractNumId w:val="30"/>
  </w:num>
  <w:num w:numId="20" w16cid:durableId="2094431032">
    <w:abstractNumId w:val="20"/>
  </w:num>
  <w:num w:numId="21" w16cid:durableId="748962478">
    <w:abstractNumId w:val="17"/>
  </w:num>
  <w:num w:numId="22" w16cid:durableId="939797081">
    <w:abstractNumId w:val="12"/>
  </w:num>
  <w:num w:numId="23" w16cid:durableId="1497306529">
    <w:abstractNumId w:val="24"/>
  </w:num>
  <w:num w:numId="24" w16cid:durableId="1189216420">
    <w:abstractNumId w:val="26"/>
  </w:num>
  <w:num w:numId="25" w16cid:durableId="1458455178">
    <w:abstractNumId w:val="46"/>
  </w:num>
  <w:num w:numId="26" w16cid:durableId="1053499363">
    <w:abstractNumId w:val="41"/>
  </w:num>
  <w:num w:numId="27" w16cid:durableId="287856159">
    <w:abstractNumId w:val="22"/>
  </w:num>
  <w:num w:numId="28" w16cid:durableId="1775904082">
    <w:abstractNumId w:val="44"/>
  </w:num>
  <w:num w:numId="29" w16cid:durableId="435828569">
    <w:abstractNumId w:val="18"/>
  </w:num>
  <w:num w:numId="30" w16cid:durableId="174852517">
    <w:abstractNumId w:val="27"/>
  </w:num>
  <w:num w:numId="31" w16cid:durableId="812409225">
    <w:abstractNumId w:val="28"/>
  </w:num>
  <w:num w:numId="32" w16cid:durableId="246505471">
    <w:abstractNumId w:val="33"/>
  </w:num>
  <w:num w:numId="33" w16cid:durableId="2102484457">
    <w:abstractNumId w:val="43"/>
  </w:num>
  <w:num w:numId="34" w16cid:durableId="2104916782">
    <w:abstractNumId w:val="39"/>
  </w:num>
  <w:num w:numId="35" w16cid:durableId="449054991">
    <w:abstractNumId w:val="19"/>
  </w:num>
  <w:num w:numId="36" w16cid:durableId="104932489">
    <w:abstractNumId w:val="13"/>
  </w:num>
  <w:num w:numId="37" w16cid:durableId="1403529083">
    <w:abstractNumId w:val="29"/>
  </w:num>
  <w:num w:numId="38" w16cid:durableId="1161580359">
    <w:abstractNumId w:val="40"/>
  </w:num>
  <w:num w:numId="39" w16cid:durableId="1201477697">
    <w:abstractNumId w:val="23"/>
  </w:num>
  <w:num w:numId="40" w16cid:durableId="1287472597">
    <w:abstractNumId w:val="35"/>
  </w:num>
  <w:num w:numId="41" w16cid:durableId="1444379965">
    <w:abstractNumId w:val="50"/>
  </w:num>
  <w:num w:numId="42" w16cid:durableId="2028092884">
    <w:abstractNumId w:val="15"/>
  </w:num>
  <w:num w:numId="43" w16cid:durableId="598373239">
    <w:abstractNumId w:val="42"/>
  </w:num>
  <w:num w:numId="44" w16cid:durableId="14965468">
    <w:abstractNumId w:val="37"/>
  </w:num>
  <w:num w:numId="45" w16cid:durableId="426923713">
    <w:abstractNumId w:val="45"/>
  </w:num>
  <w:num w:numId="46" w16cid:durableId="637150257">
    <w:abstractNumId w:val="21"/>
  </w:num>
  <w:num w:numId="47" w16cid:durableId="1125856923">
    <w:abstractNumId w:val="16"/>
  </w:num>
  <w:num w:numId="48" w16cid:durableId="446966593">
    <w:abstractNumId w:val="48"/>
  </w:num>
  <w:num w:numId="49" w16cid:durableId="1710375109">
    <w:abstractNumId w:val="49"/>
  </w:num>
  <w:num w:numId="50" w16cid:durableId="150606231">
    <w:abstractNumId w:val="11"/>
  </w:num>
  <w:num w:numId="51" w16cid:durableId="1056930545">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0C"/>
    <w:rsid w:val="0000024B"/>
    <w:rsid w:val="000004F0"/>
    <w:rsid w:val="00000A05"/>
    <w:rsid w:val="00000D4C"/>
    <w:rsid w:val="00000DAF"/>
    <w:rsid w:val="00000EAB"/>
    <w:rsid w:val="000017D8"/>
    <w:rsid w:val="000018FA"/>
    <w:rsid w:val="00001EB7"/>
    <w:rsid w:val="0000253B"/>
    <w:rsid w:val="0000258E"/>
    <w:rsid w:val="000025DF"/>
    <w:rsid w:val="0000299A"/>
    <w:rsid w:val="00002BD6"/>
    <w:rsid w:val="00002C4A"/>
    <w:rsid w:val="00002DDA"/>
    <w:rsid w:val="00003052"/>
    <w:rsid w:val="000030E2"/>
    <w:rsid w:val="000030FB"/>
    <w:rsid w:val="00003714"/>
    <w:rsid w:val="00003782"/>
    <w:rsid w:val="00003D95"/>
    <w:rsid w:val="0000464B"/>
    <w:rsid w:val="00004BB3"/>
    <w:rsid w:val="00004BD5"/>
    <w:rsid w:val="00004D93"/>
    <w:rsid w:val="00004E31"/>
    <w:rsid w:val="00004F26"/>
    <w:rsid w:val="00005009"/>
    <w:rsid w:val="00005069"/>
    <w:rsid w:val="00005536"/>
    <w:rsid w:val="000057D9"/>
    <w:rsid w:val="00005BA0"/>
    <w:rsid w:val="00005C67"/>
    <w:rsid w:val="00005D4A"/>
    <w:rsid w:val="00005D71"/>
    <w:rsid w:val="00005E59"/>
    <w:rsid w:val="0000626E"/>
    <w:rsid w:val="00006983"/>
    <w:rsid w:val="00006C10"/>
    <w:rsid w:val="00006DAF"/>
    <w:rsid w:val="00007061"/>
    <w:rsid w:val="000075A7"/>
    <w:rsid w:val="000075E5"/>
    <w:rsid w:val="0000767C"/>
    <w:rsid w:val="00007B48"/>
    <w:rsid w:val="00007FC2"/>
    <w:rsid w:val="000102C8"/>
    <w:rsid w:val="00010361"/>
    <w:rsid w:val="000106CF"/>
    <w:rsid w:val="00010AB6"/>
    <w:rsid w:val="00010C0C"/>
    <w:rsid w:val="00010CA2"/>
    <w:rsid w:val="00010D85"/>
    <w:rsid w:val="00011117"/>
    <w:rsid w:val="000114EC"/>
    <w:rsid w:val="00011BE8"/>
    <w:rsid w:val="00011F29"/>
    <w:rsid w:val="000121C3"/>
    <w:rsid w:val="000122EE"/>
    <w:rsid w:val="0001270B"/>
    <w:rsid w:val="0001282C"/>
    <w:rsid w:val="0001287B"/>
    <w:rsid w:val="00012AB5"/>
    <w:rsid w:val="00012D38"/>
    <w:rsid w:val="00012E79"/>
    <w:rsid w:val="00012E91"/>
    <w:rsid w:val="00013337"/>
    <w:rsid w:val="00013755"/>
    <w:rsid w:val="000137AE"/>
    <w:rsid w:val="00013A05"/>
    <w:rsid w:val="00013A70"/>
    <w:rsid w:val="00013E07"/>
    <w:rsid w:val="000141E2"/>
    <w:rsid w:val="00014341"/>
    <w:rsid w:val="000146A3"/>
    <w:rsid w:val="000153FA"/>
    <w:rsid w:val="00015764"/>
    <w:rsid w:val="000158C2"/>
    <w:rsid w:val="00015926"/>
    <w:rsid w:val="000159C1"/>
    <w:rsid w:val="00015C6C"/>
    <w:rsid w:val="00015FC4"/>
    <w:rsid w:val="00015FD4"/>
    <w:rsid w:val="000160B0"/>
    <w:rsid w:val="00016557"/>
    <w:rsid w:val="00016DA1"/>
    <w:rsid w:val="00016F9E"/>
    <w:rsid w:val="00017774"/>
    <w:rsid w:val="00017D84"/>
    <w:rsid w:val="000200C8"/>
    <w:rsid w:val="000200EF"/>
    <w:rsid w:val="000202DB"/>
    <w:rsid w:val="000203E9"/>
    <w:rsid w:val="000206B0"/>
    <w:rsid w:val="0002078D"/>
    <w:rsid w:val="00020AA9"/>
    <w:rsid w:val="00020E18"/>
    <w:rsid w:val="000220B1"/>
    <w:rsid w:val="000220B2"/>
    <w:rsid w:val="0002238B"/>
    <w:rsid w:val="000224D6"/>
    <w:rsid w:val="000226E2"/>
    <w:rsid w:val="00022781"/>
    <w:rsid w:val="00022D81"/>
    <w:rsid w:val="00023185"/>
    <w:rsid w:val="0002337A"/>
    <w:rsid w:val="000235EB"/>
    <w:rsid w:val="0002390B"/>
    <w:rsid w:val="00023C40"/>
    <w:rsid w:val="00024202"/>
    <w:rsid w:val="00024344"/>
    <w:rsid w:val="0002442B"/>
    <w:rsid w:val="00024A58"/>
    <w:rsid w:val="00024C04"/>
    <w:rsid w:val="00024E5D"/>
    <w:rsid w:val="00024FE6"/>
    <w:rsid w:val="00025010"/>
    <w:rsid w:val="0002507D"/>
    <w:rsid w:val="0002508D"/>
    <w:rsid w:val="00025319"/>
    <w:rsid w:val="00025419"/>
    <w:rsid w:val="0002542C"/>
    <w:rsid w:val="0002573F"/>
    <w:rsid w:val="00025A47"/>
    <w:rsid w:val="0002643B"/>
    <w:rsid w:val="000264CF"/>
    <w:rsid w:val="000266F9"/>
    <w:rsid w:val="00026B29"/>
    <w:rsid w:val="00026C13"/>
    <w:rsid w:val="00027003"/>
    <w:rsid w:val="0002702F"/>
    <w:rsid w:val="000271D0"/>
    <w:rsid w:val="00027278"/>
    <w:rsid w:val="000276E0"/>
    <w:rsid w:val="00027BF3"/>
    <w:rsid w:val="00027C01"/>
    <w:rsid w:val="0003045D"/>
    <w:rsid w:val="00030782"/>
    <w:rsid w:val="00030787"/>
    <w:rsid w:val="00030ABC"/>
    <w:rsid w:val="00030E4F"/>
    <w:rsid w:val="00031209"/>
    <w:rsid w:val="00031534"/>
    <w:rsid w:val="000318CD"/>
    <w:rsid w:val="00031B86"/>
    <w:rsid w:val="00031D46"/>
    <w:rsid w:val="00031E69"/>
    <w:rsid w:val="00032255"/>
    <w:rsid w:val="00032307"/>
    <w:rsid w:val="00032557"/>
    <w:rsid w:val="00032741"/>
    <w:rsid w:val="00032AF1"/>
    <w:rsid w:val="000331A3"/>
    <w:rsid w:val="00033397"/>
    <w:rsid w:val="00033A8E"/>
    <w:rsid w:val="00033DBE"/>
    <w:rsid w:val="00033E92"/>
    <w:rsid w:val="00033EC3"/>
    <w:rsid w:val="000340C2"/>
    <w:rsid w:val="0003418D"/>
    <w:rsid w:val="0003452B"/>
    <w:rsid w:val="00034553"/>
    <w:rsid w:val="000345D3"/>
    <w:rsid w:val="0003512F"/>
    <w:rsid w:val="000354CB"/>
    <w:rsid w:val="00035618"/>
    <w:rsid w:val="00035944"/>
    <w:rsid w:val="000359A5"/>
    <w:rsid w:val="00035C08"/>
    <w:rsid w:val="0003621A"/>
    <w:rsid w:val="000367CC"/>
    <w:rsid w:val="00036851"/>
    <w:rsid w:val="00036867"/>
    <w:rsid w:val="00036868"/>
    <w:rsid w:val="00036945"/>
    <w:rsid w:val="00036D5C"/>
    <w:rsid w:val="00036DA4"/>
    <w:rsid w:val="0003706F"/>
    <w:rsid w:val="000373C1"/>
    <w:rsid w:val="0003749D"/>
    <w:rsid w:val="00037A1A"/>
    <w:rsid w:val="00037B75"/>
    <w:rsid w:val="00037F19"/>
    <w:rsid w:val="00037F80"/>
    <w:rsid w:val="00037FCE"/>
    <w:rsid w:val="0004005D"/>
    <w:rsid w:val="00040095"/>
    <w:rsid w:val="0004014A"/>
    <w:rsid w:val="000402D7"/>
    <w:rsid w:val="00040347"/>
    <w:rsid w:val="00040923"/>
    <w:rsid w:val="00040A41"/>
    <w:rsid w:val="00040BFB"/>
    <w:rsid w:val="00040C58"/>
    <w:rsid w:val="00040CB1"/>
    <w:rsid w:val="00040D08"/>
    <w:rsid w:val="00040D92"/>
    <w:rsid w:val="0004168A"/>
    <w:rsid w:val="00041695"/>
    <w:rsid w:val="00041965"/>
    <w:rsid w:val="000419AD"/>
    <w:rsid w:val="0004235B"/>
    <w:rsid w:val="0004275E"/>
    <w:rsid w:val="00042854"/>
    <w:rsid w:val="0004339C"/>
    <w:rsid w:val="000435DC"/>
    <w:rsid w:val="00043832"/>
    <w:rsid w:val="00043F5E"/>
    <w:rsid w:val="0004410B"/>
    <w:rsid w:val="00044263"/>
    <w:rsid w:val="000442A7"/>
    <w:rsid w:val="00044473"/>
    <w:rsid w:val="0004461F"/>
    <w:rsid w:val="00044A1A"/>
    <w:rsid w:val="0004593F"/>
    <w:rsid w:val="00045CA1"/>
    <w:rsid w:val="000460F8"/>
    <w:rsid w:val="00046505"/>
    <w:rsid w:val="00046D00"/>
    <w:rsid w:val="00046E13"/>
    <w:rsid w:val="00046ED3"/>
    <w:rsid w:val="000477CC"/>
    <w:rsid w:val="00047A33"/>
    <w:rsid w:val="00047AA0"/>
    <w:rsid w:val="00047AB3"/>
    <w:rsid w:val="00047B11"/>
    <w:rsid w:val="00047C84"/>
    <w:rsid w:val="00047C99"/>
    <w:rsid w:val="00047F05"/>
    <w:rsid w:val="00050015"/>
    <w:rsid w:val="0005005B"/>
    <w:rsid w:val="000501A5"/>
    <w:rsid w:val="000502F3"/>
    <w:rsid w:val="000505F9"/>
    <w:rsid w:val="00050995"/>
    <w:rsid w:val="00051466"/>
    <w:rsid w:val="00051473"/>
    <w:rsid w:val="00051701"/>
    <w:rsid w:val="00051B24"/>
    <w:rsid w:val="00051BEE"/>
    <w:rsid w:val="00051D0E"/>
    <w:rsid w:val="0005284F"/>
    <w:rsid w:val="000528D2"/>
    <w:rsid w:val="00052C0C"/>
    <w:rsid w:val="00052F4C"/>
    <w:rsid w:val="000533A6"/>
    <w:rsid w:val="000536B4"/>
    <w:rsid w:val="000541B5"/>
    <w:rsid w:val="000543E2"/>
    <w:rsid w:val="0005457B"/>
    <w:rsid w:val="000547FD"/>
    <w:rsid w:val="0005492C"/>
    <w:rsid w:val="00054A8A"/>
    <w:rsid w:val="0005534D"/>
    <w:rsid w:val="0005568C"/>
    <w:rsid w:val="000557A1"/>
    <w:rsid w:val="000559F5"/>
    <w:rsid w:val="00055AAB"/>
    <w:rsid w:val="00055F19"/>
    <w:rsid w:val="000565D1"/>
    <w:rsid w:val="00056DA6"/>
    <w:rsid w:val="000571EB"/>
    <w:rsid w:val="000574D1"/>
    <w:rsid w:val="00057AD1"/>
    <w:rsid w:val="00057FF7"/>
    <w:rsid w:val="00060114"/>
    <w:rsid w:val="000601E2"/>
    <w:rsid w:val="00060264"/>
    <w:rsid w:val="00060497"/>
    <w:rsid w:val="00060517"/>
    <w:rsid w:val="0006066B"/>
    <w:rsid w:val="00060703"/>
    <w:rsid w:val="00060761"/>
    <w:rsid w:val="00060872"/>
    <w:rsid w:val="00060D55"/>
    <w:rsid w:val="00061315"/>
    <w:rsid w:val="0006246D"/>
    <w:rsid w:val="0006251E"/>
    <w:rsid w:val="00062ABF"/>
    <w:rsid w:val="00062C2A"/>
    <w:rsid w:val="000633DF"/>
    <w:rsid w:val="00063D33"/>
    <w:rsid w:val="00063E24"/>
    <w:rsid w:val="000640C7"/>
    <w:rsid w:val="00064183"/>
    <w:rsid w:val="000643CA"/>
    <w:rsid w:val="000644A6"/>
    <w:rsid w:val="000645E9"/>
    <w:rsid w:val="00065007"/>
    <w:rsid w:val="000650C8"/>
    <w:rsid w:val="000651F7"/>
    <w:rsid w:val="00065268"/>
    <w:rsid w:val="000652AA"/>
    <w:rsid w:val="00065364"/>
    <w:rsid w:val="0006538C"/>
    <w:rsid w:val="00065C66"/>
    <w:rsid w:val="00065D0E"/>
    <w:rsid w:val="00065EA7"/>
    <w:rsid w:val="00065F19"/>
    <w:rsid w:val="000660C1"/>
    <w:rsid w:val="00067358"/>
    <w:rsid w:val="00067816"/>
    <w:rsid w:val="00067B51"/>
    <w:rsid w:val="000700AD"/>
    <w:rsid w:val="00070431"/>
    <w:rsid w:val="000705D4"/>
    <w:rsid w:val="000707A5"/>
    <w:rsid w:val="00070B12"/>
    <w:rsid w:val="00070B3D"/>
    <w:rsid w:val="00071084"/>
    <w:rsid w:val="0007120E"/>
    <w:rsid w:val="0007160B"/>
    <w:rsid w:val="0007184B"/>
    <w:rsid w:val="00071B5D"/>
    <w:rsid w:val="00071D18"/>
    <w:rsid w:val="00072672"/>
    <w:rsid w:val="000727F2"/>
    <w:rsid w:val="00072F35"/>
    <w:rsid w:val="00073185"/>
    <w:rsid w:val="00073614"/>
    <w:rsid w:val="00073C9C"/>
    <w:rsid w:val="00073FA2"/>
    <w:rsid w:val="000740EA"/>
    <w:rsid w:val="000741A8"/>
    <w:rsid w:val="0007425B"/>
    <w:rsid w:val="000746E3"/>
    <w:rsid w:val="0007496D"/>
    <w:rsid w:val="000749F2"/>
    <w:rsid w:val="0007500C"/>
    <w:rsid w:val="00075DBD"/>
    <w:rsid w:val="00075F88"/>
    <w:rsid w:val="000763CA"/>
    <w:rsid w:val="00076412"/>
    <w:rsid w:val="000764E9"/>
    <w:rsid w:val="00076952"/>
    <w:rsid w:val="00077014"/>
    <w:rsid w:val="000770D2"/>
    <w:rsid w:val="000772DF"/>
    <w:rsid w:val="00077423"/>
    <w:rsid w:val="0007747E"/>
    <w:rsid w:val="0007751F"/>
    <w:rsid w:val="00077D50"/>
    <w:rsid w:val="00077D80"/>
    <w:rsid w:val="000802D9"/>
    <w:rsid w:val="00080512"/>
    <w:rsid w:val="00080757"/>
    <w:rsid w:val="0008082B"/>
    <w:rsid w:val="00080981"/>
    <w:rsid w:val="00080995"/>
    <w:rsid w:val="00080CBC"/>
    <w:rsid w:val="00080DA2"/>
    <w:rsid w:val="00080E52"/>
    <w:rsid w:val="00080F99"/>
    <w:rsid w:val="00081842"/>
    <w:rsid w:val="00081B7E"/>
    <w:rsid w:val="00081DED"/>
    <w:rsid w:val="00082183"/>
    <w:rsid w:val="00082478"/>
    <w:rsid w:val="000826CB"/>
    <w:rsid w:val="0008276F"/>
    <w:rsid w:val="000827A7"/>
    <w:rsid w:val="00082A94"/>
    <w:rsid w:val="00083015"/>
    <w:rsid w:val="00083422"/>
    <w:rsid w:val="000835A4"/>
    <w:rsid w:val="000836E9"/>
    <w:rsid w:val="0008388C"/>
    <w:rsid w:val="00083EE0"/>
    <w:rsid w:val="00084449"/>
    <w:rsid w:val="00084A73"/>
    <w:rsid w:val="00084CF1"/>
    <w:rsid w:val="00084DC2"/>
    <w:rsid w:val="00084E7A"/>
    <w:rsid w:val="00084F1D"/>
    <w:rsid w:val="000850F7"/>
    <w:rsid w:val="00085323"/>
    <w:rsid w:val="0008533E"/>
    <w:rsid w:val="00085BA8"/>
    <w:rsid w:val="0008607B"/>
    <w:rsid w:val="00086929"/>
    <w:rsid w:val="0008695C"/>
    <w:rsid w:val="00086E79"/>
    <w:rsid w:val="00086F25"/>
    <w:rsid w:val="00086F4C"/>
    <w:rsid w:val="0008766B"/>
    <w:rsid w:val="00090468"/>
    <w:rsid w:val="000906CF"/>
    <w:rsid w:val="00090825"/>
    <w:rsid w:val="00090A96"/>
    <w:rsid w:val="00090B6B"/>
    <w:rsid w:val="00090E4A"/>
    <w:rsid w:val="0009103D"/>
    <w:rsid w:val="000914AE"/>
    <w:rsid w:val="000919D0"/>
    <w:rsid w:val="00091E93"/>
    <w:rsid w:val="00092039"/>
    <w:rsid w:val="0009228B"/>
    <w:rsid w:val="00092565"/>
    <w:rsid w:val="000926CF"/>
    <w:rsid w:val="00092A60"/>
    <w:rsid w:val="00092AC0"/>
    <w:rsid w:val="00092D9C"/>
    <w:rsid w:val="000930EE"/>
    <w:rsid w:val="0009352B"/>
    <w:rsid w:val="00093789"/>
    <w:rsid w:val="00093AF9"/>
    <w:rsid w:val="00093B61"/>
    <w:rsid w:val="00093DBB"/>
    <w:rsid w:val="00094057"/>
    <w:rsid w:val="00094568"/>
    <w:rsid w:val="000946A7"/>
    <w:rsid w:val="000948F6"/>
    <w:rsid w:val="00094D08"/>
    <w:rsid w:val="0009505F"/>
    <w:rsid w:val="000952D8"/>
    <w:rsid w:val="000953B2"/>
    <w:rsid w:val="000953D3"/>
    <w:rsid w:val="00095424"/>
    <w:rsid w:val="00095CA3"/>
    <w:rsid w:val="00095F99"/>
    <w:rsid w:val="0009608F"/>
    <w:rsid w:val="00096270"/>
    <w:rsid w:val="00096429"/>
    <w:rsid w:val="000964B4"/>
    <w:rsid w:val="000965BB"/>
    <w:rsid w:val="00097831"/>
    <w:rsid w:val="00097B18"/>
    <w:rsid w:val="00097C0A"/>
    <w:rsid w:val="00097D97"/>
    <w:rsid w:val="000A008B"/>
    <w:rsid w:val="000A032C"/>
    <w:rsid w:val="000A037D"/>
    <w:rsid w:val="000A0AC8"/>
    <w:rsid w:val="000A0DC7"/>
    <w:rsid w:val="000A11AA"/>
    <w:rsid w:val="000A1328"/>
    <w:rsid w:val="000A1375"/>
    <w:rsid w:val="000A1862"/>
    <w:rsid w:val="000A20DB"/>
    <w:rsid w:val="000A2676"/>
    <w:rsid w:val="000A27A0"/>
    <w:rsid w:val="000A2C80"/>
    <w:rsid w:val="000A2FD6"/>
    <w:rsid w:val="000A32D4"/>
    <w:rsid w:val="000A35EF"/>
    <w:rsid w:val="000A3D71"/>
    <w:rsid w:val="000A3E39"/>
    <w:rsid w:val="000A4034"/>
    <w:rsid w:val="000A4169"/>
    <w:rsid w:val="000A42BB"/>
    <w:rsid w:val="000A4481"/>
    <w:rsid w:val="000A4659"/>
    <w:rsid w:val="000A4DBC"/>
    <w:rsid w:val="000A4E71"/>
    <w:rsid w:val="000A5378"/>
    <w:rsid w:val="000A53D2"/>
    <w:rsid w:val="000A5F30"/>
    <w:rsid w:val="000A621F"/>
    <w:rsid w:val="000A6301"/>
    <w:rsid w:val="000A649D"/>
    <w:rsid w:val="000A6572"/>
    <w:rsid w:val="000A65C7"/>
    <w:rsid w:val="000A6BF8"/>
    <w:rsid w:val="000A702E"/>
    <w:rsid w:val="000A70B6"/>
    <w:rsid w:val="000A730E"/>
    <w:rsid w:val="000A75F7"/>
    <w:rsid w:val="000A766D"/>
    <w:rsid w:val="000A7829"/>
    <w:rsid w:val="000A7A21"/>
    <w:rsid w:val="000B0387"/>
    <w:rsid w:val="000B0428"/>
    <w:rsid w:val="000B08AA"/>
    <w:rsid w:val="000B09AF"/>
    <w:rsid w:val="000B13BA"/>
    <w:rsid w:val="000B1485"/>
    <w:rsid w:val="000B1673"/>
    <w:rsid w:val="000B1835"/>
    <w:rsid w:val="000B1D35"/>
    <w:rsid w:val="000B2514"/>
    <w:rsid w:val="000B2705"/>
    <w:rsid w:val="000B2730"/>
    <w:rsid w:val="000B2739"/>
    <w:rsid w:val="000B3263"/>
    <w:rsid w:val="000B342F"/>
    <w:rsid w:val="000B3993"/>
    <w:rsid w:val="000B461E"/>
    <w:rsid w:val="000B477D"/>
    <w:rsid w:val="000B47EB"/>
    <w:rsid w:val="000B4BD5"/>
    <w:rsid w:val="000B4C3D"/>
    <w:rsid w:val="000B53D1"/>
    <w:rsid w:val="000B550C"/>
    <w:rsid w:val="000B5775"/>
    <w:rsid w:val="000B5885"/>
    <w:rsid w:val="000B58E9"/>
    <w:rsid w:val="000B6D37"/>
    <w:rsid w:val="000B7838"/>
    <w:rsid w:val="000B7951"/>
    <w:rsid w:val="000B7A37"/>
    <w:rsid w:val="000B7AB7"/>
    <w:rsid w:val="000B7B02"/>
    <w:rsid w:val="000B7B2F"/>
    <w:rsid w:val="000B7BCF"/>
    <w:rsid w:val="000B7D60"/>
    <w:rsid w:val="000B7E0B"/>
    <w:rsid w:val="000C01AB"/>
    <w:rsid w:val="000C0495"/>
    <w:rsid w:val="000C04F5"/>
    <w:rsid w:val="000C0589"/>
    <w:rsid w:val="000C0C0D"/>
    <w:rsid w:val="000C0E27"/>
    <w:rsid w:val="000C12E2"/>
    <w:rsid w:val="000C1655"/>
    <w:rsid w:val="000C18AC"/>
    <w:rsid w:val="000C197D"/>
    <w:rsid w:val="000C1D7E"/>
    <w:rsid w:val="000C2089"/>
    <w:rsid w:val="000C2C89"/>
    <w:rsid w:val="000C2CE8"/>
    <w:rsid w:val="000C2FFB"/>
    <w:rsid w:val="000C30EC"/>
    <w:rsid w:val="000C3237"/>
    <w:rsid w:val="000C3339"/>
    <w:rsid w:val="000C373F"/>
    <w:rsid w:val="000C384A"/>
    <w:rsid w:val="000C3E76"/>
    <w:rsid w:val="000C3FE9"/>
    <w:rsid w:val="000C4145"/>
    <w:rsid w:val="000C4446"/>
    <w:rsid w:val="000C4611"/>
    <w:rsid w:val="000C4794"/>
    <w:rsid w:val="000C4AC7"/>
    <w:rsid w:val="000C522B"/>
    <w:rsid w:val="000C5249"/>
    <w:rsid w:val="000C5D3C"/>
    <w:rsid w:val="000C68CA"/>
    <w:rsid w:val="000C6F81"/>
    <w:rsid w:val="000C6FA1"/>
    <w:rsid w:val="000C6FF1"/>
    <w:rsid w:val="000C70B7"/>
    <w:rsid w:val="000C728A"/>
    <w:rsid w:val="000C7543"/>
    <w:rsid w:val="000C770F"/>
    <w:rsid w:val="000C7D90"/>
    <w:rsid w:val="000C7DC0"/>
    <w:rsid w:val="000D0382"/>
    <w:rsid w:val="000D0462"/>
    <w:rsid w:val="000D0E63"/>
    <w:rsid w:val="000D1820"/>
    <w:rsid w:val="000D18C5"/>
    <w:rsid w:val="000D1CA9"/>
    <w:rsid w:val="000D1D1E"/>
    <w:rsid w:val="000D1EB8"/>
    <w:rsid w:val="000D215E"/>
    <w:rsid w:val="000D22A5"/>
    <w:rsid w:val="000D2388"/>
    <w:rsid w:val="000D2CC1"/>
    <w:rsid w:val="000D2E8A"/>
    <w:rsid w:val="000D317E"/>
    <w:rsid w:val="000D3181"/>
    <w:rsid w:val="000D31D8"/>
    <w:rsid w:val="000D358D"/>
    <w:rsid w:val="000D3604"/>
    <w:rsid w:val="000D39F3"/>
    <w:rsid w:val="000D3A4D"/>
    <w:rsid w:val="000D3A8F"/>
    <w:rsid w:val="000D3BF1"/>
    <w:rsid w:val="000D3DFC"/>
    <w:rsid w:val="000D3F14"/>
    <w:rsid w:val="000D3FB6"/>
    <w:rsid w:val="000D4CC4"/>
    <w:rsid w:val="000D542C"/>
    <w:rsid w:val="000D58AB"/>
    <w:rsid w:val="000D5959"/>
    <w:rsid w:val="000D6131"/>
    <w:rsid w:val="000D631F"/>
    <w:rsid w:val="000D6E54"/>
    <w:rsid w:val="000D7248"/>
    <w:rsid w:val="000D7986"/>
    <w:rsid w:val="000D7B6C"/>
    <w:rsid w:val="000D7C65"/>
    <w:rsid w:val="000E0033"/>
    <w:rsid w:val="000E0487"/>
    <w:rsid w:val="000E07DB"/>
    <w:rsid w:val="000E0A11"/>
    <w:rsid w:val="000E0B99"/>
    <w:rsid w:val="000E1137"/>
    <w:rsid w:val="000E172B"/>
    <w:rsid w:val="000E1AE2"/>
    <w:rsid w:val="000E1BFF"/>
    <w:rsid w:val="000E1C40"/>
    <w:rsid w:val="000E1E63"/>
    <w:rsid w:val="000E1EA5"/>
    <w:rsid w:val="000E21D6"/>
    <w:rsid w:val="000E23B4"/>
    <w:rsid w:val="000E2410"/>
    <w:rsid w:val="000E27E2"/>
    <w:rsid w:val="000E2A93"/>
    <w:rsid w:val="000E2BBE"/>
    <w:rsid w:val="000E2BC7"/>
    <w:rsid w:val="000E311F"/>
    <w:rsid w:val="000E3679"/>
    <w:rsid w:val="000E3FE9"/>
    <w:rsid w:val="000E4A5A"/>
    <w:rsid w:val="000E4F67"/>
    <w:rsid w:val="000E512E"/>
    <w:rsid w:val="000E53D3"/>
    <w:rsid w:val="000E54D2"/>
    <w:rsid w:val="000E58EF"/>
    <w:rsid w:val="000E5E61"/>
    <w:rsid w:val="000E66CD"/>
    <w:rsid w:val="000E6FA7"/>
    <w:rsid w:val="000E7586"/>
    <w:rsid w:val="000E767C"/>
    <w:rsid w:val="000E76F9"/>
    <w:rsid w:val="000E7CE8"/>
    <w:rsid w:val="000E7D22"/>
    <w:rsid w:val="000F02BD"/>
    <w:rsid w:val="000F0683"/>
    <w:rsid w:val="000F08D7"/>
    <w:rsid w:val="000F0A8D"/>
    <w:rsid w:val="000F0BD4"/>
    <w:rsid w:val="000F0D3C"/>
    <w:rsid w:val="000F0D60"/>
    <w:rsid w:val="000F1EC6"/>
    <w:rsid w:val="000F1EE1"/>
    <w:rsid w:val="000F224F"/>
    <w:rsid w:val="000F249E"/>
    <w:rsid w:val="000F25D5"/>
    <w:rsid w:val="000F2715"/>
    <w:rsid w:val="000F2942"/>
    <w:rsid w:val="000F2C5A"/>
    <w:rsid w:val="000F2CC4"/>
    <w:rsid w:val="000F3020"/>
    <w:rsid w:val="000F30DA"/>
    <w:rsid w:val="000F31FF"/>
    <w:rsid w:val="000F3570"/>
    <w:rsid w:val="000F364C"/>
    <w:rsid w:val="000F43ED"/>
    <w:rsid w:val="000F476B"/>
    <w:rsid w:val="000F47F7"/>
    <w:rsid w:val="000F4A10"/>
    <w:rsid w:val="000F4C5F"/>
    <w:rsid w:val="000F52FA"/>
    <w:rsid w:val="000F54D6"/>
    <w:rsid w:val="000F560C"/>
    <w:rsid w:val="000F58C1"/>
    <w:rsid w:val="000F592C"/>
    <w:rsid w:val="000F6721"/>
    <w:rsid w:val="000F6CD5"/>
    <w:rsid w:val="000F717E"/>
    <w:rsid w:val="000F71C1"/>
    <w:rsid w:val="000F7A82"/>
    <w:rsid w:val="000F7C84"/>
    <w:rsid w:val="000F7FC6"/>
    <w:rsid w:val="00100240"/>
    <w:rsid w:val="00100489"/>
    <w:rsid w:val="001007B0"/>
    <w:rsid w:val="00100C3A"/>
    <w:rsid w:val="00100EDD"/>
    <w:rsid w:val="00100F77"/>
    <w:rsid w:val="00100F83"/>
    <w:rsid w:val="00101300"/>
    <w:rsid w:val="00101317"/>
    <w:rsid w:val="00101470"/>
    <w:rsid w:val="001014CD"/>
    <w:rsid w:val="001017A2"/>
    <w:rsid w:val="0010192D"/>
    <w:rsid w:val="00101E12"/>
    <w:rsid w:val="001020A0"/>
    <w:rsid w:val="00102475"/>
    <w:rsid w:val="00102694"/>
    <w:rsid w:val="001027B9"/>
    <w:rsid w:val="00102A0C"/>
    <w:rsid w:val="00102B89"/>
    <w:rsid w:val="00102E53"/>
    <w:rsid w:val="00102F0D"/>
    <w:rsid w:val="0010335D"/>
    <w:rsid w:val="00103645"/>
    <w:rsid w:val="0010389E"/>
    <w:rsid w:val="001039D0"/>
    <w:rsid w:val="00103AD5"/>
    <w:rsid w:val="00103B09"/>
    <w:rsid w:val="00103B7F"/>
    <w:rsid w:val="00103BC9"/>
    <w:rsid w:val="00103C88"/>
    <w:rsid w:val="001041BA"/>
    <w:rsid w:val="00104839"/>
    <w:rsid w:val="00104E44"/>
    <w:rsid w:val="00105442"/>
    <w:rsid w:val="0010548D"/>
    <w:rsid w:val="00105749"/>
    <w:rsid w:val="00105CAF"/>
    <w:rsid w:val="00105CCE"/>
    <w:rsid w:val="00106046"/>
    <w:rsid w:val="00106B81"/>
    <w:rsid w:val="00106C0D"/>
    <w:rsid w:val="00106D78"/>
    <w:rsid w:val="00106E91"/>
    <w:rsid w:val="0010702E"/>
    <w:rsid w:val="001076C7"/>
    <w:rsid w:val="0010778C"/>
    <w:rsid w:val="00107932"/>
    <w:rsid w:val="00107F60"/>
    <w:rsid w:val="0011064F"/>
    <w:rsid w:val="001107E2"/>
    <w:rsid w:val="00110B2F"/>
    <w:rsid w:val="00110CC9"/>
    <w:rsid w:val="001110E2"/>
    <w:rsid w:val="0011117C"/>
    <w:rsid w:val="00111919"/>
    <w:rsid w:val="00111A90"/>
    <w:rsid w:val="001120F3"/>
    <w:rsid w:val="00112699"/>
    <w:rsid w:val="00112F1A"/>
    <w:rsid w:val="001130DE"/>
    <w:rsid w:val="00113144"/>
    <w:rsid w:val="001133DA"/>
    <w:rsid w:val="00113553"/>
    <w:rsid w:val="00113716"/>
    <w:rsid w:val="00113755"/>
    <w:rsid w:val="00113838"/>
    <w:rsid w:val="00113861"/>
    <w:rsid w:val="001139E2"/>
    <w:rsid w:val="00113A04"/>
    <w:rsid w:val="001140F7"/>
    <w:rsid w:val="00114200"/>
    <w:rsid w:val="001149A8"/>
    <w:rsid w:val="00114A05"/>
    <w:rsid w:val="00114AB9"/>
    <w:rsid w:val="00114CAB"/>
    <w:rsid w:val="00114D5A"/>
    <w:rsid w:val="00114FE8"/>
    <w:rsid w:val="001151A3"/>
    <w:rsid w:val="001152B0"/>
    <w:rsid w:val="0011534C"/>
    <w:rsid w:val="00115581"/>
    <w:rsid w:val="00115813"/>
    <w:rsid w:val="001159DF"/>
    <w:rsid w:val="00115B63"/>
    <w:rsid w:val="00115D88"/>
    <w:rsid w:val="00115E4C"/>
    <w:rsid w:val="00116499"/>
    <w:rsid w:val="00116781"/>
    <w:rsid w:val="00116B27"/>
    <w:rsid w:val="00116C86"/>
    <w:rsid w:val="00116C9C"/>
    <w:rsid w:val="00117156"/>
    <w:rsid w:val="0011783E"/>
    <w:rsid w:val="00117853"/>
    <w:rsid w:val="00117EFE"/>
    <w:rsid w:val="00120136"/>
    <w:rsid w:val="00120545"/>
    <w:rsid w:val="00120648"/>
    <w:rsid w:val="001206D3"/>
    <w:rsid w:val="0012097D"/>
    <w:rsid w:val="00121195"/>
    <w:rsid w:val="001217F6"/>
    <w:rsid w:val="00122934"/>
    <w:rsid w:val="00122BEA"/>
    <w:rsid w:val="00122D59"/>
    <w:rsid w:val="00122DCD"/>
    <w:rsid w:val="00122E34"/>
    <w:rsid w:val="0012353E"/>
    <w:rsid w:val="00123789"/>
    <w:rsid w:val="00123B42"/>
    <w:rsid w:val="00123D67"/>
    <w:rsid w:val="00123E68"/>
    <w:rsid w:val="00124435"/>
    <w:rsid w:val="00124C3C"/>
    <w:rsid w:val="0012504A"/>
    <w:rsid w:val="00125A9F"/>
    <w:rsid w:val="00125AAE"/>
    <w:rsid w:val="00125DA9"/>
    <w:rsid w:val="00125F0A"/>
    <w:rsid w:val="0012610D"/>
    <w:rsid w:val="001261C4"/>
    <w:rsid w:val="00126335"/>
    <w:rsid w:val="00126354"/>
    <w:rsid w:val="00126380"/>
    <w:rsid w:val="001268BD"/>
    <w:rsid w:val="00126ECA"/>
    <w:rsid w:val="001271D8"/>
    <w:rsid w:val="001273DA"/>
    <w:rsid w:val="0012785A"/>
    <w:rsid w:val="00130A79"/>
    <w:rsid w:val="00131913"/>
    <w:rsid w:val="00131CF1"/>
    <w:rsid w:val="001320B8"/>
    <w:rsid w:val="001325B3"/>
    <w:rsid w:val="001325C5"/>
    <w:rsid w:val="0013294B"/>
    <w:rsid w:val="001329EC"/>
    <w:rsid w:val="001329ED"/>
    <w:rsid w:val="00132BA2"/>
    <w:rsid w:val="00132F8D"/>
    <w:rsid w:val="00134350"/>
    <w:rsid w:val="001343E8"/>
    <w:rsid w:val="001346A7"/>
    <w:rsid w:val="00134706"/>
    <w:rsid w:val="00134755"/>
    <w:rsid w:val="001349C0"/>
    <w:rsid w:val="00134E77"/>
    <w:rsid w:val="00134F9C"/>
    <w:rsid w:val="00134FA4"/>
    <w:rsid w:val="001359EF"/>
    <w:rsid w:val="00135C0D"/>
    <w:rsid w:val="0013610D"/>
    <w:rsid w:val="00136EEA"/>
    <w:rsid w:val="00137321"/>
    <w:rsid w:val="0013798B"/>
    <w:rsid w:val="00137B81"/>
    <w:rsid w:val="001406BC"/>
    <w:rsid w:val="00140757"/>
    <w:rsid w:val="001409F6"/>
    <w:rsid w:val="00140A7D"/>
    <w:rsid w:val="0014167A"/>
    <w:rsid w:val="00141E3D"/>
    <w:rsid w:val="00141F2D"/>
    <w:rsid w:val="00142130"/>
    <w:rsid w:val="00142195"/>
    <w:rsid w:val="001423E8"/>
    <w:rsid w:val="0014254C"/>
    <w:rsid w:val="0014279B"/>
    <w:rsid w:val="00142894"/>
    <w:rsid w:val="00142A48"/>
    <w:rsid w:val="00142F76"/>
    <w:rsid w:val="001441F6"/>
    <w:rsid w:val="001444CB"/>
    <w:rsid w:val="001446F3"/>
    <w:rsid w:val="00144796"/>
    <w:rsid w:val="0014497F"/>
    <w:rsid w:val="00145075"/>
    <w:rsid w:val="001457EB"/>
    <w:rsid w:val="00145D74"/>
    <w:rsid w:val="00145F1D"/>
    <w:rsid w:val="00145F8E"/>
    <w:rsid w:val="001464D6"/>
    <w:rsid w:val="00146567"/>
    <w:rsid w:val="00146800"/>
    <w:rsid w:val="00146F0C"/>
    <w:rsid w:val="00147717"/>
    <w:rsid w:val="0014789C"/>
    <w:rsid w:val="001479ED"/>
    <w:rsid w:val="001501A4"/>
    <w:rsid w:val="001505BA"/>
    <w:rsid w:val="001505D5"/>
    <w:rsid w:val="001506DA"/>
    <w:rsid w:val="00150A02"/>
    <w:rsid w:val="00150C5A"/>
    <w:rsid w:val="00150CAA"/>
    <w:rsid w:val="00150E0D"/>
    <w:rsid w:val="00150F98"/>
    <w:rsid w:val="00151186"/>
    <w:rsid w:val="00151416"/>
    <w:rsid w:val="00151455"/>
    <w:rsid w:val="001519FA"/>
    <w:rsid w:val="00151C5A"/>
    <w:rsid w:val="00151CD6"/>
    <w:rsid w:val="00151CFB"/>
    <w:rsid w:val="00151E86"/>
    <w:rsid w:val="00152197"/>
    <w:rsid w:val="00152C91"/>
    <w:rsid w:val="00153131"/>
    <w:rsid w:val="001536A0"/>
    <w:rsid w:val="001538CB"/>
    <w:rsid w:val="00153E71"/>
    <w:rsid w:val="0015465E"/>
    <w:rsid w:val="00154946"/>
    <w:rsid w:val="0015544A"/>
    <w:rsid w:val="00155539"/>
    <w:rsid w:val="00155661"/>
    <w:rsid w:val="00155826"/>
    <w:rsid w:val="0015612D"/>
    <w:rsid w:val="00156520"/>
    <w:rsid w:val="0015653A"/>
    <w:rsid w:val="00156618"/>
    <w:rsid w:val="00156697"/>
    <w:rsid w:val="00157001"/>
    <w:rsid w:val="001572FD"/>
    <w:rsid w:val="00157B74"/>
    <w:rsid w:val="00157DED"/>
    <w:rsid w:val="0016026E"/>
    <w:rsid w:val="001603F3"/>
    <w:rsid w:val="00160509"/>
    <w:rsid w:val="0016086A"/>
    <w:rsid w:val="00160CB0"/>
    <w:rsid w:val="00160D46"/>
    <w:rsid w:val="00160D8A"/>
    <w:rsid w:val="00161029"/>
    <w:rsid w:val="001610E0"/>
    <w:rsid w:val="001610FA"/>
    <w:rsid w:val="00161A00"/>
    <w:rsid w:val="00161D4F"/>
    <w:rsid w:val="001622E8"/>
    <w:rsid w:val="00162392"/>
    <w:rsid w:val="001623F5"/>
    <w:rsid w:val="0016253E"/>
    <w:rsid w:val="001634AE"/>
    <w:rsid w:val="001636DD"/>
    <w:rsid w:val="00163AC8"/>
    <w:rsid w:val="00164589"/>
    <w:rsid w:val="001645EE"/>
    <w:rsid w:val="001646B0"/>
    <w:rsid w:val="00164733"/>
    <w:rsid w:val="00164B64"/>
    <w:rsid w:val="00165830"/>
    <w:rsid w:val="00165914"/>
    <w:rsid w:val="001659F1"/>
    <w:rsid w:val="00165E45"/>
    <w:rsid w:val="001660D4"/>
    <w:rsid w:val="001661A6"/>
    <w:rsid w:val="001661BA"/>
    <w:rsid w:val="00166202"/>
    <w:rsid w:val="001662E9"/>
    <w:rsid w:val="00166400"/>
    <w:rsid w:val="0016650B"/>
    <w:rsid w:val="00166961"/>
    <w:rsid w:val="001675E6"/>
    <w:rsid w:val="001678B7"/>
    <w:rsid w:val="00170483"/>
    <w:rsid w:val="00170623"/>
    <w:rsid w:val="001707A1"/>
    <w:rsid w:val="001708FC"/>
    <w:rsid w:val="00170CE2"/>
    <w:rsid w:val="00170DB3"/>
    <w:rsid w:val="00170E98"/>
    <w:rsid w:val="00170EFE"/>
    <w:rsid w:val="00171004"/>
    <w:rsid w:val="001710E6"/>
    <w:rsid w:val="0017145D"/>
    <w:rsid w:val="00171582"/>
    <w:rsid w:val="0017165F"/>
    <w:rsid w:val="00171BF2"/>
    <w:rsid w:val="0017250F"/>
    <w:rsid w:val="0017261F"/>
    <w:rsid w:val="0017305F"/>
    <w:rsid w:val="00173400"/>
    <w:rsid w:val="0017351B"/>
    <w:rsid w:val="0017368C"/>
    <w:rsid w:val="001738C6"/>
    <w:rsid w:val="00173CA5"/>
    <w:rsid w:val="001741A0"/>
    <w:rsid w:val="001742E4"/>
    <w:rsid w:val="001748AF"/>
    <w:rsid w:val="001749B9"/>
    <w:rsid w:val="00174BED"/>
    <w:rsid w:val="001753AE"/>
    <w:rsid w:val="001756DF"/>
    <w:rsid w:val="00175B1B"/>
    <w:rsid w:val="00175E9E"/>
    <w:rsid w:val="00175F72"/>
    <w:rsid w:val="00175FA0"/>
    <w:rsid w:val="0017648A"/>
    <w:rsid w:val="00176BAF"/>
    <w:rsid w:val="00176C37"/>
    <w:rsid w:val="00177818"/>
    <w:rsid w:val="0017788E"/>
    <w:rsid w:val="00177B66"/>
    <w:rsid w:val="0018006A"/>
    <w:rsid w:val="001800A0"/>
    <w:rsid w:val="0018083C"/>
    <w:rsid w:val="00180E1E"/>
    <w:rsid w:val="001816BC"/>
    <w:rsid w:val="00181A2C"/>
    <w:rsid w:val="00181A8F"/>
    <w:rsid w:val="00181B7E"/>
    <w:rsid w:val="00182832"/>
    <w:rsid w:val="001828A7"/>
    <w:rsid w:val="00182E41"/>
    <w:rsid w:val="00182F1A"/>
    <w:rsid w:val="00182F84"/>
    <w:rsid w:val="00183070"/>
    <w:rsid w:val="0018340F"/>
    <w:rsid w:val="001836A2"/>
    <w:rsid w:val="0018397C"/>
    <w:rsid w:val="00183BA4"/>
    <w:rsid w:val="00183D2C"/>
    <w:rsid w:val="00183EFF"/>
    <w:rsid w:val="00183F93"/>
    <w:rsid w:val="00184330"/>
    <w:rsid w:val="00184560"/>
    <w:rsid w:val="00184922"/>
    <w:rsid w:val="001849B7"/>
    <w:rsid w:val="00184E39"/>
    <w:rsid w:val="0018542A"/>
    <w:rsid w:val="00185797"/>
    <w:rsid w:val="00185BC8"/>
    <w:rsid w:val="00185E42"/>
    <w:rsid w:val="001864E6"/>
    <w:rsid w:val="0018666D"/>
    <w:rsid w:val="001866C2"/>
    <w:rsid w:val="001866CE"/>
    <w:rsid w:val="00186CBD"/>
    <w:rsid w:val="00186D23"/>
    <w:rsid w:val="001872B3"/>
    <w:rsid w:val="00187854"/>
    <w:rsid w:val="00187BD5"/>
    <w:rsid w:val="00187DEF"/>
    <w:rsid w:val="0019012A"/>
    <w:rsid w:val="0019019D"/>
    <w:rsid w:val="001907FC"/>
    <w:rsid w:val="001908C1"/>
    <w:rsid w:val="00190A25"/>
    <w:rsid w:val="001923DF"/>
    <w:rsid w:val="0019254C"/>
    <w:rsid w:val="001927C9"/>
    <w:rsid w:val="00192D1A"/>
    <w:rsid w:val="00192FFD"/>
    <w:rsid w:val="001936A2"/>
    <w:rsid w:val="00193BC6"/>
    <w:rsid w:val="00193C99"/>
    <w:rsid w:val="001945A1"/>
    <w:rsid w:val="001945F7"/>
    <w:rsid w:val="00194753"/>
    <w:rsid w:val="001947DC"/>
    <w:rsid w:val="00194940"/>
    <w:rsid w:val="00194A97"/>
    <w:rsid w:val="00194AF8"/>
    <w:rsid w:val="00194CD0"/>
    <w:rsid w:val="0019530C"/>
    <w:rsid w:val="00195482"/>
    <w:rsid w:val="00195559"/>
    <w:rsid w:val="00195AD5"/>
    <w:rsid w:val="00195EAF"/>
    <w:rsid w:val="001963B8"/>
    <w:rsid w:val="00196EC3"/>
    <w:rsid w:val="001974DB"/>
    <w:rsid w:val="00197561"/>
    <w:rsid w:val="00197664"/>
    <w:rsid w:val="0019799C"/>
    <w:rsid w:val="00197A6C"/>
    <w:rsid w:val="00197BEE"/>
    <w:rsid w:val="001A01A8"/>
    <w:rsid w:val="001A0AF7"/>
    <w:rsid w:val="001A0B2C"/>
    <w:rsid w:val="001A0FE0"/>
    <w:rsid w:val="001A1058"/>
    <w:rsid w:val="001A1263"/>
    <w:rsid w:val="001A225C"/>
    <w:rsid w:val="001A2334"/>
    <w:rsid w:val="001A2371"/>
    <w:rsid w:val="001A244E"/>
    <w:rsid w:val="001A247F"/>
    <w:rsid w:val="001A26AB"/>
    <w:rsid w:val="001A2CA0"/>
    <w:rsid w:val="001A2D24"/>
    <w:rsid w:val="001A3162"/>
    <w:rsid w:val="001A31F9"/>
    <w:rsid w:val="001A3E31"/>
    <w:rsid w:val="001A409E"/>
    <w:rsid w:val="001A43AF"/>
    <w:rsid w:val="001A44D0"/>
    <w:rsid w:val="001A4599"/>
    <w:rsid w:val="001A4707"/>
    <w:rsid w:val="001A4822"/>
    <w:rsid w:val="001A4886"/>
    <w:rsid w:val="001A4964"/>
    <w:rsid w:val="001A4A7F"/>
    <w:rsid w:val="001A5446"/>
    <w:rsid w:val="001A5678"/>
    <w:rsid w:val="001A5ADD"/>
    <w:rsid w:val="001A5AEE"/>
    <w:rsid w:val="001A5B44"/>
    <w:rsid w:val="001A5E2A"/>
    <w:rsid w:val="001A63C0"/>
    <w:rsid w:val="001A6520"/>
    <w:rsid w:val="001A6AA0"/>
    <w:rsid w:val="001A6B1E"/>
    <w:rsid w:val="001A6CA8"/>
    <w:rsid w:val="001A6E98"/>
    <w:rsid w:val="001A6ED7"/>
    <w:rsid w:val="001A728F"/>
    <w:rsid w:val="001A755F"/>
    <w:rsid w:val="001A79AE"/>
    <w:rsid w:val="001A7C9B"/>
    <w:rsid w:val="001A7F24"/>
    <w:rsid w:val="001B0926"/>
    <w:rsid w:val="001B0A20"/>
    <w:rsid w:val="001B11D5"/>
    <w:rsid w:val="001B1395"/>
    <w:rsid w:val="001B15D6"/>
    <w:rsid w:val="001B17F0"/>
    <w:rsid w:val="001B1810"/>
    <w:rsid w:val="001B1950"/>
    <w:rsid w:val="001B1951"/>
    <w:rsid w:val="001B1F81"/>
    <w:rsid w:val="001B1FE0"/>
    <w:rsid w:val="001B252B"/>
    <w:rsid w:val="001B25AE"/>
    <w:rsid w:val="001B299A"/>
    <w:rsid w:val="001B2B68"/>
    <w:rsid w:val="001B2BA0"/>
    <w:rsid w:val="001B2E72"/>
    <w:rsid w:val="001B2F55"/>
    <w:rsid w:val="001B2FD0"/>
    <w:rsid w:val="001B3646"/>
    <w:rsid w:val="001B3C86"/>
    <w:rsid w:val="001B3F1F"/>
    <w:rsid w:val="001B4002"/>
    <w:rsid w:val="001B4518"/>
    <w:rsid w:val="001B4560"/>
    <w:rsid w:val="001B4749"/>
    <w:rsid w:val="001B4823"/>
    <w:rsid w:val="001B4925"/>
    <w:rsid w:val="001B49A3"/>
    <w:rsid w:val="001B49C9"/>
    <w:rsid w:val="001B49F8"/>
    <w:rsid w:val="001B4E29"/>
    <w:rsid w:val="001B523D"/>
    <w:rsid w:val="001B53F5"/>
    <w:rsid w:val="001B561E"/>
    <w:rsid w:val="001B5D1A"/>
    <w:rsid w:val="001B6282"/>
    <w:rsid w:val="001B638F"/>
    <w:rsid w:val="001B641D"/>
    <w:rsid w:val="001B664F"/>
    <w:rsid w:val="001B6810"/>
    <w:rsid w:val="001B6A4B"/>
    <w:rsid w:val="001B7316"/>
    <w:rsid w:val="001B73C9"/>
    <w:rsid w:val="001B7475"/>
    <w:rsid w:val="001B7641"/>
    <w:rsid w:val="001B7D8E"/>
    <w:rsid w:val="001B7E79"/>
    <w:rsid w:val="001C0168"/>
    <w:rsid w:val="001C0577"/>
    <w:rsid w:val="001C08E5"/>
    <w:rsid w:val="001C0F06"/>
    <w:rsid w:val="001C1460"/>
    <w:rsid w:val="001C1516"/>
    <w:rsid w:val="001C1871"/>
    <w:rsid w:val="001C195D"/>
    <w:rsid w:val="001C23CC"/>
    <w:rsid w:val="001C23F4"/>
    <w:rsid w:val="001C2592"/>
    <w:rsid w:val="001C2857"/>
    <w:rsid w:val="001C29D9"/>
    <w:rsid w:val="001C324E"/>
    <w:rsid w:val="001C35C7"/>
    <w:rsid w:val="001C3EB8"/>
    <w:rsid w:val="001C401E"/>
    <w:rsid w:val="001C4091"/>
    <w:rsid w:val="001C4296"/>
    <w:rsid w:val="001C491F"/>
    <w:rsid w:val="001C4D11"/>
    <w:rsid w:val="001C4DA0"/>
    <w:rsid w:val="001C4F79"/>
    <w:rsid w:val="001C5091"/>
    <w:rsid w:val="001C52A9"/>
    <w:rsid w:val="001C59C2"/>
    <w:rsid w:val="001C5CA5"/>
    <w:rsid w:val="001C5EEF"/>
    <w:rsid w:val="001C6316"/>
    <w:rsid w:val="001C66B1"/>
    <w:rsid w:val="001C6F64"/>
    <w:rsid w:val="001D09FA"/>
    <w:rsid w:val="001D0AE8"/>
    <w:rsid w:val="001D11CC"/>
    <w:rsid w:val="001D1A34"/>
    <w:rsid w:val="001D1AF5"/>
    <w:rsid w:val="001D1CA2"/>
    <w:rsid w:val="001D1F41"/>
    <w:rsid w:val="001D2359"/>
    <w:rsid w:val="001D285A"/>
    <w:rsid w:val="001D28B8"/>
    <w:rsid w:val="001D2AB5"/>
    <w:rsid w:val="001D2D01"/>
    <w:rsid w:val="001D2E24"/>
    <w:rsid w:val="001D2E38"/>
    <w:rsid w:val="001D2E84"/>
    <w:rsid w:val="001D3231"/>
    <w:rsid w:val="001D393C"/>
    <w:rsid w:val="001D3D21"/>
    <w:rsid w:val="001D3F80"/>
    <w:rsid w:val="001D42FF"/>
    <w:rsid w:val="001D4519"/>
    <w:rsid w:val="001D4A70"/>
    <w:rsid w:val="001D4C77"/>
    <w:rsid w:val="001D4EC9"/>
    <w:rsid w:val="001D5006"/>
    <w:rsid w:val="001D5210"/>
    <w:rsid w:val="001D5272"/>
    <w:rsid w:val="001D52B9"/>
    <w:rsid w:val="001D56FE"/>
    <w:rsid w:val="001D598B"/>
    <w:rsid w:val="001D5E4A"/>
    <w:rsid w:val="001D5EFC"/>
    <w:rsid w:val="001D5F8B"/>
    <w:rsid w:val="001D6331"/>
    <w:rsid w:val="001D6C5A"/>
    <w:rsid w:val="001D6D01"/>
    <w:rsid w:val="001D6D2F"/>
    <w:rsid w:val="001D760E"/>
    <w:rsid w:val="001D7723"/>
    <w:rsid w:val="001D7847"/>
    <w:rsid w:val="001D78DC"/>
    <w:rsid w:val="001D7D65"/>
    <w:rsid w:val="001E0074"/>
    <w:rsid w:val="001E007D"/>
    <w:rsid w:val="001E00D8"/>
    <w:rsid w:val="001E0214"/>
    <w:rsid w:val="001E0695"/>
    <w:rsid w:val="001E13F4"/>
    <w:rsid w:val="001E15EF"/>
    <w:rsid w:val="001E1631"/>
    <w:rsid w:val="001E182E"/>
    <w:rsid w:val="001E1B40"/>
    <w:rsid w:val="001E202B"/>
    <w:rsid w:val="001E20E8"/>
    <w:rsid w:val="001E234F"/>
    <w:rsid w:val="001E2634"/>
    <w:rsid w:val="001E27AA"/>
    <w:rsid w:val="001E31DC"/>
    <w:rsid w:val="001E33E4"/>
    <w:rsid w:val="001E34EE"/>
    <w:rsid w:val="001E3B23"/>
    <w:rsid w:val="001E4486"/>
    <w:rsid w:val="001E461B"/>
    <w:rsid w:val="001E46ED"/>
    <w:rsid w:val="001E480C"/>
    <w:rsid w:val="001E48C4"/>
    <w:rsid w:val="001E5176"/>
    <w:rsid w:val="001E5397"/>
    <w:rsid w:val="001E5573"/>
    <w:rsid w:val="001E561E"/>
    <w:rsid w:val="001E5634"/>
    <w:rsid w:val="001E57C3"/>
    <w:rsid w:val="001E5931"/>
    <w:rsid w:val="001E59F8"/>
    <w:rsid w:val="001E5E7A"/>
    <w:rsid w:val="001E60F3"/>
    <w:rsid w:val="001E625C"/>
    <w:rsid w:val="001E6AAC"/>
    <w:rsid w:val="001E7111"/>
    <w:rsid w:val="001E71A1"/>
    <w:rsid w:val="001E7474"/>
    <w:rsid w:val="001E7864"/>
    <w:rsid w:val="001E7981"/>
    <w:rsid w:val="001E79FE"/>
    <w:rsid w:val="001E7A3A"/>
    <w:rsid w:val="001E7B56"/>
    <w:rsid w:val="001E7C2C"/>
    <w:rsid w:val="001E7F2B"/>
    <w:rsid w:val="001F029A"/>
    <w:rsid w:val="001F02F6"/>
    <w:rsid w:val="001F058F"/>
    <w:rsid w:val="001F08A0"/>
    <w:rsid w:val="001F08BF"/>
    <w:rsid w:val="001F0C4B"/>
    <w:rsid w:val="001F0C66"/>
    <w:rsid w:val="001F123A"/>
    <w:rsid w:val="001F1414"/>
    <w:rsid w:val="001F1491"/>
    <w:rsid w:val="001F15F8"/>
    <w:rsid w:val="001F1637"/>
    <w:rsid w:val="001F168B"/>
    <w:rsid w:val="001F177F"/>
    <w:rsid w:val="001F189F"/>
    <w:rsid w:val="001F1CBF"/>
    <w:rsid w:val="001F243C"/>
    <w:rsid w:val="001F2623"/>
    <w:rsid w:val="001F262D"/>
    <w:rsid w:val="001F2B48"/>
    <w:rsid w:val="001F2D29"/>
    <w:rsid w:val="001F2D54"/>
    <w:rsid w:val="001F3017"/>
    <w:rsid w:val="001F311B"/>
    <w:rsid w:val="001F3151"/>
    <w:rsid w:val="001F3321"/>
    <w:rsid w:val="001F3A20"/>
    <w:rsid w:val="001F40F3"/>
    <w:rsid w:val="001F4114"/>
    <w:rsid w:val="001F41ED"/>
    <w:rsid w:val="001F44F0"/>
    <w:rsid w:val="001F452C"/>
    <w:rsid w:val="001F4E52"/>
    <w:rsid w:val="001F52CB"/>
    <w:rsid w:val="001F53BC"/>
    <w:rsid w:val="001F541E"/>
    <w:rsid w:val="001F59A9"/>
    <w:rsid w:val="001F5C21"/>
    <w:rsid w:val="001F610B"/>
    <w:rsid w:val="001F667F"/>
    <w:rsid w:val="001F6AA8"/>
    <w:rsid w:val="001F72AC"/>
    <w:rsid w:val="001F73E9"/>
    <w:rsid w:val="001F74F5"/>
    <w:rsid w:val="001F76F0"/>
    <w:rsid w:val="001F7831"/>
    <w:rsid w:val="001F7B16"/>
    <w:rsid w:val="001F7B57"/>
    <w:rsid w:val="0020016D"/>
    <w:rsid w:val="00200710"/>
    <w:rsid w:val="00200C32"/>
    <w:rsid w:val="00201979"/>
    <w:rsid w:val="00202132"/>
    <w:rsid w:val="002023A8"/>
    <w:rsid w:val="002032A7"/>
    <w:rsid w:val="002035CA"/>
    <w:rsid w:val="00203645"/>
    <w:rsid w:val="00203856"/>
    <w:rsid w:val="00204045"/>
    <w:rsid w:val="0020439C"/>
    <w:rsid w:val="00204442"/>
    <w:rsid w:val="00204898"/>
    <w:rsid w:val="00204AC6"/>
    <w:rsid w:val="00204D85"/>
    <w:rsid w:val="00204F9A"/>
    <w:rsid w:val="00205106"/>
    <w:rsid w:val="00205BE4"/>
    <w:rsid w:val="00205C03"/>
    <w:rsid w:val="00205C15"/>
    <w:rsid w:val="00205F16"/>
    <w:rsid w:val="00206074"/>
    <w:rsid w:val="002061B5"/>
    <w:rsid w:val="00206256"/>
    <w:rsid w:val="0020659D"/>
    <w:rsid w:val="00206611"/>
    <w:rsid w:val="00206772"/>
    <w:rsid w:val="0020694D"/>
    <w:rsid w:val="00206B63"/>
    <w:rsid w:val="00206C6D"/>
    <w:rsid w:val="00206CE5"/>
    <w:rsid w:val="00206E69"/>
    <w:rsid w:val="0020712B"/>
    <w:rsid w:val="002071C2"/>
    <w:rsid w:val="00207577"/>
    <w:rsid w:val="00207A1B"/>
    <w:rsid w:val="00207D9B"/>
    <w:rsid w:val="00207DB3"/>
    <w:rsid w:val="0021004F"/>
    <w:rsid w:val="002109F4"/>
    <w:rsid w:val="00210D79"/>
    <w:rsid w:val="00210DD6"/>
    <w:rsid w:val="0021164B"/>
    <w:rsid w:val="002117EA"/>
    <w:rsid w:val="00211BE6"/>
    <w:rsid w:val="00211C0A"/>
    <w:rsid w:val="00211EA3"/>
    <w:rsid w:val="00211EB8"/>
    <w:rsid w:val="002121FF"/>
    <w:rsid w:val="002123E5"/>
    <w:rsid w:val="002124FB"/>
    <w:rsid w:val="002126BF"/>
    <w:rsid w:val="00212725"/>
    <w:rsid w:val="00212807"/>
    <w:rsid w:val="00212B4A"/>
    <w:rsid w:val="00212D3B"/>
    <w:rsid w:val="002137D0"/>
    <w:rsid w:val="00213C02"/>
    <w:rsid w:val="00213CB8"/>
    <w:rsid w:val="0021425A"/>
    <w:rsid w:val="0021448A"/>
    <w:rsid w:val="002148CE"/>
    <w:rsid w:val="00214B4E"/>
    <w:rsid w:val="00214BE9"/>
    <w:rsid w:val="00215188"/>
    <w:rsid w:val="00215816"/>
    <w:rsid w:val="00215C97"/>
    <w:rsid w:val="00216257"/>
    <w:rsid w:val="002166CF"/>
    <w:rsid w:val="00217399"/>
    <w:rsid w:val="002176F9"/>
    <w:rsid w:val="00217784"/>
    <w:rsid w:val="00217AB1"/>
    <w:rsid w:val="00217CE6"/>
    <w:rsid w:val="00217CEB"/>
    <w:rsid w:val="0022007F"/>
    <w:rsid w:val="002202EF"/>
    <w:rsid w:val="002206DD"/>
    <w:rsid w:val="00220895"/>
    <w:rsid w:val="00220A79"/>
    <w:rsid w:val="00220F11"/>
    <w:rsid w:val="00220F52"/>
    <w:rsid w:val="002214D3"/>
    <w:rsid w:val="00222145"/>
    <w:rsid w:val="002221F4"/>
    <w:rsid w:val="00222844"/>
    <w:rsid w:val="00223C50"/>
    <w:rsid w:val="00223D04"/>
    <w:rsid w:val="0022450A"/>
    <w:rsid w:val="00224644"/>
    <w:rsid w:val="00224739"/>
    <w:rsid w:val="0022473C"/>
    <w:rsid w:val="00224A91"/>
    <w:rsid w:val="0022538E"/>
    <w:rsid w:val="00225DCE"/>
    <w:rsid w:val="0022606D"/>
    <w:rsid w:val="00226421"/>
    <w:rsid w:val="002264FB"/>
    <w:rsid w:val="00226AC9"/>
    <w:rsid w:val="00226E75"/>
    <w:rsid w:val="00226F05"/>
    <w:rsid w:val="002270B6"/>
    <w:rsid w:val="002274A7"/>
    <w:rsid w:val="0022779E"/>
    <w:rsid w:val="002279C8"/>
    <w:rsid w:val="002279CA"/>
    <w:rsid w:val="00227C3F"/>
    <w:rsid w:val="00227CE5"/>
    <w:rsid w:val="00227D85"/>
    <w:rsid w:val="002300E9"/>
    <w:rsid w:val="002301B9"/>
    <w:rsid w:val="002305F3"/>
    <w:rsid w:val="002305F7"/>
    <w:rsid w:val="00230BCC"/>
    <w:rsid w:val="00230CE9"/>
    <w:rsid w:val="0023102D"/>
    <w:rsid w:val="00231317"/>
    <w:rsid w:val="00231330"/>
    <w:rsid w:val="00231502"/>
    <w:rsid w:val="00231590"/>
    <w:rsid w:val="00231728"/>
    <w:rsid w:val="00231920"/>
    <w:rsid w:val="00231A63"/>
    <w:rsid w:val="00231BD0"/>
    <w:rsid w:val="002321EF"/>
    <w:rsid w:val="0023221E"/>
    <w:rsid w:val="00232485"/>
    <w:rsid w:val="002325C5"/>
    <w:rsid w:val="0023271E"/>
    <w:rsid w:val="00232C6E"/>
    <w:rsid w:val="00232E4B"/>
    <w:rsid w:val="0023363C"/>
    <w:rsid w:val="00233655"/>
    <w:rsid w:val="00233D55"/>
    <w:rsid w:val="00233E32"/>
    <w:rsid w:val="002342F5"/>
    <w:rsid w:val="00234348"/>
    <w:rsid w:val="00234359"/>
    <w:rsid w:val="0023476D"/>
    <w:rsid w:val="0023478C"/>
    <w:rsid w:val="00234C2D"/>
    <w:rsid w:val="00234CC2"/>
    <w:rsid w:val="0023523E"/>
    <w:rsid w:val="002358AA"/>
    <w:rsid w:val="00235C69"/>
    <w:rsid w:val="00236162"/>
    <w:rsid w:val="00236350"/>
    <w:rsid w:val="002367BA"/>
    <w:rsid w:val="002371DA"/>
    <w:rsid w:val="002374BE"/>
    <w:rsid w:val="0023760B"/>
    <w:rsid w:val="0023764E"/>
    <w:rsid w:val="0023790B"/>
    <w:rsid w:val="002379CB"/>
    <w:rsid w:val="00237C9F"/>
    <w:rsid w:val="00237F02"/>
    <w:rsid w:val="002406F1"/>
    <w:rsid w:val="002407E9"/>
    <w:rsid w:val="00240C1D"/>
    <w:rsid w:val="00240DF0"/>
    <w:rsid w:val="00241086"/>
    <w:rsid w:val="0024117B"/>
    <w:rsid w:val="00241239"/>
    <w:rsid w:val="002419C5"/>
    <w:rsid w:val="002419EA"/>
    <w:rsid w:val="00241A4C"/>
    <w:rsid w:val="00241AF8"/>
    <w:rsid w:val="00241B1E"/>
    <w:rsid w:val="00241FD8"/>
    <w:rsid w:val="00242246"/>
    <w:rsid w:val="00242790"/>
    <w:rsid w:val="00242CFD"/>
    <w:rsid w:val="00243E6A"/>
    <w:rsid w:val="002442DF"/>
    <w:rsid w:val="00244420"/>
    <w:rsid w:val="00244534"/>
    <w:rsid w:val="0024468E"/>
    <w:rsid w:val="0024499C"/>
    <w:rsid w:val="00244A05"/>
    <w:rsid w:val="00244B07"/>
    <w:rsid w:val="00244EAE"/>
    <w:rsid w:val="00245406"/>
    <w:rsid w:val="0024557E"/>
    <w:rsid w:val="0024567A"/>
    <w:rsid w:val="00245A7A"/>
    <w:rsid w:val="00245FA3"/>
    <w:rsid w:val="00245FCA"/>
    <w:rsid w:val="00246354"/>
    <w:rsid w:val="002463AB"/>
    <w:rsid w:val="002466D0"/>
    <w:rsid w:val="002466DB"/>
    <w:rsid w:val="00246DB2"/>
    <w:rsid w:val="00246E10"/>
    <w:rsid w:val="00247175"/>
    <w:rsid w:val="0024718D"/>
    <w:rsid w:val="002473F9"/>
    <w:rsid w:val="00247707"/>
    <w:rsid w:val="00247E62"/>
    <w:rsid w:val="00250027"/>
    <w:rsid w:val="002503D7"/>
    <w:rsid w:val="00250404"/>
    <w:rsid w:val="002505FD"/>
    <w:rsid w:val="00250C81"/>
    <w:rsid w:val="00250E74"/>
    <w:rsid w:val="00251027"/>
    <w:rsid w:val="002518AB"/>
    <w:rsid w:val="00251EAD"/>
    <w:rsid w:val="00251F43"/>
    <w:rsid w:val="00252198"/>
    <w:rsid w:val="0025229C"/>
    <w:rsid w:val="002524B1"/>
    <w:rsid w:val="00253A6D"/>
    <w:rsid w:val="0025474F"/>
    <w:rsid w:val="002549FC"/>
    <w:rsid w:val="00254B73"/>
    <w:rsid w:val="00254BF1"/>
    <w:rsid w:val="002554C7"/>
    <w:rsid w:val="00255702"/>
    <w:rsid w:val="00255A86"/>
    <w:rsid w:val="00255B97"/>
    <w:rsid w:val="00256032"/>
    <w:rsid w:val="00256412"/>
    <w:rsid w:val="00256557"/>
    <w:rsid w:val="0025690D"/>
    <w:rsid w:val="00256974"/>
    <w:rsid w:val="00256B74"/>
    <w:rsid w:val="00256B87"/>
    <w:rsid w:val="00256E4E"/>
    <w:rsid w:val="002571FF"/>
    <w:rsid w:val="00257432"/>
    <w:rsid w:val="00257490"/>
    <w:rsid w:val="002576CD"/>
    <w:rsid w:val="00257B62"/>
    <w:rsid w:val="00257D6A"/>
    <w:rsid w:val="002609FF"/>
    <w:rsid w:val="00260BEC"/>
    <w:rsid w:val="00260E19"/>
    <w:rsid w:val="002610D8"/>
    <w:rsid w:val="00261252"/>
    <w:rsid w:val="0026177E"/>
    <w:rsid w:val="0026192A"/>
    <w:rsid w:val="002619F5"/>
    <w:rsid w:val="00261DE4"/>
    <w:rsid w:val="00261DFA"/>
    <w:rsid w:val="00261F4F"/>
    <w:rsid w:val="002621BC"/>
    <w:rsid w:val="00262D1E"/>
    <w:rsid w:val="00262D61"/>
    <w:rsid w:val="002633A3"/>
    <w:rsid w:val="0026399D"/>
    <w:rsid w:val="002639D2"/>
    <w:rsid w:val="00263B27"/>
    <w:rsid w:val="00263BB5"/>
    <w:rsid w:val="00263FB2"/>
    <w:rsid w:val="00263FFE"/>
    <w:rsid w:val="00264A5D"/>
    <w:rsid w:val="00264B0C"/>
    <w:rsid w:val="00264BC2"/>
    <w:rsid w:val="00264D6A"/>
    <w:rsid w:val="00264F83"/>
    <w:rsid w:val="0026515C"/>
    <w:rsid w:val="0026538F"/>
    <w:rsid w:val="002654E0"/>
    <w:rsid w:val="00265918"/>
    <w:rsid w:val="00265CA3"/>
    <w:rsid w:val="00265FB8"/>
    <w:rsid w:val="00266173"/>
    <w:rsid w:val="00266B7A"/>
    <w:rsid w:val="0026794A"/>
    <w:rsid w:val="00267D1A"/>
    <w:rsid w:val="00267D42"/>
    <w:rsid w:val="00267EC7"/>
    <w:rsid w:val="00267FD5"/>
    <w:rsid w:val="0027011C"/>
    <w:rsid w:val="00270403"/>
    <w:rsid w:val="002704E9"/>
    <w:rsid w:val="00270AEA"/>
    <w:rsid w:val="00270E1B"/>
    <w:rsid w:val="00271139"/>
    <w:rsid w:val="002714B1"/>
    <w:rsid w:val="002716AF"/>
    <w:rsid w:val="002717F3"/>
    <w:rsid w:val="00271955"/>
    <w:rsid w:val="00271C50"/>
    <w:rsid w:val="00272086"/>
    <w:rsid w:val="002725BE"/>
    <w:rsid w:val="002726A2"/>
    <w:rsid w:val="002731BA"/>
    <w:rsid w:val="002733C4"/>
    <w:rsid w:val="00273483"/>
    <w:rsid w:val="002735B2"/>
    <w:rsid w:val="00273A9F"/>
    <w:rsid w:val="00273C98"/>
    <w:rsid w:val="0027463E"/>
    <w:rsid w:val="00274671"/>
    <w:rsid w:val="002747EC"/>
    <w:rsid w:val="00275654"/>
    <w:rsid w:val="00276820"/>
    <w:rsid w:val="002769D2"/>
    <w:rsid w:val="00276D5C"/>
    <w:rsid w:val="00277351"/>
    <w:rsid w:val="002775C8"/>
    <w:rsid w:val="00277606"/>
    <w:rsid w:val="00280572"/>
    <w:rsid w:val="00280A12"/>
    <w:rsid w:val="00280DED"/>
    <w:rsid w:val="00280ECC"/>
    <w:rsid w:val="00281413"/>
    <w:rsid w:val="00281588"/>
    <w:rsid w:val="00281911"/>
    <w:rsid w:val="00281965"/>
    <w:rsid w:val="00281A58"/>
    <w:rsid w:val="00282364"/>
    <w:rsid w:val="00282619"/>
    <w:rsid w:val="0028272D"/>
    <w:rsid w:val="00282DD3"/>
    <w:rsid w:val="00283421"/>
    <w:rsid w:val="00283670"/>
    <w:rsid w:val="002836FD"/>
    <w:rsid w:val="0028380E"/>
    <w:rsid w:val="0028394A"/>
    <w:rsid w:val="002839DD"/>
    <w:rsid w:val="00283B02"/>
    <w:rsid w:val="00283CF6"/>
    <w:rsid w:val="00284644"/>
    <w:rsid w:val="00284BF2"/>
    <w:rsid w:val="00284E4F"/>
    <w:rsid w:val="0028511C"/>
    <w:rsid w:val="002855BF"/>
    <w:rsid w:val="002855D7"/>
    <w:rsid w:val="00285851"/>
    <w:rsid w:val="002858EE"/>
    <w:rsid w:val="00285BFF"/>
    <w:rsid w:val="00285E1F"/>
    <w:rsid w:val="00286123"/>
    <w:rsid w:val="00286223"/>
    <w:rsid w:val="0028654E"/>
    <w:rsid w:val="00286919"/>
    <w:rsid w:val="002870FC"/>
    <w:rsid w:val="00287833"/>
    <w:rsid w:val="002905E6"/>
    <w:rsid w:val="0029076F"/>
    <w:rsid w:val="00290A7C"/>
    <w:rsid w:val="00290EA4"/>
    <w:rsid w:val="00290F26"/>
    <w:rsid w:val="002913EF"/>
    <w:rsid w:val="00291413"/>
    <w:rsid w:val="00291B0A"/>
    <w:rsid w:val="002925A5"/>
    <w:rsid w:val="002928C2"/>
    <w:rsid w:val="00292A4A"/>
    <w:rsid w:val="00292C6A"/>
    <w:rsid w:val="00292D87"/>
    <w:rsid w:val="00293444"/>
    <w:rsid w:val="00293510"/>
    <w:rsid w:val="00293921"/>
    <w:rsid w:val="00293B16"/>
    <w:rsid w:val="00293DA1"/>
    <w:rsid w:val="00293EFE"/>
    <w:rsid w:val="00293F07"/>
    <w:rsid w:val="00294BB0"/>
    <w:rsid w:val="00294CB8"/>
    <w:rsid w:val="00294CCF"/>
    <w:rsid w:val="00294CF2"/>
    <w:rsid w:val="002958C5"/>
    <w:rsid w:val="002958E0"/>
    <w:rsid w:val="002960E8"/>
    <w:rsid w:val="00296220"/>
    <w:rsid w:val="0029667D"/>
    <w:rsid w:val="00296865"/>
    <w:rsid w:val="0029695D"/>
    <w:rsid w:val="002969C3"/>
    <w:rsid w:val="00296C9D"/>
    <w:rsid w:val="002978D2"/>
    <w:rsid w:val="00297A9B"/>
    <w:rsid w:val="00297C3B"/>
    <w:rsid w:val="00297D43"/>
    <w:rsid w:val="00297E6B"/>
    <w:rsid w:val="00297EBA"/>
    <w:rsid w:val="002A0366"/>
    <w:rsid w:val="002A05FE"/>
    <w:rsid w:val="002A0F74"/>
    <w:rsid w:val="002A10AF"/>
    <w:rsid w:val="002A12CA"/>
    <w:rsid w:val="002A1620"/>
    <w:rsid w:val="002A1666"/>
    <w:rsid w:val="002A17B2"/>
    <w:rsid w:val="002A1821"/>
    <w:rsid w:val="002A1D7F"/>
    <w:rsid w:val="002A267D"/>
    <w:rsid w:val="002A2935"/>
    <w:rsid w:val="002A31E0"/>
    <w:rsid w:val="002A31F4"/>
    <w:rsid w:val="002A34DD"/>
    <w:rsid w:val="002A36E8"/>
    <w:rsid w:val="002A3AD3"/>
    <w:rsid w:val="002A3D9B"/>
    <w:rsid w:val="002A46D3"/>
    <w:rsid w:val="002A4C93"/>
    <w:rsid w:val="002A51C1"/>
    <w:rsid w:val="002A52F5"/>
    <w:rsid w:val="002A5446"/>
    <w:rsid w:val="002A5492"/>
    <w:rsid w:val="002A552F"/>
    <w:rsid w:val="002A56FF"/>
    <w:rsid w:val="002A5765"/>
    <w:rsid w:val="002A5785"/>
    <w:rsid w:val="002A588A"/>
    <w:rsid w:val="002A5E2A"/>
    <w:rsid w:val="002A5E8C"/>
    <w:rsid w:val="002A5ECF"/>
    <w:rsid w:val="002A6012"/>
    <w:rsid w:val="002A626F"/>
    <w:rsid w:val="002A62B9"/>
    <w:rsid w:val="002A6342"/>
    <w:rsid w:val="002A718C"/>
    <w:rsid w:val="002A7687"/>
    <w:rsid w:val="002A76C4"/>
    <w:rsid w:val="002A770B"/>
    <w:rsid w:val="002A790F"/>
    <w:rsid w:val="002A7FCC"/>
    <w:rsid w:val="002B020C"/>
    <w:rsid w:val="002B03C6"/>
    <w:rsid w:val="002B08F6"/>
    <w:rsid w:val="002B0E10"/>
    <w:rsid w:val="002B0F5C"/>
    <w:rsid w:val="002B11F8"/>
    <w:rsid w:val="002B13F6"/>
    <w:rsid w:val="002B1561"/>
    <w:rsid w:val="002B1856"/>
    <w:rsid w:val="002B18D9"/>
    <w:rsid w:val="002B1AE9"/>
    <w:rsid w:val="002B220C"/>
    <w:rsid w:val="002B24D6"/>
    <w:rsid w:val="002B2503"/>
    <w:rsid w:val="002B2804"/>
    <w:rsid w:val="002B2988"/>
    <w:rsid w:val="002B2C3B"/>
    <w:rsid w:val="002B2C59"/>
    <w:rsid w:val="002B2CAB"/>
    <w:rsid w:val="002B2D91"/>
    <w:rsid w:val="002B3DC6"/>
    <w:rsid w:val="002B42BE"/>
    <w:rsid w:val="002B4A27"/>
    <w:rsid w:val="002B4B6A"/>
    <w:rsid w:val="002B4D59"/>
    <w:rsid w:val="002B4F28"/>
    <w:rsid w:val="002B51D5"/>
    <w:rsid w:val="002B5C37"/>
    <w:rsid w:val="002B5C93"/>
    <w:rsid w:val="002B5CE8"/>
    <w:rsid w:val="002B6215"/>
    <w:rsid w:val="002B6348"/>
    <w:rsid w:val="002B6ACF"/>
    <w:rsid w:val="002B6B86"/>
    <w:rsid w:val="002B6D68"/>
    <w:rsid w:val="002B6FF7"/>
    <w:rsid w:val="002B7031"/>
    <w:rsid w:val="002B79E2"/>
    <w:rsid w:val="002B7DB5"/>
    <w:rsid w:val="002C0003"/>
    <w:rsid w:val="002C0035"/>
    <w:rsid w:val="002C0139"/>
    <w:rsid w:val="002C02C1"/>
    <w:rsid w:val="002C030B"/>
    <w:rsid w:val="002C036B"/>
    <w:rsid w:val="002C03F7"/>
    <w:rsid w:val="002C0650"/>
    <w:rsid w:val="002C06C5"/>
    <w:rsid w:val="002C07A8"/>
    <w:rsid w:val="002C0DA6"/>
    <w:rsid w:val="002C0DE7"/>
    <w:rsid w:val="002C1402"/>
    <w:rsid w:val="002C1B85"/>
    <w:rsid w:val="002C2043"/>
    <w:rsid w:val="002C2194"/>
    <w:rsid w:val="002C22F2"/>
    <w:rsid w:val="002C25BD"/>
    <w:rsid w:val="002C2615"/>
    <w:rsid w:val="002C2E13"/>
    <w:rsid w:val="002C32D6"/>
    <w:rsid w:val="002C3490"/>
    <w:rsid w:val="002C3829"/>
    <w:rsid w:val="002C38B6"/>
    <w:rsid w:val="002C3C98"/>
    <w:rsid w:val="002C4E32"/>
    <w:rsid w:val="002C4E5B"/>
    <w:rsid w:val="002C5055"/>
    <w:rsid w:val="002C5236"/>
    <w:rsid w:val="002C5367"/>
    <w:rsid w:val="002C5B80"/>
    <w:rsid w:val="002C64AA"/>
    <w:rsid w:val="002C695A"/>
    <w:rsid w:val="002C6E20"/>
    <w:rsid w:val="002C70B5"/>
    <w:rsid w:val="002C7106"/>
    <w:rsid w:val="002C758E"/>
    <w:rsid w:val="002C7613"/>
    <w:rsid w:val="002C7C57"/>
    <w:rsid w:val="002C7C6D"/>
    <w:rsid w:val="002C7DAC"/>
    <w:rsid w:val="002C7E6F"/>
    <w:rsid w:val="002D0185"/>
    <w:rsid w:val="002D024A"/>
    <w:rsid w:val="002D07FE"/>
    <w:rsid w:val="002D0BC1"/>
    <w:rsid w:val="002D0D77"/>
    <w:rsid w:val="002D1B7C"/>
    <w:rsid w:val="002D1FDB"/>
    <w:rsid w:val="002D216B"/>
    <w:rsid w:val="002D2189"/>
    <w:rsid w:val="002D232F"/>
    <w:rsid w:val="002D2868"/>
    <w:rsid w:val="002D291B"/>
    <w:rsid w:val="002D2BD4"/>
    <w:rsid w:val="002D2BF4"/>
    <w:rsid w:val="002D31D4"/>
    <w:rsid w:val="002D335F"/>
    <w:rsid w:val="002D3560"/>
    <w:rsid w:val="002D35C4"/>
    <w:rsid w:val="002D3664"/>
    <w:rsid w:val="002D3A40"/>
    <w:rsid w:val="002D3F9A"/>
    <w:rsid w:val="002D49B6"/>
    <w:rsid w:val="002D4A79"/>
    <w:rsid w:val="002D51D8"/>
    <w:rsid w:val="002D58B2"/>
    <w:rsid w:val="002D58B9"/>
    <w:rsid w:val="002D58CE"/>
    <w:rsid w:val="002D5AB9"/>
    <w:rsid w:val="002D5B35"/>
    <w:rsid w:val="002D61CF"/>
    <w:rsid w:val="002D625F"/>
    <w:rsid w:val="002D67E9"/>
    <w:rsid w:val="002D68C1"/>
    <w:rsid w:val="002D69BE"/>
    <w:rsid w:val="002D6B73"/>
    <w:rsid w:val="002D6DBE"/>
    <w:rsid w:val="002D6EE8"/>
    <w:rsid w:val="002D724D"/>
    <w:rsid w:val="002D7546"/>
    <w:rsid w:val="002E0183"/>
    <w:rsid w:val="002E0828"/>
    <w:rsid w:val="002E0B82"/>
    <w:rsid w:val="002E1458"/>
    <w:rsid w:val="002E1732"/>
    <w:rsid w:val="002E18B7"/>
    <w:rsid w:val="002E1E45"/>
    <w:rsid w:val="002E204A"/>
    <w:rsid w:val="002E2165"/>
    <w:rsid w:val="002E21C6"/>
    <w:rsid w:val="002E297F"/>
    <w:rsid w:val="002E29F9"/>
    <w:rsid w:val="002E2A2A"/>
    <w:rsid w:val="002E37FB"/>
    <w:rsid w:val="002E3D6E"/>
    <w:rsid w:val="002E3F81"/>
    <w:rsid w:val="002E473A"/>
    <w:rsid w:val="002E4808"/>
    <w:rsid w:val="002E4908"/>
    <w:rsid w:val="002E49A0"/>
    <w:rsid w:val="002E4A9D"/>
    <w:rsid w:val="002E4AA8"/>
    <w:rsid w:val="002E4F3D"/>
    <w:rsid w:val="002E54A3"/>
    <w:rsid w:val="002E56E1"/>
    <w:rsid w:val="002E57F7"/>
    <w:rsid w:val="002E582A"/>
    <w:rsid w:val="002E5971"/>
    <w:rsid w:val="002E606E"/>
    <w:rsid w:val="002E6095"/>
    <w:rsid w:val="002E6097"/>
    <w:rsid w:val="002E63A5"/>
    <w:rsid w:val="002E63FF"/>
    <w:rsid w:val="002E64CF"/>
    <w:rsid w:val="002E64FD"/>
    <w:rsid w:val="002E6579"/>
    <w:rsid w:val="002E6B55"/>
    <w:rsid w:val="002E7110"/>
    <w:rsid w:val="002E7179"/>
    <w:rsid w:val="002E7F93"/>
    <w:rsid w:val="002F04F4"/>
    <w:rsid w:val="002F08A5"/>
    <w:rsid w:val="002F0AFC"/>
    <w:rsid w:val="002F0D22"/>
    <w:rsid w:val="002F0E92"/>
    <w:rsid w:val="002F0FC8"/>
    <w:rsid w:val="002F11EA"/>
    <w:rsid w:val="002F1214"/>
    <w:rsid w:val="002F151C"/>
    <w:rsid w:val="002F1ABB"/>
    <w:rsid w:val="002F1D8E"/>
    <w:rsid w:val="002F1DD5"/>
    <w:rsid w:val="002F1DE4"/>
    <w:rsid w:val="002F26CB"/>
    <w:rsid w:val="002F283E"/>
    <w:rsid w:val="002F29AD"/>
    <w:rsid w:val="002F29BF"/>
    <w:rsid w:val="002F2A4A"/>
    <w:rsid w:val="002F2CE3"/>
    <w:rsid w:val="002F33AE"/>
    <w:rsid w:val="002F3678"/>
    <w:rsid w:val="002F3AC0"/>
    <w:rsid w:val="002F40B6"/>
    <w:rsid w:val="002F4586"/>
    <w:rsid w:val="002F4E21"/>
    <w:rsid w:val="002F64D0"/>
    <w:rsid w:val="002F666E"/>
    <w:rsid w:val="002F676A"/>
    <w:rsid w:val="002F68D1"/>
    <w:rsid w:val="002F6AC7"/>
    <w:rsid w:val="002F6F8D"/>
    <w:rsid w:val="002F7745"/>
    <w:rsid w:val="002F774F"/>
    <w:rsid w:val="002F7810"/>
    <w:rsid w:val="002F786C"/>
    <w:rsid w:val="002F7DE4"/>
    <w:rsid w:val="002F7F65"/>
    <w:rsid w:val="00300372"/>
    <w:rsid w:val="003006C8"/>
    <w:rsid w:val="00300AC1"/>
    <w:rsid w:val="00300EC6"/>
    <w:rsid w:val="00301082"/>
    <w:rsid w:val="00301127"/>
    <w:rsid w:val="0030112F"/>
    <w:rsid w:val="00301289"/>
    <w:rsid w:val="00301718"/>
    <w:rsid w:val="00301939"/>
    <w:rsid w:val="003019E5"/>
    <w:rsid w:val="00302AC4"/>
    <w:rsid w:val="00302D13"/>
    <w:rsid w:val="00303091"/>
    <w:rsid w:val="003033E9"/>
    <w:rsid w:val="003036BE"/>
    <w:rsid w:val="0030386E"/>
    <w:rsid w:val="00303D3E"/>
    <w:rsid w:val="00303FA3"/>
    <w:rsid w:val="00304065"/>
    <w:rsid w:val="003041AC"/>
    <w:rsid w:val="0030422C"/>
    <w:rsid w:val="00304427"/>
    <w:rsid w:val="00304454"/>
    <w:rsid w:val="00304687"/>
    <w:rsid w:val="0030468A"/>
    <w:rsid w:val="00304A7C"/>
    <w:rsid w:val="00304DF9"/>
    <w:rsid w:val="0030505A"/>
    <w:rsid w:val="00305527"/>
    <w:rsid w:val="00305682"/>
    <w:rsid w:val="00305A44"/>
    <w:rsid w:val="00305BA4"/>
    <w:rsid w:val="00305DDE"/>
    <w:rsid w:val="00306001"/>
    <w:rsid w:val="003069EC"/>
    <w:rsid w:val="00306D0A"/>
    <w:rsid w:val="00306D84"/>
    <w:rsid w:val="00306DC7"/>
    <w:rsid w:val="00306EEA"/>
    <w:rsid w:val="00306FB0"/>
    <w:rsid w:val="00307299"/>
    <w:rsid w:val="00307AA3"/>
    <w:rsid w:val="003105D7"/>
    <w:rsid w:val="003107BC"/>
    <w:rsid w:val="003107E4"/>
    <w:rsid w:val="00310B12"/>
    <w:rsid w:val="003110E2"/>
    <w:rsid w:val="003111D9"/>
    <w:rsid w:val="003116A0"/>
    <w:rsid w:val="00311B17"/>
    <w:rsid w:val="00311D3E"/>
    <w:rsid w:val="0031210B"/>
    <w:rsid w:val="003121B9"/>
    <w:rsid w:val="003125C9"/>
    <w:rsid w:val="00312749"/>
    <w:rsid w:val="00312B53"/>
    <w:rsid w:val="00313488"/>
    <w:rsid w:val="00313773"/>
    <w:rsid w:val="00313B28"/>
    <w:rsid w:val="00313BF0"/>
    <w:rsid w:val="0031400D"/>
    <w:rsid w:val="003140A5"/>
    <w:rsid w:val="00314215"/>
    <w:rsid w:val="0031442C"/>
    <w:rsid w:val="003149F8"/>
    <w:rsid w:val="00314A57"/>
    <w:rsid w:val="00314F2E"/>
    <w:rsid w:val="00314FC8"/>
    <w:rsid w:val="00315730"/>
    <w:rsid w:val="00315BA3"/>
    <w:rsid w:val="00315C28"/>
    <w:rsid w:val="003161D0"/>
    <w:rsid w:val="0031649A"/>
    <w:rsid w:val="0031655C"/>
    <w:rsid w:val="003165FE"/>
    <w:rsid w:val="0031669D"/>
    <w:rsid w:val="00316715"/>
    <w:rsid w:val="003167F1"/>
    <w:rsid w:val="00316961"/>
    <w:rsid w:val="00316F54"/>
    <w:rsid w:val="00317269"/>
    <w:rsid w:val="003172DC"/>
    <w:rsid w:val="003175A9"/>
    <w:rsid w:val="0031771B"/>
    <w:rsid w:val="0032014F"/>
    <w:rsid w:val="00320310"/>
    <w:rsid w:val="003204E1"/>
    <w:rsid w:val="003204F9"/>
    <w:rsid w:val="003206F8"/>
    <w:rsid w:val="00320870"/>
    <w:rsid w:val="00320882"/>
    <w:rsid w:val="00320D7D"/>
    <w:rsid w:val="0032108D"/>
    <w:rsid w:val="00321407"/>
    <w:rsid w:val="00321624"/>
    <w:rsid w:val="00321712"/>
    <w:rsid w:val="003219A1"/>
    <w:rsid w:val="00321B95"/>
    <w:rsid w:val="00321CD4"/>
    <w:rsid w:val="00321D80"/>
    <w:rsid w:val="00321EDA"/>
    <w:rsid w:val="00321EF1"/>
    <w:rsid w:val="00321F64"/>
    <w:rsid w:val="003223B2"/>
    <w:rsid w:val="00322420"/>
    <w:rsid w:val="00322881"/>
    <w:rsid w:val="0032304A"/>
    <w:rsid w:val="0032304D"/>
    <w:rsid w:val="003234DB"/>
    <w:rsid w:val="0032361C"/>
    <w:rsid w:val="003236F2"/>
    <w:rsid w:val="00323A42"/>
    <w:rsid w:val="00323B7D"/>
    <w:rsid w:val="00323EBA"/>
    <w:rsid w:val="003241FB"/>
    <w:rsid w:val="00324298"/>
    <w:rsid w:val="00324464"/>
    <w:rsid w:val="00324704"/>
    <w:rsid w:val="00324E61"/>
    <w:rsid w:val="00324E70"/>
    <w:rsid w:val="00324E94"/>
    <w:rsid w:val="0032527C"/>
    <w:rsid w:val="003255AC"/>
    <w:rsid w:val="003257FB"/>
    <w:rsid w:val="00325888"/>
    <w:rsid w:val="00325AE3"/>
    <w:rsid w:val="00326069"/>
    <w:rsid w:val="003263EE"/>
    <w:rsid w:val="0032654C"/>
    <w:rsid w:val="00327177"/>
    <w:rsid w:val="00327392"/>
    <w:rsid w:val="0032779B"/>
    <w:rsid w:val="00327EE9"/>
    <w:rsid w:val="00327FB7"/>
    <w:rsid w:val="00330120"/>
    <w:rsid w:val="0033023F"/>
    <w:rsid w:val="003304BD"/>
    <w:rsid w:val="00330886"/>
    <w:rsid w:val="0033095A"/>
    <w:rsid w:val="00330D74"/>
    <w:rsid w:val="003310F2"/>
    <w:rsid w:val="00331BF1"/>
    <w:rsid w:val="00332346"/>
    <w:rsid w:val="00332419"/>
    <w:rsid w:val="0033265A"/>
    <w:rsid w:val="003328C9"/>
    <w:rsid w:val="00332A92"/>
    <w:rsid w:val="00332ACC"/>
    <w:rsid w:val="00332BE2"/>
    <w:rsid w:val="00332ED7"/>
    <w:rsid w:val="00333540"/>
    <w:rsid w:val="00333594"/>
    <w:rsid w:val="0033387D"/>
    <w:rsid w:val="00334225"/>
    <w:rsid w:val="00334527"/>
    <w:rsid w:val="003345C3"/>
    <w:rsid w:val="00334884"/>
    <w:rsid w:val="00334B55"/>
    <w:rsid w:val="00334C97"/>
    <w:rsid w:val="00334EBB"/>
    <w:rsid w:val="00335B2E"/>
    <w:rsid w:val="0033626B"/>
    <w:rsid w:val="003364A8"/>
    <w:rsid w:val="0033663D"/>
    <w:rsid w:val="00336BA9"/>
    <w:rsid w:val="00337286"/>
    <w:rsid w:val="003372D2"/>
    <w:rsid w:val="003374BA"/>
    <w:rsid w:val="0033767E"/>
    <w:rsid w:val="003377C0"/>
    <w:rsid w:val="00337823"/>
    <w:rsid w:val="00337ADD"/>
    <w:rsid w:val="00337CD5"/>
    <w:rsid w:val="003402B8"/>
    <w:rsid w:val="003403B6"/>
    <w:rsid w:val="003403FB"/>
    <w:rsid w:val="00340479"/>
    <w:rsid w:val="00340849"/>
    <w:rsid w:val="00340A23"/>
    <w:rsid w:val="00341082"/>
    <w:rsid w:val="00341391"/>
    <w:rsid w:val="00341A42"/>
    <w:rsid w:val="00341BFE"/>
    <w:rsid w:val="00341D4B"/>
    <w:rsid w:val="00342152"/>
    <w:rsid w:val="0034228F"/>
    <w:rsid w:val="00342325"/>
    <w:rsid w:val="00342749"/>
    <w:rsid w:val="00342A90"/>
    <w:rsid w:val="00342D35"/>
    <w:rsid w:val="00342E07"/>
    <w:rsid w:val="00342E2C"/>
    <w:rsid w:val="00342F71"/>
    <w:rsid w:val="003432B0"/>
    <w:rsid w:val="003432F9"/>
    <w:rsid w:val="00343341"/>
    <w:rsid w:val="003437C3"/>
    <w:rsid w:val="00343A6F"/>
    <w:rsid w:val="00343C6D"/>
    <w:rsid w:val="00343D59"/>
    <w:rsid w:val="00343DE9"/>
    <w:rsid w:val="00344B54"/>
    <w:rsid w:val="00344BD3"/>
    <w:rsid w:val="00345107"/>
    <w:rsid w:val="0034542B"/>
    <w:rsid w:val="003456DD"/>
    <w:rsid w:val="00345D33"/>
    <w:rsid w:val="00346395"/>
    <w:rsid w:val="003464A2"/>
    <w:rsid w:val="003464B5"/>
    <w:rsid w:val="00346806"/>
    <w:rsid w:val="00347100"/>
    <w:rsid w:val="003473B7"/>
    <w:rsid w:val="0035012E"/>
    <w:rsid w:val="003501A2"/>
    <w:rsid w:val="00350324"/>
    <w:rsid w:val="003509FF"/>
    <w:rsid w:val="00351240"/>
    <w:rsid w:val="00351323"/>
    <w:rsid w:val="003517ED"/>
    <w:rsid w:val="0035190D"/>
    <w:rsid w:val="00351A0E"/>
    <w:rsid w:val="00352256"/>
    <w:rsid w:val="003528DB"/>
    <w:rsid w:val="00353005"/>
    <w:rsid w:val="00353174"/>
    <w:rsid w:val="00353279"/>
    <w:rsid w:val="0035332E"/>
    <w:rsid w:val="00353374"/>
    <w:rsid w:val="00353557"/>
    <w:rsid w:val="00353558"/>
    <w:rsid w:val="00353DD1"/>
    <w:rsid w:val="0035405B"/>
    <w:rsid w:val="0035417C"/>
    <w:rsid w:val="0035462D"/>
    <w:rsid w:val="00354694"/>
    <w:rsid w:val="00354736"/>
    <w:rsid w:val="003547E8"/>
    <w:rsid w:val="003549B4"/>
    <w:rsid w:val="00354E5D"/>
    <w:rsid w:val="00354EF6"/>
    <w:rsid w:val="0035542D"/>
    <w:rsid w:val="00355668"/>
    <w:rsid w:val="00355ABE"/>
    <w:rsid w:val="00355B15"/>
    <w:rsid w:val="00355BF6"/>
    <w:rsid w:val="00355D02"/>
    <w:rsid w:val="00356037"/>
    <w:rsid w:val="003560B3"/>
    <w:rsid w:val="00356317"/>
    <w:rsid w:val="00356C2C"/>
    <w:rsid w:val="00356D3D"/>
    <w:rsid w:val="00356FBC"/>
    <w:rsid w:val="00356FEF"/>
    <w:rsid w:val="003572BB"/>
    <w:rsid w:val="00357916"/>
    <w:rsid w:val="00360359"/>
    <w:rsid w:val="00360451"/>
    <w:rsid w:val="0036051B"/>
    <w:rsid w:val="00360628"/>
    <w:rsid w:val="003606DB"/>
    <w:rsid w:val="00360E74"/>
    <w:rsid w:val="00360EA5"/>
    <w:rsid w:val="00361BF3"/>
    <w:rsid w:val="00361EB3"/>
    <w:rsid w:val="003622E0"/>
    <w:rsid w:val="00362791"/>
    <w:rsid w:val="00362C3F"/>
    <w:rsid w:val="00363B67"/>
    <w:rsid w:val="00364344"/>
    <w:rsid w:val="0036459E"/>
    <w:rsid w:val="0036495E"/>
    <w:rsid w:val="00364B41"/>
    <w:rsid w:val="00364C10"/>
    <w:rsid w:val="00364DFC"/>
    <w:rsid w:val="0036509F"/>
    <w:rsid w:val="003651AC"/>
    <w:rsid w:val="00365402"/>
    <w:rsid w:val="00365AFB"/>
    <w:rsid w:val="00365F2B"/>
    <w:rsid w:val="003662FE"/>
    <w:rsid w:val="00366313"/>
    <w:rsid w:val="00366415"/>
    <w:rsid w:val="003665A5"/>
    <w:rsid w:val="00366906"/>
    <w:rsid w:val="003669CB"/>
    <w:rsid w:val="003670D5"/>
    <w:rsid w:val="0036716F"/>
    <w:rsid w:val="00367356"/>
    <w:rsid w:val="00367C14"/>
    <w:rsid w:val="00367C19"/>
    <w:rsid w:val="00367F2E"/>
    <w:rsid w:val="0037006B"/>
    <w:rsid w:val="00370185"/>
    <w:rsid w:val="003702DF"/>
    <w:rsid w:val="003705D5"/>
    <w:rsid w:val="00370650"/>
    <w:rsid w:val="00370651"/>
    <w:rsid w:val="00370961"/>
    <w:rsid w:val="00370B2E"/>
    <w:rsid w:val="00370E82"/>
    <w:rsid w:val="0037113D"/>
    <w:rsid w:val="0037131F"/>
    <w:rsid w:val="00371371"/>
    <w:rsid w:val="00371406"/>
    <w:rsid w:val="003719FD"/>
    <w:rsid w:val="00371ABB"/>
    <w:rsid w:val="00371B56"/>
    <w:rsid w:val="003720F9"/>
    <w:rsid w:val="00372795"/>
    <w:rsid w:val="003728AB"/>
    <w:rsid w:val="00372BB1"/>
    <w:rsid w:val="00372EB7"/>
    <w:rsid w:val="00373132"/>
    <w:rsid w:val="0037316A"/>
    <w:rsid w:val="00373527"/>
    <w:rsid w:val="00373744"/>
    <w:rsid w:val="00373A20"/>
    <w:rsid w:val="00373B62"/>
    <w:rsid w:val="00373CDD"/>
    <w:rsid w:val="00373FAD"/>
    <w:rsid w:val="00374061"/>
    <w:rsid w:val="00374075"/>
    <w:rsid w:val="003745A8"/>
    <w:rsid w:val="00374695"/>
    <w:rsid w:val="0037506F"/>
    <w:rsid w:val="00375076"/>
    <w:rsid w:val="00375712"/>
    <w:rsid w:val="00375911"/>
    <w:rsid w:val="00376229"/>
    <w:rsid w:val="00376572"/>
    <w:rsid w:val="00376651"/>
    <w:rsid w:val="003766B3"/>
    <w:rsid w:val="0037678A"/>
    <w:rsid w:val="00376A77"/>
    <w:rsid w:val="00376D5E"/>
    <w:rsid w:val="00377503"/>
    <w:rsid w:val="00377C15"/>
    <w:rsid w:val="00377E03"/>
    <w:rsid w:val="00380280"/>
    <w:rsid w:val="003804B7"/>
    <w:rsid w:val="00380719"/>
    <w:rsid w:val="00380C06"/>
    <w:rsid w:val="00380DBE"/>
    <w:rsid w:val="0038164B"/>
    <w:rsid w:val="003817B6"/>
    <w:rsid w:val="0038184F"/>
    <w:rsid w:val="0038210D"/>
    <w:rsid w:val="00382788"/>
    <w:rsid w:val="00382A22"/>
    <w:rsid w:val="00382C1F"/>
    <w:rsid w:val="00382C31"/>
    <w:rsid w:val="00383096"/>
    <w:rsid w:val="00383214"/>
    <w:rsid w:val="00383507"/>
    <w:rsid w:val="00383C47"/>
    <w:rsid w:val="00383FCA"/>
    <w:rsid w:val="00384240"/>
    <w:rsid w:val="00384D0C"/>
    <w:rsid w:val="00384D5B"/>
    <w:rsid w:val="003854BC"/>
    <w:rsid w:val="003856AD"/>
    <w:rsid w:val="003857D9"/>
    <w:rsid w:val="003859EF"/>
    <w:rsid w:val="00386B88"/>
    <w:rsid w:val="00386CB9"/>
    <w:rsid w:val="00386F6C"/>
    <w:rsid w:val="00386F6D"/>
    <w:rsid w:val="003870B6"/>
    <w:rsid w:val="0038726B"/>
    <w:rsid w:val="003876CF"/>
    <w:rsid w:val="00387786"/>
    <w:rsid w:val="0038791F"/>
    <w:rsid w:val="003879AD"/>
    <w:rsid w:val="00387C96"/>
    <w:rsid w:val="003900AD"/>
    <w:rsid w:val="00390390"/>
    <w:rsid w:val="003905FC"/>
    <w:rsid w:val="00391007"/>
    <w:rsid w:val="00391075"/>
    <w:rsid w:val="003914AD"/>
    <w:rsid w:val="003923A7"/>
    <w:rsid w:val="00392580"/>
    <w:rsid w:val="003925D2"/>
    <w:rsid w:val="003926A1"/>
    <w:rsid w:val="003929BE"/>
    <w:rsid w:val="00392B05"/>
    <w:rsid w:val="00392CAA"/>
    <w:rsid w:val="0039330B"/>
    <w:rsid w:val="0039346C"/>
    <w:rsid w:val="003935D1"/>
    <w:rsid w:val="00393703"/>
    <w:rsid w:val="0039389B"/>
    <w:rsid w:val="00393AA5"/>
    <w:rsid w:val="00393AC3"/>
    <w:rsid w:val="00393DEB"/>
    <w:rsid w:val="003941BF"/>
    <w:rsid w:val="00394959"/>
    <w:rsid w:val="00394AE2"/>
    <w:rsid w:val="00394AE9"/>
    <w:rsid w:val="00394B57"/>
    <w:rsid w:val="00394FA5"/>
    <w:rsid w:val="00395487"/>
    <w:rsid w:val="003954D4"/>
    <w:rsid w:val="00395583"/>
    <w:rsid w:val="003956F6"/>
    <w:rsid w:val="003957B9"/>
    <w:rsid w:val="00395A17"/>
    <w:rsid w:val="00395A56"/>
    <w:rsid w:val="00395B71"/>
    <w:rsid w:val="00396775"/>
    <w:rsid w:val="0039682B"/>
    <w:rsid w:val="00396881"/>
    <w:rsid w:val="00396D1B"/>
    <w:rsid w:val="00396ED1"/>
    <w:rsid w:val="00396F4A"/>
    <w:rsid w:val="00396FD7"/>
    <w:rsid w:val="00397446"/>
    <w:rsid w:val="003978D3"/>
    <w:rsid w:val="00397923"/>
    <w:rsid w:val="00397F36"/>
    <w:rsid w:val="003A03BF"/>
    <w:rsid w:val="003A0470"/>
    <w:rsid w:val="003A047D"/>
    <w:rsid w:val="003A05F7"/>
    <w:rsid w:val="003A0752"/>
    <w:rsid w:val="003A08B4"/>
    <w:rsid w:val="003A0C75"/>
    <w:rsid w:val="003A0E3F"/>
    <w:rsid w:val="003A0FF6"/>
    <w:rsid w:val="003A1339"/>
    <w:rsid w:val="003A1AB9"/>
    <w:rsid w:val="003A271A"/>
    <w:rsid w:val="003A2DA4"/>
    <w:rsid w:val="003A3253"/>
    <w:rsid w:val="003A3562"/>
    <w:rsid w:val="003A39A6"/>
    <w:rsid w:val="003A3B33"/>
    <w:rsid w:val="003A3BE5"/>
    <w:rsid w:val="003A3C10"/>
    <w:rsid w:val="003A3F92"/>
    <w:rsid w:val="003A41EF"/>
    <w:rsid w:val="003A4334"/>
    <w:rsid w:val="003A4453"/>
    <w:rsid w:val="003A488B"/>
    <w:rsid w:val="003A48BB"/>
    <w:rsid w:val="003A4D15"/>
    <w:rsid w:val="003A4ED8"/>
    <w:rsid w:val="003A53AE"/>
    <w:rsid w:val="003A5733"/>
    <w:rsid w:val="003A58C2"/>
    <w:rsid w:val="003A59EC"/>
    <w:rsid w:val="003A65C6"/>
    <w:rsid w:val="003A6CDA"/>
    <w:rsid w:val="003A7001"/>
    <w:rsid w:val="003A71A7"/>
    <w:rsid w:val="003A71D3"/>
    <w:rsid w:val="003A736B"/>
    <w:rsid w:val="003A7DF2"/>
    <w:rsid w:val="003A7E92"/>
    <w:rsid w:val="003B013D"/>
    <w:rsid w:val="003B04F3"/>
    <w:rsid w:val="003B08EB"/>
    <w:rsid w:val="003B0B44"/>
    <w:rsid w:val="003B1944"/>
    <w:rsid w:val="003B19E8"/>
    <w:rsid w:val="003B1A70"/>
    <w:rsid w:val="003B1C47"/>
    <w:rsid w:val="003B1DFD"/>
    <w:rsid w:val="003B2424"/>
    <w:rsid w:val="003B272D"/>
    <w:rsid w:val="003B2E93"/>
    <w:rsid w:val="003B32F0"/>
    <w:rsid w:val="003B3911"/>
    <w:rsid w:val="003B3B43"/>
    <w:rsid w:val="003B3D92"/>
    <w:rsid w:val="003B3DAD"/>
    <w:rsid w:val="003B40AD"/>
    <w:rsid w:val="003B4416"/>
    <w:rsid w:val="003B45BC"/>
    <w:rsid w:val="003B4891"/>
    <w:rsid w:val="003B545B"/>
    <w:rsid w:val="003B5699"/>
    <w:rsid w:val="003B56B7"/>
    <w:rsid w:val="003B5966"/>
    <w:rsid w:val="003B597C"/>
    <w:rsid w:val="003B5DFF"/>
    <w:rsid w:val="003B5F5B"/>
    <w:rsid w:val="003B6179"/>
    <w:rsid w:val="003B61EC"/>
    <w:rsid w:val="003B64AC"/>
    <w:rsid w:val="003B669D"/>
    <w:rsid w:val="003B6871"/>
    <w:rsid w:val="003B6A5E"/>
    <w:rsid w:val="003B6B61"/>
    <w:rsid w:val="003B6C85"/>
    <w:rsid w:val="003B6C96"/>
    <w:rsid w:val="003B6CCF"/>
    <w:rsid w:val="003B6D3E"/>
    <w:rsid w:val="003B6FB7"/>
    <w:rsid w:val="003B70A2"/>
    <w:rsid w:val="003B74E6"/>
    <w:rsid w:val="003B7907"/>
    <w:rsid w:val="003B7ACB"/>
    <w:rsid w:val="003C0313"/>
    <w:rsid w:val="003C03C9"/>
    <w:rsid w:val="003C0655"/>
    <w:rsid w:val="003C09FD"/>
    <w:rsid w:val="003C0A64"/>
    <w:rsid w:val="003C0C09"/>
    <w:rsid w:val="003C0E46"/>
    <w:rsid w:val="003C11EB"/>
    <w:rsid w:val="003C1302"/>
    <w:rsid w:val="003C15DC"/>
    <w:rsid w:val="003C1D38"/>
    <w:rsid w:val="003C2272"/>
    <w:rsid w:val="003C26A3"/>
    <w:rsid w:val="003C327F"/>
    <w:rsid w:val="003C3586"/>
    <w:rsid w:val="003C35C9"/>
    <w:rsid w:val="003C3EC0"/>
    <w:rsid w:val="003C4538"/>
    <w:rsid w:val="003C469B"/>
    <w:rsid w:val="003C4D91"/>
    <w:rsid w:val="003C4E37"/>
    <w:rsid w:val="003C5740"/>
    <w:rsid w:val="003C5881"/>
    <w:rsid w:val="003C64B7"/>
    <w:rsid w:val="003C6587"/>
    <w:rsid w:val="003C678E"/>
    <w:rsid w:val="003C6985"/>
    <w:rsid w:val="003C6C5E"/>
    <w:rsid w:val="003C6C86"/>
    <w:rsid w:val="003C6D7E"/>
    <w:rsid w:val="003C70A7"/>
    <w:rsid w:val="003C7B7B"/>
    <w:rsid w:val="003C7DC7"/>
    <w:rsid w:val="003C7EC2"/>
    <w:rsid w:val="003C7F0A"/>
    <w:rsid w:val="003D0340"/>
    <w:rsid w:val="003D07AA"/>
    <w:rsid w:val="003D0E72"/>
    <w:rsid w:val="003D0FD0"/>
    <w:rsid w:val="003D121C"/>
    <w:rsid w:val="003D163B"/>
    <w:rsid w:val="003D164A"/>
    <w:rsid w:val="003D1C2A"/>
    <w:rsid w:val="003D1FD1"/>
    <w:rsid w:val="003D2088"/>
    <w:rsid w:val="003D2407"/>
    <w:rsid w:val="003D2673"/>
    <w:rsid w:val="003D32F8"/>
    <w:rsid w:val="003D3376"/>
    <w:rsid w:val="003D3BCA"/>
    <w:rsid w:val="003D460F"/>
    <w:rsid w:val="003D4644"/>
    <w:rsid w:val="003D47FE"/>
    <w:rsid w:val="003D489E"/>
    <w:rsid w:val="003D4A3F"/>
    <w:rsid w:val="003D4CDA"/>
    <w:rsid w:val="003D4FC6"/>
    <w:rsid w:val="003D4FF5"/>
    <w:rsid w:val="003D5350"/>
    <w:rsid w:val="003D576E"/>
    <w:rsid w:val="003D60E0"/>
    <w:rsid w:val="003D61AB"/>
    <w:rsid w:val="003D62F8"/>
    <w:rsid w:val="003D667C"/>
    <w:rsid w:val="003D6B42"/>
    <w:rsid w:val="003D6C8D"/>
    <w:rsid w:val="003D6CCE"/>
    <w:rsid w:val="003D6FE6"/>
    <w:rsid w:val="003D704B"/>
    <w:rsid w:val="003D78DB"/>
    <w:rsid w:val="003D7AAB"/>
    <w:rsid w:val="003D7CA7"/>
    <w:rsid w:val="003D7D7A"/>
    <w:rsid w:val="003D7E7C"/>
    <w:rsid w:val="003D7F08"/>
    <w:rsid w:val="003E03DD"/>
    <w:rsid w:val="003E0870"/>
    <w:rsid w:val="003E0E16"/>
    <w:rsid w:val="003E16BE"/>
    <w:rsid w:val="003E1CB2"/>
    <w:rsid w:val="003E1E4B"/>
    <w:rsid w:val="003E1E9D"/>
    <w:rsid w:val="003E2B28"/>
    <w:rsid w:val="003E2E43"/>
    <w:rsid w:val="003E302A"/>
    <w:rsid w:val="003E324C"/>
    <w:rsid w:val="003E36B9"/>
    <w:rsid w:val="003E377D"/>
    <w:rsid w:val="003E3BB0"/>
    <w:rsid w:val="003E43A2"/>
    <w:rsid w:val="003E459F"/>
    <w:rsid w:val="003E4755"/>
    <w:rsid w:val="003E4A9F"/>
    <w:rsid w:val="003E4CAE"/>
    <w:rsid w:val="003E5459"/>
    <w:rsid w:val="003E57E9"/>
    <w:rsid w:val="003E5911"/>
    <w:rsid w:val="003E5E34"/>
    <w:rsid w:val="003E5E3F"/>
    <w:rsid w:val="003E6192"/>
    <w:rsid w:val="003E6583"/>
    <w:rsid w:val="003E692A"/>
    <w:rsid w:val="003E6A37"/>
    <w:rsid w:val="003E7890"/>
    <w:rsid w:val="003E7D8B"/>
    <w:rsid w:val="003E7DD1"/>
    <w:rsid w:val="003E7FF6"/>
    <w:rsid w:val="003F0352"/>
    <w:rsid w:val="003F08E2"/>
    <w:rsid w:val="003F09AE"/>
    <w:rsid w:val="003F0BBA"/>
    <w:rsid w:val="003F165E"/>
    <w:rsid w:val="003F1677"/>
    <w:rsid w:val="003F1725"/>
    <w:rsid w:val="003F19AD"/>
    <w:rsid w:val="003F1BA3"/>
    <w:rsid w:val="003F2146"/>
    <w:rsid w:val="003F2326"/>
    <w:rsid w:val="003F2389"/>
    <w:rsid w:val="003F2552"/>
    <w:rsid w:val="003F2A0A"/>
    <w:rsid w:val="003F2E85"/>
    <w:rsid w:val="003F30FF"/>
    <w:rsid w:val="003F3606"/>
    <w:rsid w:val="003F3F9C"/>
    <w:rsid w:val="003F4166"/>
    <w:rsid w:val="003F4499"/>
    <w:rsid w:val="003F46C2"/>
    <w:rsid w:val="003F4B9A"/>
    <w:rsid w:val="003F4DAB"/>
    <w:rsid w:val="003F4E28"/>
    <w:rsid w:val="003F4F83"/>
    <w:rsid w:val="003F5181"/>
    <w:rsid w:val="003F5363"/>
    <w:rsid w:val="003F53EF"/>
    <w:rsid w:val="003F5555"/>
    <w:rsid w:val="003F55C2"/>
    <w:rsid w:val="003F566A"/>
    <w:rsid w:val="003F586F"/>
    <w:rsid w:val="003F5FB7"/>
    <w:rsid w:val="003F7204"/>
    <w:rsid w:val="003F7636"/>
    <w:rsid w:val="003F76B6"/>
    <w:rsid w:val="003F7C38"/>
    <w:rsid w:val="003F7DD9"/>
    <w:rsid w:val="003F7EBA"/>
    <w:rsid w:val="00400095"/>
    <w:rsid w:val="00400266"/>
    <w:rsid w:val="004006E8"/>
    <w:rsid w:val="0040084A"/>
    <w:rsid w:val="0040086E"/>
    <w:rsid w:val="004010E4"/>
    <w:rsid w:val="00401855"/>
    <w:rsid w:val="00401A94"/>
    <w:rsid w:val="00401E70"/>
    <w:rsid w:val="004022B4"/>
    <w:rsid w:val="004022F8"/>
    <w:rsid w:val="00402521"/>
    <w:rsid w:val="004026D8"/>
    <w:rsid w:val="00402AB0"/>
    <w:rsid w:val="00402CA7"/>
    <w:rsid w:val="00402CD5"/>
    <w:rsid w:val="00402F0D"/>
    <w:rsid w:val="0040310D"/>
    <w:rsid w:val="00403805"/>
    <w:rsid w:val="0040385F"/>
    <w:rsid w:val="00403ACC"/>
    <w:rsid w:val="00403C3F"/>
    <w:rsid w:val="00403D93"/>
    <w:rsid w:val="00403E4D"/>
    <w:rsid w:val="0040408A"/>
    <w:rsid w:val="00404B47"/>
    <w:rsid w:val="00404B8A"/>
    <w:rsid w:val="00404FDA"/>
    <w:rsid w:val="004053DC"/>
    <w:rsid w:val="0040542E"/>
    <w:rsid w:val="00405597"/>
    <w:rsid w:val="00405C20"/>
    <w:rsid w:val="00405ED5"/>
    <w:rsid w:val="004062A1"/>
    <w:rsid w:val="0040655C"/>
    <w:rsid w:val="00406756"/>
    <w:rsid w:val="004069A9"/>
    <w:rsid w:val="00406B0D"/>
    <w:rsid w:val="00406DC3"/>
    <w:rsid w:val="00407019"/>
    <w:rsid w:val="004075A7"/>
    <w:rsid w:val="00407700"/>
    <w:rsid w:val="00407EE4"/>
    <w:rsid w:val="00410213"/>
    <w:rsid w:val="00410287"/>
    <w:rsid w:val="00410377"/>
    <w:rsid w:val="0041039E"/>
    <w:rsid w:val="00410A69"/>
    <w:rsid w:val="0041116F"/>
    <w:rsid w:val="00411314"/>
    <w:rsid w:val="004117BE"/>
    <w:rsid w:val="00411E47"/>
    <w:rsid w:val="0041232D"/>
    <w:rsid w:val="00412A9A"/>
    <w:rsid w:val="00412C2F"/>
    <w:rsid w:val="00412C47"/>
    <w:rsid w:val="00412C83"/>
    <w:rsid w:val="00413228"/>
    <w:rsid w:val="00413842"/>
    <w:rsid w:val="0041391B"/>
    <w:rsid w:val="00413CC2"/>
    <w:rsid w:val="00413ED7"/>
    <w:rsid w:val="00414520"/>
    <w:rsid w:val="00414B0B"/>
    <w:rsid w:val="00414D53"/>
    <w:rsid w:val="00414E69"/>
    <w:rsid w:val="00414F67"/>
    <w:rsid w:val="00415090"/>
    <w:rsid w:val="0041588B"/>
    <w:rsid w:val="00415901"/>
    <w:rsid w:val="00415C4D"/>
    <w:rsid w:val="00416598"/>
    <w:rsid w:val="004165B3"/>
    <w:rsid w:val="004166C9"/>
    <w:rsid w:val="00416839"/>
    <w:rsid w:val="00416AB0"/>
    <w:rsid w:val="00417260"/>
    <w:rsid w:val="004173FF"/>
    <w:rsid w:val="00417512"/>
    <w:rsid w:val="0041784C"/>
    <w:rsid w:val="00420296"/>
    <w:rsid w:val="004202F9"/>
    <w:rsid w:val="004203A8"/>
    <w:rsid w:val="00420403"/>
    <w:rsid w:val="00420544"/>
    <w:rsid w:val="004208F6"/>
    <w:rsid w:val="004209FB"/>
    <w:rsid w:val="00420BE1"/>
    <w:rsid w:val="00421284"/>
    <w:rsid w:val="00421628"/>
    <w:rsid w:val="00421690"/>
    <w:rsid w:val="004217F0"/>
    <w:rsid w:val="00421EA6"/>
    <w:rsid w:val="0042353A"/>
    <w:rsid w:val="00423D88"/>
    <w:rsid w:val="0042408C"/>
    <w:rsid w:val="00424188"/>
    <w:rsid w:val="0042460A"/>
    <w:rsid w:val="00424ACD"/>
    <w:rsid w:val="00424AEA"/>
    <w:rsid w:val="00424F3B"/>
    <w:rsid w:val="00424FFD"/>
    <w:rsid w:val="0042526C"/>
    <w:rsid w:val="00425646"/>
    <w:rsid w:val="0042574B"/>
    <w:rsid w:val="00425902"/>
    <w:rsid w:val="004259B5"/>
    <w:rsid w:val="00425D81"/>
    <w:rsid w:val="00425F63"/>
    <w:rsid w:val="00426B6E"/>
    <w:rsid w:val="004270D9"/>
    <w:rsid w:val="004271FB"/>
    <w:rsid w:val="004273D7"/>
    <w:rsid w:val="0042743D"/>
    <w:rsid w:val="004278E3"/>
    <w:rsid w:val="00427986"/>
    <w:rsid w:val="00427B0D"/>
    <w:rsid w:val="00427C9A"/>
    <w:rsid w:val="00427E5F"/>
    <w:rsid w:val="00427ECF"/>
    <w:rsid w:val="00427FCF"/>
    <w:rsid w:val="004302AD"/>
    <w:rsid w:val="00430BEC"/>
    <w:rsid w:val="00430F9C"/>
    <w:rsid w:val="00431015"/>
    <w:rsid w:val="0043112C"/>
    <w:rsid w:val="0043132F"/>
    <w:rsid w:val="00431696"/>
    <w:rsid w:val="004316CC"/>
    <w:rsid w:val="00431C5A"/>
    <w:rsid w:val="00431C5E"/>
    <w:rsid w:val="00431C64"/>
    <w:rsid w:val="00431CC7"/>
    <w:rsid w:val="00431E8E"/>
    <w:rsid w:val="004324D8"/>
    <w:rsid w:val="004324F3"/>
    <w:rsid w:val="0043258F"/>
    <w:rsid w:val="004327A6"/>
    <w:rsid w:val="004333BC"/>
    <w:rsid w:val="004337DB"/>
    <w:rsid w:val="00433A69"/>
    <w:rsid w:val="00433D18"/>
    <w:rsid w:val="0043403E"/>
    <w:rsid w:val="00434616"/>
    <w:rsid w:val="00434786"/>
    <w:rsid w:val="00434922"/>
    <w:rsid w:val="00434C8B"/>
    <w:rsid w:val="004354A1"/>
    <w:rsid w:val="004357FE"/>
    <w:rsid w:val="00435936"/>
    <w:rsid w:val="00435D3C"/>
    <w:rsid w:val="00435E07"/>
    <w:rsid w:val="00435E94"/>
    <w:rsid w:val="00435F95"/>
    <w:rsid w:val="00436C17"/>
    <w:rsid w:val="00436E3C"/>
    <w:rsid w:val="00436FDB"/>
    <w:rsid w:val="0043792F"/>
    <w:rsid w:val="0043796F"/>
    <w:rsid w:val="0043798F"/>
    <w:rsid w:val="0044007F"/>
    <w:rsid w:val="00440412"/>
    <w:rsid w:val="004408D4"/>
    <w:rsid w:val="00440C70"/>
    <w:rsid w:val="00440CAA"/>
    <w:rsid w:val="00440CD3"/>
    <w:rsid w:val="00441124"/>
    <w:rsid w:val="0044143F"/>
    <w:rsid w:val="00441679"/>
    <w:rsid w:val="00441976"/>
    <w:rsid w:val="00441F6B"/>
    <w:rsid w:val="0044266F"/>
    <w:rsid w:val="00442A42"/>
    <w:rsid w:val="0044351A"/>
    <w:rsid w:val="00443674"/>
    <w:rsid w:val="00443877"/>
    <w:rsid w:val="00443B6D"/>
    <w:rsid w:val="004444AD"/>
    <w:rsid w:val="004447E8"/>
    <w:rsid w:val="00444915"/>
    <w:rsid w:val="00444B1E"/>
    <w:rsid w:val="004450A0"/>
    <w:rsid w:val="004450C0"/>
    <w:rsid w:val="00445BCC"/>
    <w:rsid w:val="00445BD6"/>
    <w:rsid w:val="00445FBC"/>
    <w:rsid w:val="00446082"/>
    <w:rsid w:val="00446140"/>
    <w:rsid w:val="004464F3"/>
    <w:rsid w:val="0044679E"/>
    <w:rsid w:val="00446929"/>
    <w:rsid w:val="004469EB"/>
    <w:rsid w:val="00446A02"/>
    <w:rsid w:val="00446BA7"/>
    <w:rsid w:val="00446C3A"/>
    <w:rsid w:val="00446D33"/>
    <w:rsid w:val="0044710B"/>
    <w:rsid w:val="0044722D"/>
    <w:rsid w:val="004472EC"/>
    <w:rsid w:val="00447459"/>
    <w:rsid w:val="0044772D"/>
    <w:rsid w:val="004479BF"/>
    <w:rsid w:val="0045001E"/>
    <w:rsid w:val="00450279"/>
    <w:rsid w:val="00450658"/>
    <w:rsid w:val="00450826"/>
    <w:rsid w:val="00450BA3"/>
    <w:rsid w:val="00450C8C"/>
    <w:rsid w:val="00450F31"/>
    <w:rsid w:val="00451076"/>
    <w:rsid w:val="0045118C"/>
    <w:rsid w:val="004511A2"/>
    <w:rsid w:val="004514B9"/>
    <w:rsid w:val="004514C1"/>
    <w:rsid w:val="00451A3F"/>
    <w:rsid w:val="00451B23"/>
    <w:rsid w:val="00451DD9"/>
    <w:rsid w:val="00451F19"/>
    <w:rsid w:val="004520A0"/>
    <w:rsid w:val="00452AC1"/>
    <w:rsid w:val="00453773"/>
    <w:rsid w:val="00453FD0"/>
    <w:rsid w:val="004544C8"/>
    <w:rsid w:val="004544CB"/>
    <w:rsid w:val="00454C7F"/>
    <w:rsid w:val="00454CF9"/>
    <w:rsid w:val="00454E10"/>
    <w:rsid w:val="00455175"/>
    <w:rsid w:val="0045561B"/>
    <w:rsid w:val="00455A7F"/>
    <w:rsid w:val="00455E22"/>
    <w:rsid w:val="00456103"/>
    <w:rsid w:val="0045628E"/>
    <w:rsid w:val="0045653E"/>
    <w:rsid w:val="00456908"/>
    <w:rsid w:val="00456AA9"/>
    <w:rsid w:val="00456D05"/>
    <w:rsid w:val="00456DB8"/>
    <w:rsid w:val="0045716F"/>
    <w:rsid w:val="004571C6"/>
    <w:rsid w:val="004573B4"/>
    <w:rsid w:val="00457490"/>
    <w:rsid w:val="0045794A"/>
    <w:rsid w:val="00457EB7"/>
    <w:rsid w:val="00460735"/>
    <w:rsid w:val="00460AB8"/>
    <w:rsid w:val="00460F97"/>
    <w:rsid w:val="00460FBF"/>
    <w:rsid w:val="004611B9"/>
    <w:rsid w:val="00461405"/>
    <w:rsid w:val="0046176F"/>
    <w:rsid w:val="00461974"/>
    <w:rsid w:val="00461EDA"/>
    <w:rsid w:val="00461EF5"/>
    <w:rsid w:val="0046225C"/>
    <w:rsid w:val="0046278D"/>
    <w:rsid w:val="00462ACC"/>
    <w:rsid w:val="00462DDF"/>
    <w:rsid w:val="00462EE2"/>
    <w:rsid w:val="00462F0B"/>
    <w:rsid w:val="004630DA"/>
    <w:rsid w:val="00463350"/>
    <w:rsid w:val="00463B52"/>
    <w:rsid w:val="00463CFF"/>
    <w:rsid w:val="00463D5B"/>
    <w:rsid w:val="0046460D"/>
    <w:rsid w:val="0046480E"/>
    <w:rsid w:val="00464A0B"/>
    <w:rsid w:val="0046534C"/>
    <w:rsid w:val="00465354"/>
    <w:rsid w:val="00465587"/>
    <w:rsid w:val="004661C4"/>
    <w:rsid w:val="00466264"/>
    <w:rsid w:val="004662A1"/>
    <w:rsid w:val="004667C0"/>
    <w:rsid w:val="00466A5A"/>
    <w:rsid w:val="00466D42"/>
    <w:rsid w:val="0046709C"/>
    <w:rsid w:val="00467713"/>
    <w:rsid w:val="00467731"/>
    <w:rsid w:val="004679A9"/>
    <w:rsid w:val="0047054D"/>
    <w:rsid w:val="0047072A"/>
    <w:rsid w:val="00470939"/>
    <w:rsid w:val="00470C54"/>
    <w:rsid w:val="0047143F"/>
    <w:rsid w:val="00471819"/>
    <w:rsid w:val="004719B1"/>
    <w:rsid w:val="00471F46"/>
    <w:rsid w:val="004726A5"/>
    <w:rsid w:val="00472A07"/>
    <w:rsid w:val="00472A22"/>
    <w:rsid w:val="00472F4F"/>
    <w:rsid w:val="00473427"/>
    <w:rsid w:val="00473511"/>
    <w:rsid w:val="004736E8"/>
    <w:rsid w:val="0047374C"/>
    <w:rsid w:val="00473C81"/>
    <w:rsid w:val="004741CA"/>
    <w:rsid w:val="00474352"/>
    <w:rsid w:val="00474523"/>
    <w:rsid w:val="00474F18"/>
    <w:rsid w:val="00474FDC"/>
    <w:rsid w:val="0047519B"/>
    <w:rsid w:val="00475703"/>
    <w:rsid w:val="00476791"/>
    <w:rsid w:val="004772E3"/>
    <w:rsid w:val="004773C2"/>
    <w:rsid w:val="00477455"/>
    <w:rsid w:val="00477ACA"/>
    <w:rsid w:val="00477F76"/>
    <w:rsid w:val="00480383"/>
    <w:rsid w:val="00480415"/>
    <w:rsid w:val="004804F0"/>
    <w:rsid w:val="004808C9"/>
    <w:rsid w:val="0048113F"/>
    <w:rsid w:val="0048127F"/>
    <w:rsid w:val="00481343"/>
    <w:rsid w:val="0048136D"/>
    <w:rsid w:val="00481773"/>
    <w:rsid w:val="00481C27"/>
    <w:rsid w:val="00481CB8"/>
    <w:rsid w:val="004824A7"/>
    <w:rsid w:val="004827E7"/>
    <w:rsid w:val="0048287F"/>
    <w:rsid w:val="00482C9E"/>
    <w:rsid w:val="00482EF1"/>
    <w:rsid w:val="00482F59"/>
    <w:rsid w:val="004835AF"/>
    <w:rsid w:val="00483BD1"/>
    <w:rsid w:val="00483E79"/>
    <w:rsid w:val="0048428B"/>
    <w:rsid w:val="00484998"/>
    <w:rsid w:val="00484FFF"/>
    <w:rsid w:val="0048540E"/>
    <w:rsid w:val="00485527"/>
    <w:rsid w:val="004855EA"/>
    <w:rsid w:val="00485656"/>
    <w:rsid w:val="004859D5"/>
    <w:rsid w:val="00485E0E"/>
    <w:rsid w:val="00486285"/>
    <w:rsid w:val="004862E6"/>
    <w:rsid w:val="004863D8"/>
    <w:rsid w:val="00486711"/>
    <w:rsid w:val="00486E6A"/>
    <w:rsid w:val="0048787E"/>
    <w:rsid w:val="00487888"/>
    <w:rsid w:val="004878BE"/>
    <w:rsid w:val="00487937"/>
    <w:rsid w:val="004901B1"/>
    <w:rsid w:val="00490271"/>
    <w:rsid w:val="00490B78"/>
    <w:rsid w:val="00490BA3"/>
    <w:rsid w:val="00490D25"/>
    <w:rsid w:val="00490DDF"/>
    <w:rsid w:val="004912A7"/>
    <w:rsid w:val="0049133A"/>
    <w:rsid w:val="0049137E"/>
    <w:rsid w:val="00491597"/>
    <w:rsid w:val="00491771"/>
    <w:rsid w:val="00491844"/>
    <w:rsid w:val="00491D2A"/>
    <w:rsid w:val="00491D4C"/>
    <w:rsid w:val="0049283C"/>
    <w:rsid w:val="00492F82"/>
    <w:rsid w:val="00492FE6"/>
    <w:rsid w:val="004931FE"/>
    <w:rsid w:val="0049332D"/>
    <w:rsid w:val="004935BB"/>
    <w:rsid w:val="0049389A"/>
    <w:rsid w:val="00493A0B"/>
    <w:rsid w:val="00493DDA"/>
    <w:rsid w:val="00493FA2"/>
    <w:rsid w:val="00493FDD"/>
    <w:rsid w:val="0049457F"/>
    <w:rsid w:val="004949F2"/>
    <w:rsid w:val="00494BFA"/>
    <w:rsid w:val="00494DD5"/>
    <w:rsid w:val="00495199"/>
    <w:rsid w:val="004953DC"/>
    <w:rsid w:val="004959DA"/>
    <w:rsid w:val="00495AC6"/>
    <w:rsid w:val="004963D0"/>
    <w:rsid w:val="004967A2"/>
    <w:rsid w:val="0049690F"/>
    <w:rsid w:val="00496953"/>
    <w:rsid w:val="004969D2"/>
    <w:rsid w:val="00496E08"/>
    <w:rsid w:val="004971BF"/>
    <w:rsid w:val="00497EB4"/>
    <w:rsid w:val="00497F81"/>
    <w:rsid w:val="004A0041"/>
    <w:rsid w:val="004A06DE"/>
    <w:rsid w:val="004A0872"/>
    <w:rsid w:val="004A0993"/>
    <w:rsid w:val="004A1135"/>
    <w:rsid w:val="004A124F"/>
    <w:rsid w:val="004A13E7"/>
    <w:rsid w:val="004A1F7B"/>
    <w:rsid w:val="004A2242"/>
    <w:rsid w:val="004A24DA"/>
    <w:rsid w:val="004A2974"/>
    <w:rsid w:val="004A2A43"/>
    <w:rsid w:val="004A2D4F"/>
    <w:rsid w:val="004A37E6"/>
    <w:rsid w:val="004A417F"/>
    <w:rsid w:val="004A440B"/>
    <w:rsid w:val="004A44FF"/>
    <w:rsid w:val="004A4735"/>
    <w:rsid w:val="004A4740"/>
    <w:rsid w:val="004A4AD5"/>
    <w:rsid w:val="004A4BE9"/>
    <w:rsid w:val="004A50E4"/>
    <w:rsid w:val="004A5266"/>
    <w:rsid w:val="004A56C9"/>
    <w:rsid w:val="004A56D0"/>
    <w:rsid w:val="004A571B"/>
    <w:rsid w:val="004A59BD"/>
    <w:rsid w:val="004A5C18"/>
    <w:rsid w:val="004A5F2B"/>
    <w:rsid w:val="004A622E"/>
    <w:rsid w:val="004A658C"/>
    <w:rsid w:val="004A678F"/>
    <w:rsid w:val="004A67C4"/>
    <w:rsid w:val="004A6807"/>
    <w:rsid w:val="004A6AF2"/>
    <w:rsid w:val="004A6E3D"/>
    <w:rsid w:val="004A6ECB"/>
    <w:rsid w:val="004A6F8C"/>
    <w:rsid w:val="004A728B"/>
    <w:rsid w:val="004A7301"/>
    <w:rsid w:val="004A73A2"/>
    <w:rsid w:val="004A76B8"/>
    <w:rsid w:val="004A7F60"/>
    <w:rsid w:val="004B015C"/>
    <w:rsid w:val="004B0200"/>
    <w:rsid w:val="004B04B9"/>
    <w:rsid w:val="004B051C"/>
    <w:rsid w:val="004B0CE3"/>
    <w:rsid w:val="004B0DCD"/>
    <w:rsid w:val="004B0E02"/>
    <w:rsid w:val="004B0E49"/>
    <w:rsid w:val="004B1A69"/>
    <w:rsid w:val="004B1A8E"/>
    <w:rsid w:val="004B1DF7"/>
    <w:rsid w:val="004B2A90"/>
    <w:rsid w:val="004B2DD4"/>
    <w:rsid w:val="004B30A0"/>
    <w:rsid w:val="004B3424"/>
    <w:rsid w:val="004B37B7"/>
    <w:rsid w:val="004B3816"/>
    <w:rsid w:val="004B3BC8"/>
    <w:rsid w:val="004B408D"/>
    <w:rsid w:val="004B40D3"/>
    <w:rsid w:val="004B421D"/>
    <w:rsid w:val="004B4616"/>
    <w:rsid w:val="004B46E1"/>
    <w:rsid w:val="004B488E"/>
    <w:rsid w:val="004B546B"/>
    <w:rsid w:val="004B54B0"/>
    <w:rsid w:val="004B5837"/>
    <w:rsid w:val="004B58EB"/>
    <w:rsid w:val="004B59C8"/>
    <w:rsid w:val="004B59F7"/>
    <w:rsid w:val="004B5A2A"/>
    <w:rsid w:val="004B5A78"/>
    <w:rsid w:val="004B5E7C"/>
    <w:rsid w:val="004B5ED8"/>
    <w:rsid w:val="004B6126"/>
    <w:rsid w:val="004B6527"/>
    <w:rsid w:val="004B6B96"/>
    <w:rsid w:val="004B6BBE"/>
    <w:rsid w:val="004B6E25"/>
    <w:rsid w:val="004B7334"/>
    <w:rsid w:val="004B7B66"/>
    <w:rsid w:val="004B7D6E"/>
    <w:rsid w:val="004C0037"/>
    <w:rsid w:val="004C013B"/>
    <w:rsid w:val="004C01A4"/>
    <w:rsid w:val="004C02F3"/>
    <w:rsid w:val="004C042B"/>
    <w:rsid w:val="004C0502"/>
    <w:rsid w:val="004C0558"/>
    <w:rsid w:val="004C09E1"/>
    <w:rsid w:val="004C0E95"/>
    <w:rsid w:val="004C0F00"/>
    <w:rsid w:val="004C0F2F"/>
    <w:rsid w:val="004C10BB"/>
    <w:rsid w:val="004C1948"/>
    <w:rsid w:val="004C1952"/>
    <w:rsid w:val="004C1A45"/>
    <w:rsid w:val="004C1BBA"/>
    <w:rsid w:val="004C1BEF"/>
    <w:rsid w:val="004C1C5C"/>
    <w:rsid w:val="004C1EF9"/>
    <w:rsid w:val="004C20EA"/>
    <w:rsid w:val="004C223B"/>
    <w:rsid w:val="004C23B4"/>
    <w:rsid w:val="004C24A6"/>
    <w:rsid w:val="004C24E9"/>
    <w:rsid w:val="004C298D"/>
    <w:rsid w:val="004C29D3"/>
    <w:rsid w:val="004C2E07"/>
    <w:rsid w:val="004C32ED"/>
    <w:rsid w:val="004C36FE"/>
    <w:rsid w:val="004C3BA3"/>
    <w:rsid w:val="004C421A"/>
    <w:rsid w:val="004C445D"/>
    <w:rsid w:val="004C4472"/>
    <w:rsid w:val="004C44D2"/>
    <w:rsid w:val="004C46C2"/>
    <w:rsid w:val="004C46F7"/>
    <w:rsid w:val="004C4F50"/>
    <w:rsid w:val="004C5031"/>
    <w:rsid w:val="004C5097"/>
    <w:rsid w:val="004C5301"/>
    <w:rsid w:val="004C5963"/>
    <w:rsid w:val="004C5B1D"/>
    <w:rsid w:val="004C6210"/>
    <w:rsid w:val="004C62D2"/>
    <w:rsid w:val="004C6368"/>
    <w:rsid w:val="004C66B9"/>
    <w:rsid w:val="004C6CB3"/>
    <w:rsid w:val="004C6F24"/>
    <w:rsid w:val="004C73DF"/>
    <w:rsid w:val="004C741E"/>
    <w:rsid w:val="004C74BA"/>
    <w:rsid w:val="004C7903"/>
    <w:rsid w:val="004C7AED"/>
    <w:rsid w:val="004D0549"/>
    <w:rsid w:val="004D0DE6"/>
    <w:rsid w:val="004D1B3A"/>
    <w:rsid w:val="004D1F1A"/>
    <w:rsid w:val="004D2034"/>
    <w:rsid w:val="004D2102"/>
    <w:rsid w:val="004D22C2"/>
    <w:rsid w:val="004D2429"/>
    <w:rsid w:val="004D26FD"/>
    <w:rsid w:val="004D28B1"/>
    <w:rsid w:val="004D2DF6"/>
    <w:rsid w:val="004D312D"/>
    <w:rsid w:val="004D3219"/>
    <w:rsid w:val="004D3341"/>
    <w:rsid w:val="004D346E"/>
    <w:rsid w:val="004D3484"/>
    <w:rsid w:val="004D3493"/>
    <w:rsid w:val="004D3578"/>
    <w:rsid w:val="004D380D"/>
    <w:rsid w:val="004D3904"/>
    <w:rsid w:val="004D3D18"/>
    <w:rsid w:val="004D3EE9"/>
    <w:rsid w:val="004D50EC"/>
    <w:rsid w:val="004D5710"/>
    <w:rsid w:val="004D579B"/>
    <w:rsid w:val="004D5822"/>
    <w:rsid w:val="004D5B20"/>
    <w:rsid w:val="004D5CA3"/>
    <w:rsid w:val="004D61B3"/>
    <w:rsid w:val="004D65E0"/>
    <w:rsid w:val="004D66FF"/>
    <w:rsid w:val="004D67DD"/>
    <w:rsid w:val="004D68DC"/>
    <w:rsid w:val="004D6AAF"/>
    <w:rsid w:val="004D6C44"/>
    <w:rsid w:val="004D6CB2"/>
    <w:rsid w:val="004D6EEB"/>
    <w:rsid w:val="004D6F33"/>
    <w:rsid w:val="004D78B2"/>
    <w:rsid w:val="004D794B"/>
    <w:rsid w:val="004D7BF9"/>
    <w:rsid w:val="004D7EB9"/>
    <w:rsid w:val="004E0AAB"/>
    <w:rsid w:val="004E0C0D"/>
    <w:rsid w:val="004E0EF6"/>
    <w:rsid w:val="004E0F10"/>
    <w:rsid w:val="004E1578"/>
    <w:rsid w:val="004E1579"/>
    <w:rsid w:val="004E15A0"/>
    <w:rsid w:val="004E17C6"/>
    <w:rsid w:val="004E17E8"/>
    <w:rsid w:val="004E18E8"/>
    <w:rsid w:val="004E1D76"/>
    <w:rsid w:val="004E1FEF"/>
    <w:rsid w:val="004E213A"/>
    <w:rsid w:val="004E21CD"/>
    <w:rsid w:val="004E245B"/>
    <w:rsid w:val="004E26D9"/>
    <w:rsid w:val="004E2798"/>
    <w:rsid w:val="004E29D5"/>
    <w:rsid w:val="004E2E2E"/>
    <w:rsid w:val="004E34D5"/>
    <w:rsid w:val="004E36F2"/>
    <w:rsid w:val="004E3A55"/>
    <w:rsid w:val="004E3A87"/>
    <w:rsid w:val="004E3F99"/>
    <w:rsid w:val="004E42AB"/>
    <w:rsid w:val="004E4343"/>
    <w:rsid w:val="004E4667"/>
    <w:rsid w:val="004E4B5D"/>
    <w:rsid w:val="004E4C9B"/>
    <w:rsid w:val="004E4E09"/>
    <w:rsid w:val="004E56C4"/>
    <w:rsid w:val="004E5A8C"/>
    <w:rsid w:val="004E5E06"/>
    <w:rsid w:val="004E5EAA"/>
    <w:rsid w:val="004E61CA"/>
    <w:rsid w:val="004E6B4A"/>
    <w:rsid w:val="004E6DB8"/>
    <w:rsid w:val="004E70B4"/>
    <w:rsid w:val="004E7553"/>
    <w:rsid w:val="004E7761"/>
    <w:rsid w:val="004F013C"/>
    <w:rsid w:val="004F01A7"/>
    <w:rsid w:val="004F0A90"/>
    <w:rsid w:val="004F0B3D"/>
    <w:rsid w:val="004F0EF3"/>
    <w:rsid w:val="004F1010"/>
    <w:rsid w:val="004F14FE"/>
    <w:rsid w:val="004F1580"/>
    <w:rsid w:val="004F17CA"/>
    <w:rsid w:val="004F2098"/>
    <w:rsid w:val="004F227D"/>
    <w:rsid w:val="004F252B"/>
    <w:rsid w:val="004F2D0B"/>
    <w:rsid w:val="004F2DED"/>
    <w:rsid w:val="004F3387"/>
    <w:rsid w:val="004F35F5"/>
    <w:rsid w:val="004F373C"/>
    <w:rsid w:val="004F38DD"/>
    <w:rsid w:val="004F3EC8"/>
    <w:rsid w:val="004F4053"/>
    <w:rsid w:val="004F4242"/>
    <w:rsid w:val="004F43CA"/>
    <w:rsid w:val="004F43E4"/>
    <w:rsid w:val="004F4478"/>
    <w:rsid w:val="004F4540"/>
    <w:rsid w:val="004F455B"/>
    <w:rsid w:val="004F4683"/>
    <w:rsid w:val="004F5255"/>
    <w:rsid w:val="004F5296"/>
    <w:rsid w:val="004F548D"/>
    <w:rsid w:val="004F56AD"/>
    <w:rsid w:val="004F5815"/>
    <w:rsid w:val="004F5B89"/>
    <w:rsid w:val="004F5EC3"/>
    <w:rsid w:val="004F6473"/>
    <w:rsid w:val="004F6B74"/>
    <w:rsid w:val="004F73A7"/>
    <w:rsid w:val="004F7532"/>
    <w:rsid w:val="004F757D"/>
    <w:rsid w:val="004F773C"/>
    <w:rsid w:val="004F7C97"/>
    <w:rsid w:val="00500277"/>
    <w:rsid w:val="00500585"/>
    <w:rsid w:val="005006A8"/>
    <w:rsid w:val="0050090E"/>
    <w:rsid w:val="00500B9D"/>
    <w:rsid w:val="00501229"/>
    <w:rsid w:val="00502011"/>
    <w:rsid w:val="0050215C"/>
    <w:rsid w:val="005025BE"/>
    <w:rsid w:val="00502896"/>
    <w:rsid w:val="00502B7A"/>
    <w:rsid w:val="00503148"/>
    <w:rsid w:val="00503171"/>
    <w:rsid w:val="0050339F"/>
    <w:rsid w:val="005034C1"/>
    <w:rsid w:val="00503641"/>
    <w:rsid w:val="00503BFB"/>
    <w:rsid w:val="00503FDE"/>
    <w:rsid w:val="00504077"/>
    <w:rsid w:val="00504182"/>
    <w:rsid w:val="005042ED"/>
    <w:rsid w:val="00504411"/>
    <w:rsid w:val="00504FEF"/>
    <w:rsid w:val="0050511C"/>
    <w:rsid w:val="00505C73"/>
    <w:rsid w:val="005063E9"/>
    <w:rsid w:val="005066A5"/>
    <w:rsid w:val="005069CF"/>
    <w:rsid w:val="00506C28"/>
    <w:rsid w:val="00507941"/>
    <w:rsid w:val="00507972"/>
    <w:rsid w:val="00507CA1"/>
    <w:rsid w:val="00507EDD"/>
    <w:rsid w:val="0051002C"/>
    <w:rsid w:val="00510510"/>
    <w:rsid w:val="005106BD"/>
    <w:rsid w:val="00510AC7"/>
    <w:rsid w:val="00510D32"/>
    <w:rsid w:val="00510E32"/>
    <w:rsid w:val="00511065"/>
    <w:rsid w:val="0051194A"/>
    <w:rsid w:val="00511F3C"/>
    <w:rsid w:val="00512041"/>
    <w:rsid w:val="00512397"/>
    <w:rsid w:val="0051292E"/>
    <w:rsid w:val="00512F10"/>
    <w:rsid w:val="00513220"/>
    <w:rsid w:val="005135E1"/>
    <w:rsid w:val="00513A3B"/>
    <w:rsid w:val="00513DF7"/>
    <w:rsid w:val="005146EE"/>
    <w:rsid w:val="0051490B"/>
    <w:rsid w:val="00514D86"/>
    <w:rsid w:val="00515FBA"/>
    <w:rsid w:val="0051614E"/>
    <w:rsid w:val="005168F8"/>
    <w:rsid w:val="0051695C"/>
    <w:rsid w:val="00516EFD"/>
    <w:rsid w:val="00517362"/>
    <w:rsid w:val="005178F5"/>
    <w:rsid w:val="00517D58"/>
    <w:rsid w:val="0052028F"/>
    <w:rsid w:val="00520500"/>
    <w:rsid w:val="00520B7B"/>
    <w:rsid w:val="00520C06"/>
    <w:rsid w:val="005211A0"/>
    <w:rsid w:val="00521227"/>
    <w:rsid w:val="005216DA"/>
    <w:rsid w:val="00521729"/>
    <w:rsid w:val="0052183B"/>
    <w:rsid w:val="00521932"/>
    <w:rsid w:val="00521986"/>
    <w:rsid w:val="00521D67"/>
    <w:rsid w:val="00521F97"/>
    <w:rsid w:val="0052241C"/>
    <w:rsid w:val="00522A98"/>
    <w:rsid w:val="00522CF2"/>
    <w:rsid w:val="005230F0"/>
    <w:rsid w:val="0052321F"/>
    <w:rsid w:val="0052335B"/>
    <w:rsid w:val="00523371"/>
    <w:rsid w:val="0052347A"/>
    <w:rsid w:val="0052374B"/>
    <w:rsid w:val="00523946"/>
    <w:rsid w:val="005239BF"/>
    <w:rsid w:val="00523D33"/>
    <w:rsid w:val="00523DE9"/>
    <w:rsid w:val="00524295"/>
    <w:rsid w:val="00524835"/>
    <w:rsid w:val="005248DD"/>
    <w:rsid w:val="00524CC4"/>
    <w:rsid w:val="00524D9F"/>
    <w:rsid w:val="0052594E"/>
    <w:rsid w:val="00525AC3"/>
    <w:rsid w:val="00525C16"/>
    <w:rsid w:val="00525D1D"/>
    <w:rsid w:val="00525D43"/>
    <w:rsid w:val="00525F93"/>
    <w:rsid w:val="005262CA"/>
    <w:rsid w:val="00526CC1"/>
    <w:rsid w:val="005270BB"/>
    <w:rsid w:val="005272CA"/>
    <w:rsid w:val="005275BA"/>
    <w:rsid w:val="00527899"/>
    <w:rsid w:val="00527DCE"/>
    <w:rsid w:val="00527FAF"/>
    <w:rsid w:val="0053003F"/>
    <w:rsid w:val="00530B36"/>
    <w:rsid w:val="00530FFA"/>
    <w:rsid w:val="0053100B"/>
    <w:rsid w:val="00531250"/>
    <w:rsid w:val="005312A4"/>
    <w:rsid w:val="00531D33"/>
    <w:rsid w:val="00531D4F"/>
    <w:rsid w:val="005326A2"/>
    <w:rsid w:val="00532ABB"/>
    <w:rsid w:val="00532DB0"/>
    <w:rsid w:val="00532ECB"/>
    <w:rsid w:val="00532F32"/>
    <w:rsid w:val="0053306B"/>
    <w:rsid w:val="00533089"/>
    <w:rsid w:val="005332D0"/>
    <w:rsid w:val="00533529"/>
    <w:rsid w:val="005335AD"/>
    <w:rsid w:val="005337B7"/>
    <w:rsid w:val="00533880"/>
    <w:rsid w:val="00533DF7"/>
    <w:rsid w:val="00533ED2"/>
    <w:rsid w:val="00533F88"/>
    <w:rsid w:val="0053408E"/>
    <w:rsid w:val="0053419D"/>
    <w:rsid w:val="005341BA"/>
    <w:rsid w:val="00534411"/>
    <w:rsid w:val="00534850"/>
    <w:rsid w:val="00534DA0"/>
    <w:rsid w:val="005355D2"/>
    <w:rsid w:val="00535966"/>
    <w:rsid w:val="00535B1E"/>
    <w:rsid w:val="00535FD1"/>
    <w:rsid w:val="00536553"/>
    <w:rsid w:val="005365AD"/>
    <w:rsid w:val="005371AC"/>
    <w:rsid w:val="005371C7"/>
    <w:rsid w:val="005373B9"/>
    <w:rsid w:val="00537809"/>
    <w:rsid w:val="005378CD"/>
    <w:rsid w:val="00537B08"/>
    <w:rsid w:val="00537DA8"/>
    <w:rsid w:val="00540186"/>
    <w:rsid w:val="00540667"/>
    <w:rsid w:val="005406D2"/>
    <w:rsid w:val="005406D9"/>
    <w:rsid w:val="005408A2"/>
    <w:rsid w:val="00540D63"/>
    <w:rsid w:val="0054123F"/>
    <w:rsid w:val="00541451"/>
    <w:rsid w:val="00541A65"/>
    <w:rsid w:val="00541AAD"/>
    <w:rsid w:val="00541BC3"/>
    <w:rsid w:val="00541DDA"/>
    <w:rsid w:val="005425CC"/>
    <w:rsid w:val="00542B31"/>
    <w:rsid w:val="00542E40"/>
    <w:rsid w:val="005432D9"/>
    <w:rsid w:val="005433CB"/>
    <w:rsid w:val="00543480"/>
    <w:rsid w:val="0054362C"/>
    <w:rsid w:val="00543706"/>
    <w:rsid w:val="00543D59"/>
    <w:rsid w:val="00543E6C"/>
    <w:rsid w:val="00543FBD"/>
    <w:rsid w:val="005440E6"/>
    <w:rsid w:val="00544592"/>
    <w:rsid w:val="0054465F"/>
    <w:rsid w:val="0054494E"/>
    <w:rsid w:val="00544E1C"/>
    <w:rsid w:val="00545085"/>
    <w:rsid w:val="00545493"/>
    <w:rsid w:val="0054552E"/>
    <w:rsid w:val="0054554E"/>
    <w:rsid w:val="00545A94"/>
    <w:rsid w:val="00545CD9"/>
    <w:rsid w:val="00545E32"/>
    <w:rsid w:val="00546058"/>
    <w:rsid w:val="005460C6"/>
    <w:rsid w:val="00546662"/>
    <w:rsid w:val="00546B67"/>
    <w:rsid w:val="00547071"/>
    <w:rsid w:val="005470F7"/>
    <w:rsid w:val="00547148"/>
    <w:rsid w:val="00547A20"/>
    <w:rsid w:val="00547D4B"/>
    <w:rsid w:val="00547E07"/>
    <w:rsid w:val="00550138"/>
    <w:rsid w:val="005505F8"/>
    <w:rsid w:val="00550A25"/>
    <w:rsid w:val="00551403"/>
    <w:rsid w:val="00551701"/>
    <w:rsid w:val="00551A5C"/>
    <w:rsid w:val="00551EB7"/>
    <w:rsid w:val="005520BA"/>
    <w:rsid w:val="0055278C"/>
    <w:rsid w:val="005528EC"/>
    <w:rsid w:val="0055291B"/>
    <w:rsid w:val="00552AF8"/>
    <w:rsid w:val="00552EFC"/>
    <w:rsid w:val="00552FC1"/>
    <w:rsid w:val="005530E2"/>
    <w:rsid w:val="005536B0"/>
    <w:rsid w:val="005536EF"/>
    <w:rsid w:val="00553704"/>
    <w:rsid w:val="005539F0"/>
    <w:rsid w:val="00553BB0"/>
    <w:rsid w:val="00553EE2"/>
    <w:rsid w:val="00553FD8"/>
    <w:rsid w:val="0055404E"/>
    <w:rsid w:val="005541EA"/>
    <w:rsid w:val="0055451E"/>
    <w:rsid w:val="005546D8"/>
    <w:rsid w:val="005548AB"/>
    <w:rsid w:val="005549D3"/>
    <w:rsid w:val="00554BB2"/>
    <w:rsid w:val="00555102"/>
    <w:rsid w:val="0055514E"/>
    <w:rsid w:val="00555717"/>
    <w:rsid w:val="00555986"/>
    <w:rsid w:val="00555D30"/>
    <w:rsid w:val="00555FED"/>
    <w:rsid w:val="00556739"/>
    <w:rsid w:val="00556CEB"/>
    <w:rsid w:val="00556CFE"/>
    <w:rsid w:val="00556F00"/>
    <w:rsid w:val="005572DF"/>
    <w:rsid w:val="0055770F"/>
    <w:rsid w:val="00557712"/>
    <w:rsid w:val="00557838"/>
    <w:rsid w:val="00557B0B"/>
    <w:rsid w:val="00557D92"/>
    <w:rsid w:val="00557F44"/>
    <w:rsid w:val="005601A1"/>
    <w:rsid w:val="00560600"/>
    <w:rsid w:val="0056076B"/>
    <w:rsid w:val="00560884"/>
    <w:rsid w:val="00560C93"/>
    <w:rsid w:val="00560F56"/>
    <w:rsid w:val="00560F9A"/>
    <w:rsid w:val="0056112B"/>
    <w:rsid w:val="005611FC"/>
    <w:rsid w:val="005616C2"/>
    <w:rsid w:val="005619FB"/>
    <w:rsid w:val="00561AEF"/>
    <w:rsid w:val="005620C6"/>
    <w:rsid w:val="005620DE"/>
    <w:rsid w:val="0056242A"/>
    <w:rsid w:val="00562703"/>
    <w:rsid w:val="005628F3"/>
    <w:rsid w:val="005631C4"/>
    <w:rsid w:val="00563232"/>
    <w:rsid w:val="0056351A"/>
    <w:rsid w:val="005635E5"/>
    <w:rsid w:val="00563AFB"/>
    <w:rsid w:val="00563F21"/>
    <w:rsid w:val="005641CC"/>
    <w:rsid w:val="0056458C"/>
    <w:rsid w:val="00564777"/>
    <w:rsid w:val="005649DF"/>
    <w:rsid w:val="00564AF8"/>
    <w:rsid w:val="00565087"/>
    <w:rsid w:val="005655AF"/>
    <w:rsid w:val="0056573F"/>
    <w:rsid w:val="00565F91"/>
    <w:rsid w:val="00566205"/>
    <w:rsid w:val="0056632B"/>
    <w:rsid w:val="00566344"/>
    <w:rsid w:val="0056646B"/>
    <w:rsid w:val="00566AA1"/>
    <w:rsid w:val="00566BE7"/>
    <w:rsid w:val="00566E20"/>
    <w:rsid w:val="00566E3D"/>
    <w:rsid w:val="00566F39"/>
    <w:rsid w:val="0056706B"/>
    <w:rsid w:val="0056713B"/>
    <w:rsid w:val="005672A6"/>
    <w:rsid w:val="00567B6A"/>
    <w:rsid w:val="00567FB2"/>
    <w:rsid w:val="0057035E"/>
    <w:rsid w:val="005703CD"/>
    <w:rsid w:val="005706E9"/>
    <w:rsid w:val="00570D3A"/>
    <w:rsid w:val="00570E32"/>
    <w:rsid w:val="00571271"/>
    <w:rsid w:val="00571279"/>
    <w:rsid w:val="005715A5"/>
    <w:rsid w:val="00571681"/>
    <w:rsid w:val="00571692"/>
    <w:rsid w:val="00571A14"/>
    <w:rsid w:val="00571A2F"/>
    <w:rsid w:val="00571BBE"/>
    <w:rsid w:val="00571CA1"/>
    <w:rsid w:val="0057213C"/>
    <w:rsid w:val="00572580"/>
    <w:rsid w:val="0057284F"/>
    <w:rsid w:val="005728D9"/>
    <w:rsid w:val="005731FC"/>
    <w:rsid w:val="00573250"/>
    <w:rsid w:val="005736D7"/>
    <w:rsid w:val="0057388B"/>
    <w:rsid w:val="00573B3B"/>
    <w:rsid w:val="00573F52"/>
    <w:rsid w:val="00574342"/>
    <w:rsid w:val="005744E1"/>
    <w:rsid w:val="0057456A"/>
    <w:rsid w:val="00574B51"/>
    <w:rsid w:val="00574B8F"/>
    <w:rsid w:val="00574BD7"/>
    <w:rsid w:val="00574BDB"/>
    <w:rsid w:val="005751EF"/>
    <w:rsid w:val="00575338"/>
    <w:rsid w:val="0057592F"/>
    <w:rsid w:val="00575FC5"/>
    <w:rsid w:val="0057656C"/>
    <w:rsid w:val="00576940"/>
    <w:rsid w:val="00576C78"/>
    <w:rsid w:val="00576C9A"/>
    <w:rsid w:val="00576EC6"/>
    <w:rsid w:val="00577286"/>
    <w:rsid w:val="0057791B"/>
    <w:rsid w:val="00577EFB"/>
    <w:rsid w:val="00577F4E"/>
    <w:rsid w:val="0058027D"/>
    <w:rsid w:val="0058031D"/>
    <w:rsid w:val="0058051F"/>
    <w:rsid w:val="005807AB"/>
    <w:rsid w:val="00580976"/>
    <w:rsid w:val="00580C9F"/>
    <w:rsid w:val="00580DC1"/>
    <w:rsid w:val="00580F17"/>
    <w:rsid w:val="00581067"/>
    <w:rsid w:val="005812B6"/>
    <w:rsid w:val="005815ED"/>
    <w:rsid w:val="0058196B"/>
    <w:rsid w:val="00581D6C"/>
    <w:rsid w:val="00581F6E"/>
    <w:rsid w:val="00582290"/>
    <w:rsid w:val="00582752"/>
    <w:rsid w:val="0058289A"/>
    <w:rsid w:val="00582C0F"/>
    <w:rsid w:val="00582D8B"/>
    <w:rsid w:val="00583770"/>
    <w:rsid w:val="00583C21"/>
    <w:rsid w:val="00583FC2"/>
    <w:rsid w:val="00584003"/>
    <w:rsid w:val="005840FD"/>
    <w:rsid w:val="00584150"/>
    <w:rsid w:val="0058441E"/>
    <w:rsid w:val="005845EB"/>
    <w:rsid w:val="00584636"/>
    <w:rsid w:val="00584822"/>
    <w:rsid w:val="00584A91"/>
    <w:rsid w:val="00584C5D"/>
    <w:rsid w:val="00584D54"/>
    <w:rsid w:val="00584EFD"/>
    <w:rsid w:val="00585F7F"/>
    <w:rsid w:val="00586CB1"/>
    <w:rsid w:val="00586DF4"/>
    <w:rsid w:val="00587373"/>
    <w:rsid w:val="005873C2"/>
    <w:rsid w:val="00587B35"/>
    <w:rsid w:val="00587C32"/>
    <w:rsid w:val="00590248"/>
    <w:rsid w:val="005906D3"/>
    <w:rsid w:val="00590E0F"/>
    <w:rsid w:val="005910AB"/>
    <w:rsid w:val="005914ED"/>
    <w:rsid w:val="005919BB"/>
    <w:rsid w:val="00591B30"/>
    <w:rsid w:val="00591BE7"/>
    <w:rsid w:val="00591D5D"/>
    <w:rsid w:val="005928BD"/>
    <w:rsid w:val="00592B3F"/>
    <w:rsid w:val="00592F59"/>
    <w:rsid w:val="00593449"/>
    <w:rsid w:val="00593733"/>
    <w:rsid w:val="0059392A"/>
    <w:rsid w:val="005939B5"/>
    <w:rsid w:val="00593FE3"/>
    <w:rsid w:val="005940DC"/>
    <w:rsid w:val="0059424C"/>
    <w:rsid w:val="00594682"/>
    <w:rsid w:val="00594913"/>
    <w:rsid w:val="00594CB6"/>
    <w:rsid w:val="00594FA6"/>
    <w:rsid w:val="0059522E"/>
    <w:rsid w:val="00595334"/>
    <w:rsid w:val="00595E87"/>
    <w:rsid w:val="005961A9"/>
    <w:rsid w:val="00596290"/>
    <w:rsid w:val="00596848"/>
    <w:rsid w:val="00596F3F"/>
    <w:rsid w:val="00596F55"/>
    <w:rsid w:val="00597188"/>
    <w:rsid w:val="005976F7"/>
    <w:rsid w:val="00597722"/>
    <w:rsid w:val="0059786A"/>
    <w:rsid w:val="00597A4A"/>
    <w:rsid w:val="00597B59"/>
    <w:rsid w:val="00597C37"/>
    <w:rsid w:val="005A0221"/>
    <w:rsid w:val="005A03D0"/>
    <w:rsid w:val="005A09FB"/>
    <w:rsid w:val="005A0D51"/>
    <w:rsid w:val="005A10AF"/>
    <w:rsid w:val="005A1236"/>
    <w:rsid w:val="005A13AB"/>
    <w:rsid w:val="005A1750"/>
    <w:rsid w:val="005A1818"/>
    <w:rsid w:val="005A19BC"/>
    <w:rsid w:val="005A1CCC"/>
    <w:rsid w:val="005A2610"/>
    <w:rsid w:val="005A2779"/>
    <w:rsid w:val="005A2CB8"/>
    <w:rsid w:val="005A2CE5"/>
    <w:rsid w:val="005A364A"/>
    <w:rsid w:val="005A3F94"/>
    <w:rsid w:val="005A425A"/>
    <w:rsid w:val="005A4488"/>
    <w:rsid w:val="005A48DA"/>
    <w:rsid w:val="005A49C6"/>
    <w:rsid w:val="005A4C09"/>
    <w:rsid w:val="005A4CBC"/>
    <w:rsid w:val="005A4F9A"/>
    <w:rsid w:val="005A52D7"/>
    <w:rsid w:val="005A5E85"/>
    <w:rsid w:val="005A651E"/>
    <w:rsid w:val="005A70D6"/>
    <w:rsid w:val="005A7336"/>
    <w:rsid w:val="005A7855"/>
    <w:rsid w:val="005A7A5B"/>
    <w:rsid w:val="005A7BD0"/>
    <w:rsid w:val="005A7D25"/>
    <w:rsid w:val="005B00D2"/>
    <w:rsid w:val="005B0203"/>
    <w:rsid w:val="005B0490"/>
    <w:rsid w:val="005B0C3A"/>
    <w:rsid w:val="005B11C0"/>
    <w:rsid w:val="005B1323"/>
    <w:rsid w:val="005B16CB"/>
    <w:rsid w:val="005B192B"/>
    <w:rsid w:val="005B1D01"/>
    <w:rsid w:val="005B1DE3"/>
    <w:rsid w:val="005B22AD"/>
    <w:rsid w:val="005B2379"/>
    <w:rsid w:val="005B23C9"/>
    <w:rsid w:val="005B2422"/>
    <w:rsid w:val="005B299D"/>
    <w:rsid w:val="005B2B1B"/>
    <w:rsid w:val="005B2E32"/>
    <w:rsid w:val="005B333C"/>
    <w:rsid w:val="005B3422"/>
    <w:rsid w:val="005B3869"/>
    <w:rsid w:val="005B3B89"/>
    <w:rsid w:val="005B3C79"/>
    <w:rsid w:val="005B3CAB"/>
    <w:rsid w:val="005B40CF"/>
    <w:rsid w:val="005B42BB"/>
    <w:rsid w:val="005B46AD"/>
    <w:rsid w:val="005B5245"/>
    <w:rsid w:val="005B5C45"/>
    <w:rsid w:val="005B5F0D"/>
    <w:rsid w:val="005B613A"/>
    <w:rsid w:val="005B64ED"/>
    <w:rsid w:val="005B67EB"/>
    <w:rsid w:val="005B6867"/>
    <w:rsid w:val="005B694A"/>
    <w:rsid w:val="005B6BF2"/>
    <w:rsid w:val="005B71B4"/>
    <w:rsid w:val="005B7635"/>
    <w:rsid w:val="005B7785"/>
    <w:rsid w:val="005B7D4D"/>
    <w:rsid w:val="005C025F"/>
    <w:rsid w:val="005C0466"/>
    <w:rsid w:val="005C0859"/>
    <w:rsid w:val="005C0B60"/>
    <w:rsid w:val="005C0D17"/>
    <w:rsid w:val="005C113E"/>
    <w:rsid w:val="005C1551"/>
    <w:rsid w:val="005C1FCF"/>
    <w:rsid w:val="005C206C"/>
    <w:rsid w:val="005C2170"/>
    <w:rsid w:val="005C26C6"/>
    <w:rsid w:val="005C296D"/>
    <w:rsid w:val="005C3F69"/>
    <w:rsid w:val="005C3FD7"/>
    <w:rsid w:val="005C417B"/>
    <w:rsid w:val="005C436E"/>
    <w:rsid w:val="005C4388"/>
    <w:rsid w:val="005C43B5"/>
    <w:rsid w:val="005C4438"/>
    <w:rsid w:val="005C49D7"/>
    <w:rsid w:val="005C4B90"/>
    <w:rsid w:val="005C4F9D"/>
    <w:rsid w:val="005C565E"/>
    <w:rsid w:val="005C5683"/>
    <w:rsid w:val="005C5854"/>
    <w:rsid w:val="005C5AF1"/>
    <w:rsid w:val="005C5BB6"/>
    <w:rsid w:val="005C5C7B"/>
    <w:rsid w:val="005C5C92"/>
    <w:rsid w:val="005C616D"/>
    <w:rsid w:val="005C619C"/>
    <w:rsid w:val="005C62C8"/>
    <w:rsid w:val="005C62E3"/>
    <w:rsid w:val="005C6327"/>
    <w:rsid w:val="005C6423"/>
    <w:rsid w:val="005C659D"/>
    <w:rsid w:val="005C6879"/>
    <w:rsid w:val="005C6DCD"/>
    <w:rsid w:val="005C7065"/>
    <w:rsid w:val="005C7448"/>
    <w:rsid w:val="005C766E"/>
    <w:rsid w:val="005C78BA"/>
    <w:rsid w:val="005C7B35"/>
    <w:rsid w:val="005C7CD5"/>
    <w:rsid w:val="005D0086"/>
    <w:rsid w:val="005D04CF"/>
    <w:rsid w:val="005D0A28"/>
    <w:rsid w:val="005D0A74"/>
    <w:rsid w:val="005D0B33"/>
    <w:rsid w:val="005D0E89"/>
    <w:rsid w:val="005D123C"/>
    <w:rsid w:val="005D1620"/>
    <w:rsid w:val="005D16FA"/>
    <w:rsid w:val="005D1B09"/>
    <w:rsid w:val="005D1EED"/>
    <w:rsid w:val="005D1F71"/>
    <w:rsid w:val="005D1FB6"/>
    <w:rsid w:val="005D20A1"/>
    <w:rsid w:val="005D220A"/>
    <w:rsid w:val="005D223F"/>
    <w:rsid w:val="005D234E"/>
    <w:rsid w:val="005D245C"/>
    <w:rsid w:val="005D25BE"/>
    <w:rsid w:val="005D2662"/>
    <w:rsid w:val="005D2761"/>
    <w:rsid w:val="005D2A1E"/>
    <w:rsid w:val="005D2B3E"/>
    <w:rsid w:val="005D2BE4"/>
    <w:rsid w:val="005D3125"/>
    <w:rsid w:val="005D325C"/>
    <w:rsid w:val="005D3CBA"/>
    <w:rsid w:val="005D3F9E"/>
    <w:rsid w:val="005D40A1"/>
    <w:rsid w:val="005D41E4"/>
    <w:rsid w:val="005D4683"/>
    <w:rsid w:val="005D48C2"/>
    <w:rsid w:val="005D4CD7"/>
    <w:rsid w:val="005D4E05"/>
    <w:rsid w:val="005D4E32"/>
    <w:rsid w:val="005D5A2B"/>
    <w:rsid w:val="005D5C2F"/>
    <w:rsid w:val="005D629E"/>
    <w:rsid w:val="005D6517"/>
    <w:rsid w:val="005D6532"/>
    <w:rsid w:val="005D6658"/>
    <w:rsid w:val="005D6848"/>
    <w:rsid w:val="005D6EF1"/>
    <w:rsid w:val="005D7505"/>
    <w:rsid w:val="005D76D8"/>
    <w:rsid w:val="005D7992"/>
    <w:rsid w:val="005D7A10"/>
    <w:rsid w:val="005D7F05"/>
    <w:rsid w:val="005E01ED"/>
    <w:rsid w:val="005E037A"/>
    <w:rsid w:val="005E04C1"/>
    <w:rsid w:val="005E0C5F"/>
    <w:rsid w:val="005E10EB"/>
    <w:rsid w:val="005E1375"/>
    <w:rsid w:val="005E152C"/>
    <w:rsid w:val="005E1677"/>
    <w:rsid w:val="005E18AE"/>
    <w:rsid w:val="005E1A00"/>
    <w:rsid w:val="005E1EAB"/>
    <w:rsid w:val="005E1FE3"/>
    <w:rsid w:val="005E213C"/>
    <w:rsid w:val="005E2A84"/>
    <w:rsid w:val="005E2AEB"/>
    <w:rsid w:val="005E31E4"/>
    <w:rsid w:val="005E34AB"/>
    <w:rsid w:val="005E38C2"/>
    <w:rsid w:val="005E3D5A"/>
    <w:rsid w:val="005E4246"/>
    <w:rsid w:val="005E42AE"/>
    <w:rsid w:val="005E48AA"/>
    <w:rsid w:val="005E4A83"/>
    <w:rsid w:val="005E4B0C"/>
    <w:rsid w:val="005E4F8E"/>
    <w:rsid w:val="005E5268"/>
    <w:rsid w:val="005E5C21"/>
    <w:rsid w:val="005E5EEC"/>
    <w:rsid w:val="005E5F0B"/>
    <w:rsid w:val="005E603B"/>
    <w:rsid w:val="005E6041"/>
    <w:rsid w:val="005E6398"/>
    <w:rsid w:val="005E6D21"/>
    <w:rsid w:val="005E6F13"/>
    <w:rsid w:val="005E7164"/>
    <w:rsid w:val="005E72A1"/>
    <w:rsid w:val="005E76FC"/>
    <w:rsid w:val="005E7EBE"/>
    <w:rsid w:val="005E7ED7"/>
    <w:rsid w:val="005F0958"/>
    <w:rsid w:val="005F0A25"/>
    <w:rsid w:val="005F0D99"/>
    <w:rsid w:val="005F0DCF"/>
    <w:rsid w:val="005F1191"/>
    <w:rsid w:val="005F1F5A"/>
    <w:rsid w:val="005F2252"/>
    <w:rsid w:val="005F23B0"/>
    <w:rsid w:val="005F2A24"/>
    <w:rsid w:val="005F3212"/>
    <w:rsid w:val="005F36DD"/>
    <w:rsid w:val="005F384D"/>
    <w:rsid w:val="005F3B31"/>
    <w:rsid w:val="005F3FB2"/>
    <w:rsid w:val="005F4225"/>
    <w:rsid w:val="005F4745"/>
    <w:rsid w:val="005F474D"/>
    <w:rsid w:val="005F4EC3"/>
    <w:rsid w:val="005F4F70"/>
    <w:rsid w:val="005F569F"/>
    <w:rsid w:val="005F589A"/>
    <w:rsid w:val="005F5FDB"/>
    <w:rsid w:val="005F6217"/>
    <w:rsid w:val="005F6AA8"/>
    <w:rsid w:val="005F700E"/>
    <w:rsid w:val="005F7249"/>
    <w:rsid w:val="005F7959"/>
    <w:rsid w:val="005F7BC2"/>
    <w:rsid w:val="005F7C14"/>
    <w:rsid w:val="005F7C6F"/>
    <w:rsid w:val="005F7DDD"/>
    <w:rsid w:val="005F7EAF"/>
    <w:rsid w:val="005F7FDC"/>
    <w:rsid w:val="006009C0"/>
    <w:rsid w:val="00600EE8"/>
    <w:rsid w:val="0060124F"/>
    <w:rsid w:val="00601436"/>
    <w:rsid w:val="006014D8"/>
    <w:rsid w:val="00601607"/>
    <w:rsid w:val="0060185A"/>
    <w:rsid w:val="00602EFA"/>
    <w:rsid w:val="006033F8"/>
    <w:rsid w:val="00603903"/>
    <w:rsid w:val="00603B7F"/>
    <w:rsid w:val="00603BB4"/>
    <w:rsid w:val="00605D77"/>
    <w:rsid w:val="00606277"/>
    <w:rsid w:val="006063EF"/>
    <w:rsid w:val="006064C9"/>
    <w:rsid w:val="00606C3C"/>
    <w:rsid w:val="006074E0"/>
    <w:rsid w:val="00607872"/>
    <w:rsid w:val="00607B25"/>
    <w:rsid w:val="00607B6F"/>
    <w:rsid w:val="006101AE"/>
    <w:rsid w:val="006104D3"/>
    <w:rsid w:val="00611036"/>
    <w:rsid w:val="00611566"/>
    <w:rsid w:val="00611741"/>
    <w:rsid w:val="006117FE"/>
    <w:rsid w:val="00611A2C"/>
    <w:rsid w:val="00611AE0"/>
    <w:rsid w:val="00611FEB"/>
    <w:rsid w:val="00612524"/>
    <w:rsid w:val="00612579"/>
    <w:rsid w:val="00612679"/>
    <w:rsid w:val="00612959"/>
    <w:rsid w:val="00612A0A"/>
    <w:rsid w:val="00612A5A"/>
    <w:rsid w:val="00612C75"/>
    <w:rsid w:val="00613321"/>
    <w:rsid w:val="00613F31"/>
    <w:rsid w:val="006141CB"/>
    <w:rsid w:val="00614690"/>
    <w:rsid w:val="0061474A"/>
    <w:rsid w:val="006148F9"/>
    <w:rsid w:val="006149AF"/>
    <w:rsid w:val="00615037"/>
    <w:rsid w:val="00615308"/>
    <w:rsid w:val="006153DE"/>
    <w:rsid w:val="006153FC"/>
    <w:rsid w:val="0061563E"/>
    <w:rsid w:val="006156B6"/>
    <w:rsid w:val="00615AD1"/>
    <w:rsid w:val="00615B94"/>
    <w:rsid w:val="00615FC0"/>
    <w:rsid w:val="00616FA4"/>
    <w:rsid w:val="006170D6"/>
    <w:rsid w:val="006172F5"/>
    <w:rsid w:val="00617357"/>
    <w:rsid w:val="00617F30"/>
    <w:rsid w:val="00620EBC"/>
    <w:rsid w:val="0062131A"/>
    <w:rsid w:val="00621328"/>
    <w:rsid w:val="006213C2"/>
    <w:rsid w:val="00621925"/>
    <w:rsid w:val="00621935"/>
    <w:rsid w:val="00621AD4"/>
    <w:rsid w:val="00621BBF"/>
    <w:rsid w:val="00621F40"/>
    <w:rsid w:val="0062260D"/>
    <w:rsid w:val="00622688"/>
    <w:rsid w:val="006229F1"/>
    <w:rsid w:val="00622AF6"/>
    <w:rsid w:val="00622D46"/>
    <w:rsid w:val="00623568"/>
    <w:rsid w:val="00623603"/>
    <w:rsid w:val="006241BA"/>
    <w:rsid w:val="0062436B"/>
    <w:rsid w:val="006243C0"/>
    <w:rsid w:val="006247E0"/>
    <w:rsid w:val="00624B3F"/>
    <w:rsid w:val="00624C17"/>
    <w:rsid w:val="00625111"/>
    <w:rsid w:val="00625259"/>
    <w:rsid w:val="0062544C"/>
    <w:rsid w:val="006254A8"/>
    <w:rsid w:val="006258C8"/>
    <w:rsid w:val="006263C6"/>
    <w:rsid w:val="006271A4"/>
    <w:rsid w:val="0062797A"/>
    <w:rsid w:val="00627BB3"/>
    <w:rsid w:val="00627EEF"/>
    <w:rsid w:val="006305B0"/>
    <w:rsid w:val="00630758"/>
    <w:rsid w:val="00630F85"/>
    <w:rsid w:val="00631827"/>
    <w:rsid w:val="00631867"/>
    <w:rsid w:val="00631B50"/>
    <w:rsid w:val="00631EDB"/>
    <w:rsid w:val="006323AB"/>
    <w:rsid w:val="006324A2"/>
    <w:rsid w:val="00632593"/>
    <w:rsid w:val="0063280F"/>
    <w:rsid w:val="006328AF"/>
    <w:rsid w:val="00632A15"/>
    <w:rsid w:val="006334EF"/>
    <w:rsid w:val="006335B0"/>
    <w:rsid w:val="006336E9"/>
    <w:rsid w:val="0063381C"/>
    <w:rsid w:val="006338B7"/>
    <w:rsid w:val="00633B42"/>
    <w:rsid w:val="00633D2E"/>
    <w:rsid w:val="00633D67"/>
    <w:rsid w:val="006341EE"/>
    <w:rsid w:val="00634774"/>
    <w:rsid w:val="00634B7B"/>
    <w:rsid w:val="00634D64"/>
    <w:rsid w:val="00634EB6"/>
    <w:rsid w:val="00635142"/>
    <w:rsid w:val="0063572B"/>
    <w:rsid w:val="006357AE"/>
    <w:rsid w:val="0063652F"/>
    <w:rsid w:val="00636721"/>
    <w:rsid w:val="006368CC"/>
    <w:rsid w:val="006375D1"/>
    <w:rsid w:val="00637658"/>
    <w:rsid w:val="00637839"/>
    <w:rsid w:val="00637AFC"/>
    <w:rsid w:val="00637F0C"/>
    <w:rsid w:val="00640594"/>
    <w:rsid w:val="006406E9"/>
    <w:rsid w:val="0064072E"/>
    <w:rsid w:val="0064076F"/>
    <w:rsid w:val="0064077C"/>
    <w:rsid w:val="0064123A"/>
    <w:rsid w:val="00641EC9"/>
    <w:rsid w:val="00641F74"/>
    <w:rsid w:val="006429FE"/>
    <w:rsid w:val="00642A05"/>
    <w:rsid w:val="00643576"/>
    <w:rsid w:val="006438EA"/>
    <w:rsid w:val="00643A75"/>
    <w:rsid w:val="00644288"/>
    <w:rsid w:val="006443CA"/>
    <w:rsid w:val="00644642"/>
    <w:rsid w:val="006449D3"/>
    <w:rsid w:val="00644E65"/>
    <w:rsid w:val="0064512A"/>
    <w:rsid w:val="006452FC"/>
    <w:rsid w:val="006459ED"/>
    <w:rsid w:val="006460CB"/>
    <w:rsid w:val="00646339"/>
    <w:rsid w:val="006467C4"/>
    <w:rsid w:val="006469DB"/>
    <w:rsid w:val="00646A47"/>
    <w:rsid w:val="00646BFB"/>
    <w:rsid w:val="00646C1A"/>
    <w:rsid w:val="00646C39"/>
    <w:rsid w:val="00646D99"/>
    <w:rsid w:val="00646E24"/>
    <w:rsid w:val="0064707E"/>
    <w:rsid w:val="00647565"/>
    <w:rsid w:val="006476AD"/>
    <w:rsid w:val="0065006C"/>
    <w:rsid w:val="00650FCD"/>
    <w:rsid w:val="00651039"/>
    <w:rsid w:val="00651278"/>
    <w:rsid w:val="006512B7"/>
    <w:rsid w:val="006513AA"/>
    <w:rsid w:val="006514AC"/>
    <w:rsid w:val="0065155D"/>
    <w:rsid w:val="00651C04"/>
    <w:rsid w:val="0065259B"/>
    <w:rsid w:val="00652697"/>
    <w:rsid w:val="006528FF"/>
    <w:rsid w:val="00652AB0"/>
    <w:rsid w:val="00652AEB"/>
    <w:rsid w:val="00652B2F"/>
    <w:rsid w:val="00652CC5"/>
    <w:rsid w:val="00652E8C"/>
    <w:rsid w:val="00652FE5"/>
    <w:rsid w:val="00653114"/>
    <w:rsid w:val="00653750"/>
    <w:rsid w:val="00653759"/>
    <w:rsid w:val="00653D49"/>
    <w:rsid w:val="00653EB4"/>
    <w:rsid w:val="00654712"/>
    <w:rsid w:val="006547A7"/>
    <w:rsid w:val="006548FA"/>
    <w:rsid w:val="00654DE5"/>
    <w:rsid w:val="00654ECB"/>
    <w:rsid w:val="00655052"/>
    <w:rsid w:val="0065552E"/>
    <w:rsid w:val="0065556F"/>
    <w:rsid w:val="006555CD"/>
    <w:rsid w:val="006557FD"/>
    <w:rsid w:val="00655E09"/>
    <w:rsid w:val="00656142"/>
    <w:rsid w:val="006562CC"/>
    <w:rsid w:val="00656910"/>
    <w:rsid w:val="006569B1"/>
    <w:rsid w:val="00656B1B"/>
    <w:rsid w:val="00656CE2"/>
    <w:rsid w:val="00656D05"/>
    <w:rsid w:val="00656FF9"/>
    <w:rsid w:val="0065732F"/>
    <w:rsid w:val="006574C0"/>
    <w:rsid w:val="00657635"/>
    <w:rsid w:val="006577CE"/>
    <w:rsid w:val="00657933"/>
    <w:rsid w:val="006601F8"/>
    <w:rsid w:val="00660424"/>
    <w:rsid w:val="00660823"/>
    <w:rsid w:val="00660BE8"/>
    <w:rsid w:val="00660CDA"/>
    <w:rsid w:val="00660E2A"/>
    <w:rsid w:val="00660E31"/>
    <w:rsid w:val="00660FCA"/>
    <w:rsid w:val="006610A2"/>
    <w:rsid w:val="00661483"/>
    <w:rsid w:val="00661781"/>
    <w:rsid w:val="0066180F"/>
    <w:rsid w:val="00661CFF"/>
    <w:rsid w:val="00661EEC"/>
    <w:rsid w:val="00662226"/>
    <w:rsid w:val="006624B6"/>
    <w:rsid w:val="0066255F"/>
    <w:rsid w:val="00662623"/>
    <w:rsid w:val="00662A6F"/>
    <w:rsid w:val="00662B64"/>
    <w:rsid w:val="00662F36"/>
    <w:rsid w:val="00662FB0"/>
    <w:rsid w:val="0066389D"/>
    <w:rsid w:val="00663947"/>
    <w:rsid w:val="00663985"/>
    <w:rsid w:val="00663B2D"/>
    <w:rsid w:val="00663B8A"/>
    <w:rsid w:val="00663CF0"/>
    <w:rsid w:val="00664156"/>
    <w:rsid w:val="006642A7"/>
    <w:rsid w:val="006644F1"/>
    <w:rsid w:val="00664770"/>
    <w:rsid w:val="00664823"/>
    <w:rsid w:val="006648CB"/>
    <w:rsid w:val="00664BE4"/>
    <w:rsid w:val="00664C02"/>
    <w:rsid w:val="00664D57"/>
    <w:rsid w:val="00664EBF"/>
    <w:rsid w:val="006651D8"/>
    <w:rsid w:val="0066528D"/>
    <w:rsid w:val="00665665"/>
    <w:rsid w:val="006658C5"/>
    <w:rsid w:val="0066594A"/>
    <w:rsid w:val="00665C28"/>
    <w:rsid w:val="00665F96"/>
    <w:rsid w:val="0066602D"/>
    <w:rsid w:val="00666CD0"/>
    <w:rsid w:val="00666ED7"/>
    <w:rsid w:val="0066734D"/>
    <w:rsid w:val="0066740C"/>
    <w:rsid w:val="00667700"/>
    <w:rsid w:val="006677ED"/>
    <w:rsid w:val="0066790E"/>
    <w:rsid w:val="00667A1C"/>
    <w:rsid w:val="00667C9D"/>
    <w:rsid w:val="00667D06"/>
    <w:rsid w:val="006704DC"/>
    <w:rsid w:val="00670746"/>
    <w:rsid w:val="006708EF"/>
    <w:rsid w:val="00670B91"/>
    <w:rsid w:val="00670B9D"/>
    <w:rsid w:val="00670CB3"/>
    <w:rsid w:val="00670F12"/>
    <w:rsid w:val="00670F74"/>
    <w:rsid w:val="006711BB"/>
    <w:rsid w:val="00671300"/>
    <w:rsid w:val="00671A63"/>
    <w:rsid w:val="00671A74"/>
    <w:rsid w:val="00671B6C"/>
    <w:rsid w:val="00671F53"/>
    <w:rsid w:val="006720A1"/>
    <w:rsid w:val="006725B4"/>
    <w:rsid w:val="00672B42"/>
    <w:rsid w:val="00672F4B"/>
    <w:rsid w:val="00673B54"/>
    <w:rsid w:val="00673B74"/>
    <w:rsid w:val="00673F05"/>
    <w:rsid w:val="00674024"/>
    <w:rsid w:val="006749F8"/>
    <w:rsid w:val="00674A45"/>
    <w:rsid w:val="00674B27"/>
    <w:rsid w:val="00674CBA"/>
    <w:rsid w:val="00674D1E"/>
    <w:rsid w:val="0067516E"/>
    <w:rsid w:val="0067521C"/>
    <w:rsid w:val="006756C5"/>
    <w:rsid w:val="00675C27"/>
    <w:rsid w:val="00675CEE"/>
    <w:rsid w:val="0067608C"/>
    <w:rsid w:val="00676323"/>
    <w:rsid w:val="006763E1"/>
    <w:rsid w:val="0067644C"/>
    <w:rsid w:val="0067648C"/>
    <w:rsid w:val="006768B9"/>
    <w:rsid w:val="006769F9"/>
    <w:rsid w:val="00676EFD"/>
    <w:rsid w:val="00676F16"/>
    <w:rsid w:val="00677371"/>
    <w:rsid w:val="00677588"/>
    <w:rsid w:val="0067772D"/>
    <w:rsid w:val="00677AF5"/>
    <w:rsid w:val="0068037B"/>
    <w:rsid w:val="00680641"/>
    <w:rsid w:val="0068171E"/>
    <w:rsid w:val="0068185F"/>
    <w:rsid w:val="00681A39"/>
    <w:rsid w:val="00681EFD"/>
    <w:rsid w:val="00682244"/>
    <w:rsid w:val="00682524"/>
    <w:rsid w:val="00682560"/>
    <w:rsid w:val="00682646"/>
    <w:rsid w:val="0068267C"/>
    <w:rsid w:val="0068282F"/>
    <w:rsid w:val="006830C0"/>
    <w:rsid w:val="0068343B"/>
    <w:rsid w:val="006834EC"/>
    <w:rsid w:val="00683798"/>
    <w:rsid w:val="006838B8"/>
    <w:rsid w:val="00683B10"/>
    <w:rsid w:val="00684372"/>
    <w:rsid w:val="006847A0"/>
    <w:rsid w:val="006848C8"/>
    <w:rsid w:val="00684A92"/>
    <w:rsid w:val="00684B96"/>
    <w:rsid w:val="00684E0F"/>
    <w:rsid w:val="006852BC"/>
    <w:rsid w:val="00685355"/>
    <w:rsid w:val="006856D5"/>
    <w:rsid w:val="006856F3"/>
    <w:rsid w:val="00685E28"/>
    <w:rsid w:val="00685F57"/>
    <w:rsid w:val="006860D5"/>
    <w:rsid w:val="00686172"/>
    <w:rsid w:val="00686888"/>
    <w:rsid w:val="00686988"/>
    <w:rsid w:val="00686DA7"/>
    <w:rsid w:val="00686F94"/>
    <w:rsid w:val="00686FA8"/>
    <w:rsid w:val="0068702D"/>
    <w:rsid w:val="00687F88"/>
    <w:rsid w:val="006902DB"/>
    <w:rsid w:val="00690363"/>
    <w:rsid w:val="006905F3"/>
    <w:rsid w:val="00690947"/>
    <w:rsid w:val="00690B98"/>
    <w:rsid w:val="00690E7D"/>
    <w:rsid w:val="00691879"/>
    <w:rsid w:val="006923EA"/>
    <w:rsid w:val="00692612"/>
    <w:rsid w:val="00692624"/>
    <w:rsid w:val="006926F3"/>
    <w:rsid w:val="0069295F"/>
    <w:rsid w:val="00692E82"/>
    <w:rsid w:val="00693120"/>
    <w:rsid w:val="00693320"/>
    <w:rsid w:val="006933A1"/>
    <w:rsid w:val="006933EB"/>
    <w:rsid w:val="00693975"/>
    <w:rsid w:val="00693BD1"/>
    <w:rsid w:val="0069418B"/>
    <w:rsid w:val="0069433E"/>
    <w:rsid w:val="006943B0"/>
    <w:rsid w:val="006943F7"/>
    <w:rsid w:val="006945A9"/>
    <w:rsid w:val="00694942"/>
    <w:rsid w:val="00695B1E"/>
    <w:rsid w:val="00695BC5"/>
    <w:rsid w:val="00695C20"/>
    <w:rsid w:val="00695E29"/>
    <w:rsid w:val="00696006"/>
    <w:rsid w:val="00696821"/>
    <w:rsid w:val="00696841"/>
    <w:rsid w:val="00696ACC"/>
    <w:rsid w:val="00696F43"/>
    <w:rsid w:val="006977C5"/>
    <w:rsid w:val="006978AB"/>
    <w:rsid w:val="006978D3"/>
    <w:rsid w:val="00697B13"/>
    <w:rsid w:val="00697BE4"/>
    <w:rsid w:val="00697C69"/>
    <w:rsid w:val="00697FCA"/>
    <w:rsid w:val="006A0AEF"/>
    <w:rsid w:val="006A0EEB"/>
    <w:rsid w:val="006A10C2"/>
    <w:rsid w:val="006A1437"/>
    <w:rsid w:val="006A1A07"/>
    <w:rsid w:val="006A22BB"/>
    <w:rsid w:val="006A2AD6"/>
    <w:rsid w:val="006A2B67"/>
    <w:rsid w:val="006A3207"/>
    <w:rsid w:val="006A32A0"/>
    <w:rsid w:val="006A38DB"/>
    <w:rsid w:val="006A3B61"/>
    <w:rsid w:val="006A3F83"/>
    <w:rsid w:val="006A41E6"/>
    <w:rsid w:val="006A4444"/>
    <w:rsid w:val="006A46B9"/>
    <w:rsid w:val="006A46D0"/>
    <w:rsid w:val="006A4777"/>
    <w:rsid w:val="006A47B7"/>
    <w:rsid w:val="006A47C9"/>
    <w:rsid w:val="006A4B1F"/>
    <w:rsid w:val="006A4D8B"/>
    <w:rsid w:val="006A4FD6"/>
    <w:rsid w:val="006A5541"/>
    <w:rsid w:val="006A5738"/>
    <w:rsid w:val="006A5A3D"/>
    <w:rsid w:val="006A5A45"/>
    <w:rsid w:val="006A634A"/>
    <w:rsid w:val="006A63C2"/>
    <w:rsid w:val="006A71F3"/>
    <w:rsid w:val="006A733B"/>
    <w:rsid w:val="006A74D8"/>
    <w:rsid w:val="006B002D"/>
    <w:rsid w:val="006B0752"/>
    <w:rsid w:val="006B0806"/>
    <w:rsid w:val="006B08BE"/>
    <w:rsid w:val="006B0D43"/>
    <w:rsid w:val="006B12DE"/>
    <w:rsid w:val="006B18B0"/>
    <w:rsid w:val="006B18FF"/>
    <w:rsid w:val="006B1A65"/>
    <w:rsid w:val="006B1D04"/>
    <w:rsid w:val="006B1D28"/>
    <w:rsid w:val="006B213C"/>
    <w:rsid w:val="006B284D"/>
    <w:rsid w:val="006B310E"/>
    <w:rsid w:val="006B39BB"/>
    <w:rsid w:val="006B3D5F"/>
    <w:rsid w:val="006B43C7"/>
    <w:rsid w:val="006B4758"/>
    <w:rsid w:val="006B4990"/>
    <w:rsid w:val="006B4C70"/>
    <w:rsid w:val="006B4D45"/>
    <w:rsid w:val="006B632E"/>
    <w:rsid w:val="006B6C7A"/>
    <w:rsid w:val="006B74AE"/>
    <w:rsid w:val="006B74E3"/>
    <w:rsid w:val="006B758D"/>
    <w:rsid w:val="006B7686"/>
    <w:rsid w:val="006B7C5B"/>
    <w:rsid w:val="006B7F96"/>
    <w:rsid w:val="006C010C"/>
    <w:rsid w:val="006C05DC"/>
    <w:rsid w:val="006C0787"/>
    <w:rsid w:val="006C0C71"/>
    <w:rsid w:val="006C0CB4"/>
    <w:rsid w:val="006C125C"/>
    <w:rsid w:val="006C134E"/>
    <w:rsid w:val="006C19A5"/>
    <w:rsid w:val="006C19C0"/>
    <w:rsid w:val="006C1C75"/>
    <w:rsid w:val="006C1DBC"/>
    <w:rsid w:val="006C237C"/>
    <w:rsid w:val="006C25E9"/>
    <w:rsid w:val="006C2981"/>
    <w:rsid w:val="006C2AE0"/>
    <w:rsid w:val="006C2D8E"/>
    <w:rsid w:val="006C375F"/>
    <w:rsid w:val="006C3EF3"/>
    <w:rsid w:val="006C3F38"/>
    <w:rsid w:val="006C3F9D"/>
    <w:rsid w:val="006C415A"/>
    <w:rsid w:val="006C43AA"/>
    <w:rsid w:val="006C4519"/>
    <w:rsid w:val="006C4917"/>
    <w:rsid w:val="006C4B05"/>
    <w:rsid w:val="006C50E5"/>
    <w:rsid w:val="006C55D9"/>
    <w:rsid w:val="006C55EE"/>
    <w:rsid w:val="006C565F"/>
    <w:rsid w:val="006C5817"/>
    <w:rsid w:val="006C5E9E"/>
    <w:rsid w:val="006C631E"/>
    <w:rsid w:val="006C6597"/>
    <w:rsid w:val="006C66D8"/>
    <w:rsid w:val="006C6943"/>
    <w:rsid w:val="006C6A28"/>
    <w:rsid w:val="006C6B4F"/>
    <w:rsid w:val="006C6C6F"/>
    <w:rsid w:val="006C6CE4"/>
    <w:rsid w:val="006C6F2C"/>
    <w:rsid w:val="006C6F80"/>
    <w:rsid w:val="006C6FB3"/>
    <w:rsid w:val="006C702E"/>
    <w:rsid w:val="006C7422"/>
    <w:rsid w:val="006C744B"/>
    <w:rsid w:val="006C77F5"/>
    <w:rsid w:val="006C7D41"/>
    <w:rsid w:val="006D07E5"/>
    <w:rsid w:val="006D07FC"/>
    <w:rsid w:val="006D094A"/>
    <w:rsid w:val="006D0FC6"/>
    <w:rsid w:val="006D1332"/>
    <w:rsid w:val="006D1372"/>
    <w:rsid w:val="006D17B2"/>
    <w:rsid w:val="006D17BB"/>
    <w:rsid w:val="006D1E24"/>
    <w:rsid w:val="006D1EDC"/>
    <w:rsid w:val="006D1F6C"/>
    <w:rsid w:val="006D202B"/>
    <w:rsid w:val="006D210F"/>
    <w:rsid w:val="006D2975"/>
    <w:rsid w:val="006D2B81"/>
    <w:rsid w:val="006D2C79"/>
    <w:rsid w:val="006D2DFE"/>
    <w:rsid w:val="006D2F5A"/>
    <w:rsid w:val="006D35DE"/>
    <w:rsid w:val="006D362F"/>
    <w:rsid w:val="006D3946"/>
    <w:rsid w:val="006D3E1A"/>
    <w:rsid w:val="006D4158"/>
    <w:rsid w:val="006D46EA"/>
    <w:rsid w:val="006D48AD"/>
    <w:rsid w:val="006D4DE2"/>
    <w:rsid w:val="006D5156"/>
    <w:rsid w:val="006D5325"/>
    <w:rsid w:val="006D589C"/>
    <w:rsid w:val="006D5B76"/>
    <w:rsid w:val="006D5E67"/>
    <w:rsid w:val="006D65D9"/>
    <w:rsid w:val="006D66FE"/>
    <w:rsid w:val="006D6992"/>
    <w:rsid w:val="006D6AAD"/>
    <w:rsid w:val="006D6B54"/>
    <w:rsid w:val="006D6E1A"/>
    <w:rsid w:val="006D700F"/>
    <w:rsid w:val="006D714B"/>
    <w:rsid w:val="006D780E"/>
    <w:rsid w:val="006D7907"/>
    <w:rsid w:val="006D7E47"/>
    <w:rsid w:val="006E0370"/>
    <w:rsid w:val="006E04C3"/>
    <w:rsid w:val="006E0C70"/>
    <w:rsid w:val="006E0ED3"/>
    <w:rsid w:val="006E0F11"/>
    <w:rsid w:val="006E1057"/>
    <w:rsid w:val="006E13E2"/>
    <w:rsid w:val="006E1417"/>
    <w:rsid w:val="006E1702"/>
    <w:rsid w:val="006E1B54"/>
    <w:rsid w:val="006E1D58"/>
    <w:rsid w:val="006E2177"/>
    <w:rsid w:val="006E24CE"/>
    <w:rsid w:val="006E24FE"/>
    <w:rsid w:val="006E2BF2"/>
    <w:rsid w:val="006E2CC5"/>
    <w:rsid w:val="006E30A4"/>
    <w:rsid w:val="006E334A"/>
    <w:rsid w:val="006E395D"/>
    <w:rsid w:val="006E3BE3"/>
    <w:rsid w:val="006E3CC4"/>
    <w:rsid w:val="006E4255"/>
    <w:rsid w:val="006E460F"/>
    <w:rsid w:val="006E4984"/>
    <w:rsid w:val="006E4A6D"/>
    <w:rsid w:val="006E594B"/>
    <w:rsid w:val="006E5A3F"/>
    <w:rsid w:val="006E5B76"/>
    <w:rsid w:val="006E5F06"/>
    <w:rsid w:val="006E5FE8"/>
    <w:rsid w:val="006E60EB"/>
    <w:rsid w:val="006E6416"/>
    <w:rsid w:val="006E6BFF"/>
    <w:rsid w:val="006E7166"/>
    <w:rsid w:val="006E7280"/>
    <w:rsid w:val="006E729A"/>
    <w:rsid w:val="006E73E4"/>
    <w:rsid w:val="006E7BAC"/>
    <w:rsid w:val="006E7BF1"/>
    <w:rsid w:val="006F0091"/>
    <w:rsid w:val="006F01E4"/>
    <w:rsid w:val="006F0228"/>
    <w:rsid w:val="006F0701"/>
    <w:rsid w:val="006F07B3"/>
    <w:rsid w:val="006F0CF5"/>
    <w:rsid w:val="006F0E96"/>
    <w:rsid w:val="006F1472"/>
    <w:rsid w:val="006F1B9E"/>
    <w:rsid w:val="006F2342"/>
    <w:rsid w:val="006F250B"/>
    <w:rsid w:val="006F2CF0"/>
    <w:rsid w:val="006F323D"/>
    <w:rsid w:val="006F3245"/>
    <w:rsid w:val="006F3261"/>
    <w:rsid w:val="006F3399"/>
    <w:rsid w:val="006F35DA"/>
    <w:rsid w:val="006F3990"/>
    <w:rsid w:val="006F3CF3"/>
    <w:rsid w:val="006F3EE7"/>
    <w:rsid w:val="006F3FEF"/>
    <w:rsid w:val="006F483C"/>
    <w:rsid w:val="006F4865"/>
    <w:rsid w:val="006F4F08"/>
    <w:rsid w:val="006F4FB3"/>
    <w:rsid w:val="006F5256"/>
    <w:rsid w:val="006F54BD"/>
    <w:rsid w:val="006F5C01"/>
    <w:rsid w:val="006F5D68"/>
    <w:rsid w:val="006F609F"/>
    <w:rsid w:val="006F60B9"/>
    <w:rsid w:val="006F66A3"/>
    <w:rsid w:val="006F6882"/>
    <w:rsid w:val="006F6A2C"/>
    <w:rsid w:val="006F6B42"/>
    <w:rsid w:val="006F755D"/>
    <w:rsid w:val="006F7715"/>
    <w:rsid w:val="006F7978"/>
    <w:rsid w:val="006F7CC3"/>
    <w:rsid w:val="006F7D6F"/>
    <w:rsid w:val="006F7E43"/>
    <w:rsid w:val="0070007F"/>
    <w:rsid w:val="007003BB"/>
    <w:rsid w:val="00700435"/>
    <w:rsid w:val="0070049E"/>
    <w:rsid w:val="00700A8C"/>
    <w:rsid w:val="00700D15"/>
    <w:rsid w:val="007017CE"/>
    <w:rsid w:val="007018E0"/>
    <w:rsid w:val="00702115"/>
    <w:rsid w:val="00702357"/>
    <w:rsid w:val="007025BF"/>
    <w:rsid w:val="007026DD"/>
    <w:rsid w:val="0070287C"/>
    <w:rsid w:val="00702A12"/>
    <w:rsid w:val="00702D0E"/>
    <w:rsid w:val="007030F4"/>
    <w:rsid w:val="00703178"/>
    <w:rsid w:val="00703247"/>
    <w:rsid w:val="00703411"/>
    <w:rsid w:val="00703B7D"/>
    <w:rsid w:val="00703F43"/>
    <w:rsid w:val="007044C2"/>
    <w:rsid w:val="00704875"/>
    <w:rsid w:val="0070498A"/>
    <w:rsid w:val="00704ACA"/>
    <w:rsid w:val="00704D50"/>
    <w:rsid w:val="007053D0"/>
    <w:rsid w:val="0070545D"/>
    <w:rsid w:val="007056B3"/>
    <w:rsid w:val="00705805"/>
    <w:rsid w:val="00705B18"/>
    <w:rsid w:val="00705DDE"/>
    <w:rsid w:val="00705E08"/>
    <w:rsid w:val="00705F52"/>
    <w:rsid w:val="007062AE"/>
    <w:rsid w:val="007064DC"/>
    <w:rsid w:val="007065D9"/>
    <w:rsid w:val="0070661E"/>
    <w:rsid w:val="0070672C"/>
    <w:rsid w:val="007069DC"/>
    <w:rsid w:val="0070760A"/>
    <w:rsid w:val="00707733"/>
    <w:rsid w:val="00707906"/>
    <w:rsid w:val="00707997"/>
    <w:rsid w:val="00707AAD"/>
    <w:rsid w:val="00707C8A"/>
    <w:rsid w:val="00707CF3"/>
    <w:rsid w:val="00710201"/>
    <w:rsid w:val="00710264"/>
    <w:rsid w:val="0071045B"/>
    <w:rsid w:val="007105B8"/>
    <w:rsid w:val="00710886"/>
    <w:rsid w:val="00710903"/>
    <w:rsid w:val="0071098E"/>
    <w:rsid w:val="00710B8E"/>
    <w:rsid w:val="00710DA7"/>
    <w:rsid w:val="007112FD"/>
    <w:rsid w:val="00711706"/>
    <w:rsid w:val="00712114"/>
    <w:rsid w:val="00712231"/>
    <w:rsid w:val="00712606"/>
    <w:rsid w:val="00712609"/>
    <w:rsid w:val="0071275D"/>
    <w:rsid w:val="0071289C"/>
    <w:rsid w:val="00712DAA"/>
    <w:rsid w:val="00712EFC"/>
    <w:rsid w:val="00712F39"/>
    <w:rsid w:val="00713570"/>
    <w:rsid w:val="0071361F"/>
    <w:rsid w:val="007137BE"/>
    <w:rsid w:val="007138B1"/>
    <w:rsid w:val="00713BD6"/>
    <w:rsid w:val="00714713"/>
    <w:rsid w:val="007147F9"/>
    <w:rsid w:val="00714C35"/>
    <w:rsid w:val="007150C8"/>
    <w:rsid w:val="007154D1"/>
    <w:rsid w:val="0071555D"/>
    <w:rsid w:val="007155CF"/>
    <w:rsid w:val="00715A20"/>
    <w:rsid w:val="00716E62"/>
    <w:rsid w:val="00716F33"/>
    <w:rsid w:val="007171AE"/>
    <w:rsid w:val="00717235"/>
    <w:rsid w:val="0071734B"/>
    <w:rsid w:val="007175BF"/>
    <w:rsid w:val="0071773E"/>
    <w:rsid w:val="007179CE"/>
    <w:rsid w:val="00717D4E"/>
    <w:rsid w:val="00717E5F"/>
    <w:rsid w:val="007202B1"/>
    <w:rsid w:val="007202CF"/>
    <w:rsid w:val="007204DB"/>
    <w:rsid w:val="0072061E"/>
    <w:rsid w:val="0072070B"/>
    <w:rsid w:val="0072073A"/>
    <w:rsid w:val="007209AA"/>
    <w:rsid w:val="00720A65"/>
    <w:rsid w:val="00720D0D"/>
    <w:rsid w:val="007211DE"/>
    <w:rsid w:val="00721333"/>
    <w:rsid w:val="0072149B"/>
    <w:rsid w:val="00721D7A"/>
    <w:rsid w:val="00721DF3"/>
    <w:rsid w:val="0072206E"/>
    <w:rsid w:val="00722B93"/>
    <w:rsid w:val="00722CEE"/>
    <w:rsid w:val="00722EAD"/>
    <w:rsid w:val="00722EC6"/>
    <w:rsid w:val="00722F6A"/>
    <w:rsid w:val="00722FF1"/>
    <w:rsid w:val="007230E1"/>
    <w:rsid w:val="007235D1"/>
    <w:rsid w:val="00723A58"/>
    <w:rsid w:val="00723B23"/>
    <w:rsid w:val="00723F35"/>
    <w:rsid w:val="007242B4"/>
    <w:rsid w:val="007242DE"/>
    <w:rsid w:val="00724471"/>
    <w:rsid w:val="00725087"/>
    <w:rsid w:val="00725656"/>
    <w:rsid w:val="00725B47"/>
    <w:rsid w:val="00725BC0"/>
    <w:rsid w:val="00726A5B"/>
    <w:rsid w:val="00726C36"/>
    <w:rsid w:val="00726D66"/>
    <w:rsid w:val="00726FD9"/>
    <w:rsid w:val="007276AF"/>
    <w:rsid w:val="00727983"/>
    <w:rsid w:val="00727E5F"/>
    <w:rsid w:val="00730316"/>
    <w:rsid w:val="0073076D"/>
    <w:rsid w:val="007308B8"/>
    <w:rsid w:val="00730CBB"/>
    <w:rsid w:val="00730EE1"/>
    <w:rsid w:val="00730F57"/>
    <w:rsid w:val="00731A28"/>
    <w:rsid w:val="00731A49"/>
    <w:rsid w:val="00731BB4"/>
    <w:rsid w:val="00731BCF"/>
    <w:rsid w:val="007320AC"/>
    <w:rsid w:val="00732133"/>
    <w:rsid w:val="00732EE7"/>
    <w:rsid w:val="00733739"/>
    <w:rsid w:val="0073425A"/>
    <w:rsid w:val="007342B5"/>
    <w:rsid w:val="00734A5B"/>
    <w:rsid w:val="00734A82"/>
    <w:rsid w:val="00734B19"/>
    <w:rsid w:val="00734E6A"/>
    <w:rsid w:val="00735021"/>
    <w:rsid w:val="0073507E"/>
    <w:rsid w:val="00735333"/>
    <w:rsid w:val="0073554B"/>
    <w:rsid w:val="007358B9"/>
    <w:rsid w:val="00735AA9"/>
    <w:rsid w:val="00735AB0"/>
    <w:rsid w:val="00735B8D"/>
    <w:rsid w:val="00735D6C"/>
    <w:rsid w:val="00736527"/>
    <w:rsid w:val="0073652C"/>
    <w:rsid w:val="00736596"/>
    <w:rsid w:val="00736A48"/>
    <w:rsid w:val="00736C49"/>
    <w:rsid w:val="00736E8A"/>
    <w:rsid w:val="00736F08"/>
    <w:rsid w:val="00736F45"/>
    <w:rsid w:val="00737190"/>
    <w:rsid w:val="007379D3"/>
    <w:rsid w:val="00737B02"/>
    <w:rsid w:val="00737DE4"/>
    <w:rsid w:val="00740038"/>
    <w:rsid w:val="00740668"/>
    <w:rsid w:val="007408DF"/>
    <w:rsid w:val="00740AF7"/>
    <w:rsid w:val="00741333"/>
    <w:rsid w:val="007418E0"/>
    <w:rsid w:val="00741B7B"/>
    <w:rsid w:val="00741E57"/>
    <w:rsid w:val="0074205A"/>
    <w:rsid w:val="00742285"/>
    <w:rsid w:val="007427E0"/>
    <w:rsid w:val="007429B8"/>
    <w:rsid w:val="00742E8B"/>
    <w:rsid w:val="007430A4"/>
    <w:rsid w:val="0074345F"/>
    <w:rsid w:val="0074368A"/>
    <w:rsid w:val="007440D1"/>
    <w:rsid w:val="007440F2"/>
    <w:rsid w:val="00744BC2"/>
    <w:rsid w:val="00744E31"/>
    <w:rsid w:val="00744E76"/>
    <w:rsid w:val="00745173"/>
    <w:rsid w:val="007454AC"/>
    <w:rsid w:val="00745C55"/>
    <w:rsid w:val="00746000"/>
    <w:rsid w:val="007461DD"/>
    <w:rsid w:val="007461E3"/>
    <w:rsid w:val="007463D2"/>
    <w:rsid w:val="007465F5"/>
    <w:rsid w:val="007469D0"/>
    <w:rsid w:val="00746D47"/>
    <w:rsid w:val="00747309"/>
    <w:rsid w:val="0074757D"/>
    <w:rsid w:val="00747661"/>
    <w:rsid w:val="00747AE5"/>
    <w:rsid w:val="007507EA"/>
    <w:rsid w:val="00750A1B"/>
    <w:rsid w:val="00750B8F"/>
    <w:rsid w:val="00750BB4"/>
    <w:rsid w:val="00751AB8"/>
    <w:rsid w:val="00751C03"/>
    <w:rsid w:val="00751C44"/>
    <w:rsid w:val="00751D91"/>
    <w:rsid w:val="00751FE0"/>
    <w:rsid w:val="0075210F"/>
    <w:rsid w:val="00752321"/>
    <w:rsid w:val="0075247A"/>
    <w:rsid w:val="0075285F"/>
    <w:rsid w:val="00752A6C"/>
    <w:rsid w:val="00752D13"/>
    <w:rsid w:val="007536B4"/>
    <w:rsid w:val="007536CD"/>
    <w:rsid w:val="00753798"/>
    <w:rsid w:val="00753C26"/>
    <w:rsid w:val="00753C3E"/>
    <w:rsid w:val="00753F37"/>
    <w:rsid w:val="00754AC6"/>
    <w:rsid w:val="00754C68"/>
    <w:rsid w:val="00755308"/>
    <w:rsid w:val="00755BF4"/>
    <w:rsid w:val="00755CAE"/>
    <w:rsid w:val="00755FF4"/>
    <w:rsid w:val="007560A2"/>
    <w:rsid w:val="007560EE"/>
    <w:rsid w:val="007563F5"/>
    <w:rsid w:val="00756477"/>
    <w:rsid w:val="00756E0E"/>
    <w:rsid w:val="00756E73"/>
    <w:rsid w:val="00756F02"/>
    <w:rsid w:val="00756F32"/>
    <w:rsid w:val="0075711B"/>
    <w:rsid w:val="00757180"/>
    <w:rsid w:val="007573F1"/>
    <w:rsid w:val="00757711"/>
    <w:rsid w:val="00757B6A"/>
    <w:rsid w:val="00757D40"/>
    <w:rsid w:val="007601C4"/>
    <w:rsid w:val="007601C6"/>
    <w:rsid w:val="00760AA2"/>
    <w:rsid w:val="00760F6D"/>
    <w:rsid w:val="0076135D"/>
    <w:rsid w:val="0076161D"/>
    <w:rsid w:val="00761C15"/>
    <w:rsid w:val="00761F85"/>
    <w:rsid w:val="0076204A"/>
    <w:rsid w:val="00762092"/>
    <w:rsid w:val="00762398"/>
    <w:rsid w:val="00762C4F"/>
    <w:rsid w:val="0076302B"/>
    <w:rsid w:val="0076381C"/>
    <w:rsid w:val="00763DF1"/>
    <w:rsid w:val="00763E5C"/>
    <w:rsid w:val="007642F4"/>
    <w:rsid w:val="00764499"/>
    <w:rsid w:val="00764A9F"/>
    <w:rsid w:val="0076517C"/>
    <w:rsid w:val="00765199"/>
    <w:rsid w:val="007652E5"/>
    <w:rsid w:val="00765619"/>
    <w:rsid w:val="0076565F"/>
    <w:rsid w:val="0076581F"/>
    <w:rsid w:val="007658B8"/>
    <w:rsid w:val="00765AE9"/>
    <w:rsid w:val="00765D90"/>
    <w:rsid w:val="0076607C"/>
    <w:rsid w:val="0076609C"/>
    <w:rsid w:val="00766107"/>
    <w:rsid w:val="007662B0"/>
    <w:rsid w:val="007662B5"/>
    <w:rsid w:val="00766332"/>
    <w:rsid w:val="007664FC"/>
    <w:rsid w:val="00766EAF"/>
    <w:rsid w:val="00767073"/>
    <w:rsid w:val="00767266"/>
    <w:rsid w:val="007679BB"/>
    <w:rsid w:val="00767CA0"/>
    <w:rsid w:val="00767E00"/>
    <w:rsid w:val="0077005B"/>
    <w:rsid w:val="0077016D"/>
    <w:rsid w:val="007701AB"/>
    <w:rsid w:val="00770394"/>
    <w:rsid w:val="0077061D"/>
    <w:rsid w:val="00770E3B"/>
    <w:rsid w:val="00770E63"/>
    <w:rsid w:val="007712A6"/>
    <w:rsid w:val="00771379"/>
    <w:rsid w:val="00771691"/>
    <w:rsid w:val="007716E8"/>
    <w:rsid w:val="00771940"/>
    <w:rsid w:val="0077221E"/>
    <w:rsid w:val="00772545"/>
    <w:rsid w:val="00772BD0"/>
    <w:rsid w:val="00772D53"/>
    <w:rsid w:val="00772ECC"/>
    <w:rsid w:val="00772FF0"/>
    <w:rsid w:val="0077377F"/>
    <w:rsid w:val="007738F4"/>
    <w:rsid w:val="00773930"/>
    <w:rsid w:val="0077402D"/>
    <w:rsid w:val="00774554"/>
    <w:rsid w:val="00774DE8"/>
    <w:rsid w:val="00774E9A"/>
    <w:rsid w:val="007754F3"/>
    <w:rsid w:val="0077558F"/>
    <w:rsid w:val="007755B4"/>
    <w:rsid w:val="00775B3D"/>
    <w:rsid w:val="00775CC9"/>
    <w:rsid w:val="00776811"/>
    <w:rsid w:val="00776CCB"/>
    <w:rsid w:val="0077727E"/>
    <w:rsid w:val="007772AD"/>
    <w:rsid w:val="007773A4"/>
    <w:rsid w:val="007775C1"/>
    <w:rsid w:val="007776B7"/>
    <w:rsid w:val="007776C4"/>
    <w:rsid w:val="00777793"/>
    <w:rsid w:val="0077782B"/>
    <w:rsid w:val="0077790F"/>
    <w:rsid w:val="00780169"/>
    <w:rsid w:val="00780E27"/>
    <w:rsid w:val="00780E7F"/>
    <w:rsid w:val="00781376"/>
    <w:rsid w:val="007813D7"/>
    <w:rsid w:val="007815C7"/>
    <w:rsid w:val="00781975"/>
    <w:rsid w:val="00781F0F"/>
    <w:rsid w:val="00781FCF"/>
    <w:rsid w:val="00782315"/>
    <w:rsid w:val="00782F11"/>
    <w:rsid w:val="00782F33"/>
    <w:rsid w:val="00783430"/>
    <w:rsid w:val="00783B51"/>
    <w:rsid w:val="00783F90"/>
    <w:rsid w:val="00784717"/>
    <w:rsid w:val="00784764"/>
    <w:rsid w:val="00784AD5"/>
    <w:rsid w:val="0078502C"/>
    <w:rsid w:val="00785A3D"/>
    <w:rsid w:val="00785AC6"/>
    <w:rsid w:val="00785CB8"/>
    <w:rsid w:val="00785FAB"/>
    <w:rsid w:val="00786349"/>
    <w:rsid w:val="007865EF"/>
    <w:rsid w:val="00786D0A"/>
    <w:rsid w:val="0078727C"/>
    <w:rsid w:val="007900C2"/>
    <w:rsid w:val="00790217"/>
    <w:rsid w:val="0079049D"/>
    <w:rsid w:val="007905F6"/>
    <w:rsid w:val="00790624"/>
    <w:rsid w:val="00790FDA"/>
    <w:rsid w:val="00790FDE"/>
    <w:rsid w:val="0079173F"/>
    <w:rsid w:val="00791974"/>
    <w:rsid w:val="007919F7"/>
    <w:rsid w:val="00791A86"/>
    <w:rsid w:val="00791CF6"/>
    <w:rsid w:val="00791EFD"/>
    <w:rsid w:val="0079207F"/>
    <w:rsid w:val="007928B7"/>
    <w:rsid w:val="00792E6E"/>
    <w:rsid w:val="007934B6"/>
    <w:rsid w:val="0079383B"/>
    <w:rsid w:val="00793B4C"/>
    <w:rsid w:val="00793CC8"/>
    <w:rsid w:val="00793DC5"/>
    <w:rsid w:val="0079401C"/>
    <w:rsid w:val="0079402B"/>
    <w:rsid w:val="00794777"/>
    <w:rsid w:val="00794789"/>
    <w:rsid w:val="00794C6A"/>
    <w:rsid w:val="00794D71"/>
    <w:rsid w:val="007950FC"/>
    <w:rsid w:val="007951B5"/>
    <w:rsid w:val="00795653"/>
    <w:rsid w:val="00795739"/>
    <w:rsid w:val="00795785"/>
    <w:rsid w:val="007957D5"/>
    <w:rsid w:val="00795D1E"/>
    <w:rsid w:val="00795E37"/>
    <w:rsid w:val="00795F09"/>
    <w:rsid w:val="00795FB9"/>
    <w:rsid w:val="00796022"/>
    <w:rsid w:val="00796296"/>
    <w:rsid w:val="0079629C"/>
    <w:rsid w:val="00796471"/>
    <w:rsid w:val="007965A2"/>
    <w:rsid w:val="00796823"/>
    <w:rsid w:val="007969DA"/>
    <w:rsid w:val="00796B36"/>
    <w:rsid w:val="00796F61"/>
    <w:rsid w:val="0079711D"/>
    <w:rsid w:val="00797160"/>
    <w:rsid w:val="0079727C"/>
    <w:rsid w:val="0079735C"/>
    <w:rsid w:val="00797412"/>
    <w:rsid w:val="007975B5"/>
    <w:rsid w:val="0079760D"/>
    <w:rsid w:val="00797F2D"/>
    <w:rsid w:val="007A00BB"/>
    <w:rsid w:val="007A056B"/>
    <w:rsid w:val="007A0B90"/>
    <w:rsid w:val="007A125D"/>
    <w:rsid w:val="007A162D"/>
    <w:rsid w:val="007A1848"/>
    <w:rsid w:val="007A1D12"/>
    <w:rsid w:val="007A1ED4"/>
    <w:rsid w:val="007A1FBC"/>
    <w:rsid w:val="007A2034"/>
    <w:rsid w:val="007A21A1"/>
    <w:rsid w:val="007A2428"/>
    <w:rsid w:val="007A2741"/>
    <w:rsid w:val="007A2793"/>
    <w:rsid w:val="007A2980"/>
    <w:rsid w:val="007A2E55"/>
    <w:rsid w:val="007A339D"/>
    <w:rsid w:val="007A3A72"/>
    <w:rsid w:val="007A3F27"/>
    <w:rsid w:val="007A4550"/>
    <w:rsid w:val="007A4793"/>
    <w:rsid w:val="007A48E8"/>
    <w:rsid w:val="007A5148"/>
    <w:rsid w:val="007A54B5"/>
    <w:rsid w:val="007A59F4"/>
    <w:rsid w:val="007A5AA4"/>
    <w:rsid w:val="007A5B2F"/>
    <w:rsid w:val="007A5CAE"/>
    <w:rsid w:val="007A5FFB"/>
    <w:rsid w:val="007A6046"/>
    <w:rsid w:val="007A608B"/>
    <w:rsid w:val="007A6127"/>
    <w:rsid w:val="007A65FC"/>
    <w:rsid w:val="007A70FF"/>
    <w:rsid w:val="007A7404"/>
    <w:rsid w:val="007A75D3"/>
    <w:rsid w:val="007A7934"/>
    <w:rsid w:val="007A7C12"/>
    <w:rsid w:val="007A7C5C"/>
    <w:rsid w:val="007A7C83"/>
    <w:rsid w:val="007A7D7E"/>
    <w:rsid w:val="007B02B6"/>
    <w:rsid w:val="007B04B0"/>
    <w:rsid w:val="007B050C"/>
    <w:rsid w:val="007B063F"/>
    <w:rsid w:val="007B087B"/>
    <w:rsid w:val="007B0925"/>
    <w:rsid w:val="007B0A18"/>
    <w:rsid w:val="007B0B23"/>
    <w:rsid w:val="007B0C2A"/>
    <w:rsid w:val="007B0CDC"/>
    <w:rsid w:val="007B0D1E"/>
    <w:rsid w:val="007B0E37"/>
    <w:rsid w:val="007B0E76"/>
    <w:rsid w:val="007B0F98"/>
    <w:rsid w:val="007B126E"/>
    <w:rsid w:val="007B16B1"/>
    <w:rsid w:val="007B1886"/>
    <w:rsid w:val="007B18D8"/>
    <w:rsid w:val="007B1A11"/>
    <w:rsid w:val="007B20BE"/>
    <w:rsid w:val="007B216B"/>
    <w:rsid w:val="007B226D"/>
    <w:rsid w:val="007B248B"/>
    <w:rsid w:val="007B27CB"/>
    <w:rsid w:val="007B293E"/>
    <w:rsid w:val="007B2E6A"/>
    <w:rsid w:val="007B3299"/>
    <w:rsid w:val="007B3902"/>
    <w:rsid w:val="007B3E74"/>
    <w:rsid w:val="007B3FF7"/>
    <w:rsid w:val="007B40A7"/>
    <w:rsid w:val="007B4174"/>
    <w:rsid w:val="007B485D"/>
    <w:rsid w:val="007B4995"/>
    <w:rsid w:val="007B52E8"/>
    <w:rsid w:val="007B56E4"/>
    <w:rsid w:val="007B578C"/>
    <w:rsid w:val="007B5A9B"/>
    <w:rsid w:val="007B6376"/>
    <w:rsid w:val="007B63A1"/>
    <w:rsid w:val="007B69DD"/>
    <w:rsid w:val="007B6BCC"/>
    <w:rsid w:val="007B6BDA"/>
    <w:rsid w:val="007B72C3"/>
    <w:rsid w:val="007B7800"/>
    <w:rsid w:val="007B7858"/>
    <w:rsid w:val="007B7C3B"/>
    <w:rsid w:val="007C05D0"/>
    <w:rsid w:val="007C07DB"/>
    <w:rsid w:val="007C08E0"/>
    <w:rsid w:val="007C095F"/>
    <w:rsid w:val="007C0B0B"/>
    <w:rsid w:val="007C0F43"/>
    <w:rsid w:val="007C1088"/>
    <w:rsid w:val="007C137B"/>
    <w:rsid w:val="007C15EF"/>
    <w:rsid w:val="007C194D"/>
    <w:rsid w:val="007C1C5C"/>
    <w:rsid w:val="007C1C6E"/>
    <w:rsid w:val="007C207D"/>
    <w:rsid w:val="007C29CF"/>
    <w:rsid w:val="007C2DD0"/>
    <w:rsid w:val="007C2F12"/>
    <w:rsid w:val="007C3214"/>
    <w:rsid w:val="007C332F"/>
    <w:rsid w:val="007C335C"/>
    <w:rsid w:val="007C33ED"/>
    <w:rsid w:val="007C3885"/>
    <w:rsid w:val="007C3C63"/>
    <w:rsid w:val="007C416F"/>
    <w:rsid w:val="007C44AF"/>
    <w:rsid w:val="007C456D"/>
    <w:rsid w:val="007C458D"/>
    <w:rsid w:val="007C4B4E"/>
    <w:rsid w:val="007C4CF3"/>
    <w:rsid w:val="007C4DD6"/>
    <w:rsid w:val="007C4EB5"/>
    <w:rsid w:val="007C4ECF"/>
    <w:rsid w:val="007C4F10"/>
    <w:rsid w:val="007C4F3A"/>
    <w:rsid w:val="007C549B"/>
    <w:rsid w:val="007C5576"/>
    <w:rsid w:val="007C588B"/>
    <w:rsid w:val="007C5A17"/>
    <w:rsid w:val="007C61EF"/>
    <w:rsid w:val="007C61F2"/>
    <w:rsid w:val="007C620E"/>
    <w:rsid w:val="007C6422"/>
    <w:rsid w:val="007C65CF"/>
    <w:rsid w:val="007C6DAA"/>
    <w:rsid w:val="007C6F05"/>
    <w:rsid w:val="007C70C6"/>
    <w:rsid w:val="007C79B1"/>
    <w:rsid w:val="007C79CE"/>
    <w:rsid w:val="007C7CCE"/>
    <w:rsid w:val="007C7CD0"/>
    <w:rsid w:val="007C7D01"/>
    <w:rsid w:val="007D01AC"/>
    <w:rsid w:val="007D032E"/>
    <w:rsid w:val="007D0462"/>
    <w:rsid w:val="007D0CE1"/>
    <w:rsid w:val="007D0DDF"/>
    <w:rsid w:val="007D0FC2"/>
    <w:rsid w:val="007D1059"/>
    <w:rsid w:val="007D1386"/>
    <w:rsid w:val="007D149B"/>
    <w:rsid w:val="007D1530"/>
    <w:rsid w:val="007D22C5"/>
    <w:rsid w:val="007D28EE"/>
    <w:rsid w:val="007D2E88"/>
    <w:rsid w:val="007D2F1C"/>
    <w:rsid w:val="007D3560"/>
    <w:rsid w:val="007D3610"/>
    <w:rsid w:val="007D3DA6"/>
    <w:rsid w:val="007D4081"/>
    <w:rsid w:val="007D422B"/>
    <w:rsid w:val="007D47B5"/>
    <w:rsid w:val="007D49F2"/>
    <w:rsid w:val="007D5188"/>
    <w:rsid w:val="007D5D14"/>
    <w:rsid w:val="007D6AFC"/>
    <w:rsid w:val="007D6CDC"/>
    <w:rsid w:val="007D6D73"/>
    <w:rsid w:val="007D6DAD"/>
    <w:rsid w:val="007D6F38"/>
    <w:rsid w:val="007D745B"/>
    <w:rsid w:val="007D74DA"/>
    <w:rsid w:val="007D7AC2"/>
    <w:rsid w:val="007D7C00"/>
    <w:rsid w:val="007D7EF7"/>
    <w:rsid w:val="007E0354"/>
    <w:rsid w:val="007E0424"/>
    <w:rsid w:val="007E0522"/>
    <w:rsid w:val="007E07CE"/>
    <w:rsid w:val="007E07FA"/>
    <w:rsid w:val="007E0ECB"/>
    <w:rsid w:val="007E2236"/>
    <w:rsid w:val="007E2488"/>
    <w:rsid w:val="007E2B5C"/>
    <w:rsid w:val="007E2BB3"/>
    <w:rsid w:val="007E2C02"/>
    <w:rsid w:val="007E3197"/>
    <w:rsid w:val="007E36D0"/>
    <w:rsid w:val="007E3799"/>
    <w:rsid w:val="007E38D6"/>
    <w:rsid w:val="007E40FB"/>
    <w:rsid w:val="007E427C"/>
    <w:rsid w:val="007E4479"/>
    <w:rsid w:val="007E44E6"/>
    <w:rsid w:val="007E44F0"/>
    <w:rsid w:val="007E4B18"/>
    <w:rsid w:val="007E5690"/>
    <w:rsid w:val="007E5804"/>
    <w:rsid w:val="007E5A24"/>
    <w:rsid w:val="007E5A84"/>
    <w:rsid w:val="007E5C59"/>
    <w:rsid w:val="007E632C"/>
    <w:rsid w:val="007E6655"/>
    <w:rsid w:val="007E6CF7"/>
    <w:rsid w:val="007E7137"/>
    <w:rsid w:val="007E7737"/>
    <w:rsid w:val="007E7A3C"/>
    <w:rsid w:val="007E7F4A"/>
    <w:rsid w:val="007F004D"/>
    <w:rsid w:val="007F019D"/>
    <w:rsid w:val="007F01D2"/>
    <w:rsid w:val="007F07A4"/>
    <w:rsid w:val="007F08CF"/>
    <w:rsid w:val="007F0A45"/>
    <w:rsid w:val="007F0C48"/>
    <w:rsid w:val="007F0E28"/>
    <w:rsid w:val="007F1155"/>
    <w:rsid w:val="007F14BB"/>
    <w:rsid w:val="007F14E1"/>
    <w:rsid w:val="007F177D"/>
    <w:rsid w:val="007F1D25"/>
    <w:rsid w:val="007F1DD6"/>
    <w:rsid w:val="007F213B"/>
    <w:rsid w:val="007F260F"/>
    <w:rsid w:val="007F2647"/>
    <w:rsid w:val="007F26A9"/>
    <w:rsid w:val="007F2BA9"/>
    <w:rsid w:val="007F2C45"/>
    <w:rsid w:val="007F2DE0"/>
    <w:rsid w:val="007F2E08"/>
    <w:rsid w:val="007F2F33"/>
    <w:rsid w:val="007F3649"/>
    <w:rsid w:val="007F3862"/>
    <w:rsid w:val="007F430D"/>
    <w:rsid w:val="007F4C3A"/>
    <w:rsid w:val="007F4C57"/>
    <w:rsid w:val="007F5A8D"/>
    <w:rsid w:val="007F5C8A"/>
    <w:rsid w:val="007F5CB1"/>
    <w:rsid w:val="007F62BD"/>
    <w:rsid w:val="007F7516"/>
    <w:rsid w:val="007F7C17"/>
    <w:rsid w:val="007F7CEF"/>
    <w:rsid w:val="007F7F2D"/>
    <w:rsid w:val="008000B6"/>
    <w:rsid w:val="008001FB"/>
    <w:rsid w:val="00800362"/>
    <w:rsid w:val="00800BDA"/>
    <w:rsid w:val="00800F03"/>
    <w:rsid w:val="008010C8"/>
    <w:rsid w:val="00801257"/>
    <w:rsid w:val="00801EF5"/>
    <w:rsid w:val="00802021"/>
    <w:rsid w:val="00802023"/>
    <w:rsid w:val="00802207"/>
    <w:rsid w:val="008024FA"/>
    <w:rsid w:val="0080252E"/>
    <w:rsid w:val="008027E7"/>
    <w:rsid w:val="00802893"/>
    <w:rsid w:val="008028A4"/>
    <w:rsid w:val="008028FE"/>
    <w:rsid w:val="00802A27"/>
    <w:rsid w:val="008032B7"/>
    <w:rsid w:val="00803420"/>
    <w:rsid w:val="00803CED"/>
    <w:rsid w:val="00803DC8"/>
    <w:rsid w:val="008043EA"/>
    <w:rsid w:val="00804497"/>
    <w:rsid w:val="00804BFD"/>
    <w:rsid w:val="00804E22"/>
    <w:rsid w:val="00804FF0"/>
    <w:rsid w:val="00805150"/>
    <w:rsid w:val="008051F9"/>
    <w:rsid w:val="00805983"/>
    <w:rsid w:val="008062D7"/>
    <w:rsid w:val="008062ED"/>
    <w:rsid w:val="008064C4"/>
    <w:rsid w:val="00806C8B"/>
    <w:rsid w:val="00806CDE"/>
    <w:rsid w:val="00807189"/>
    <w:rsid w:val="00807208"/>
    <w:rsid w:val="008073B4"/>
    <w:rsid w:val="00807672"/>
    <w:rsid w:val="008078A4"/>
    <w:rsid w:val="00807BE0"/>
    <w:rsid w:val="00807E91"/>
    <w:rsid w:val="008102CB"/>
    <w:rsid w:val="00810304"/>
    <w:rsid w:val="008103AA"/>
    <w:rsid w:val="00810466"/>
    <w:rsid w:val="00810641"/>
    <w:rsid w:val="00810808"/>
    <w:rsid w:val="00810E7A"/>
    <w:rsid w:val="00810E93"/>
    <w:rsid w:val="008112AD"/>
    <w:rsid w:val="008114DE"/>
    <w:rsid w:val="00811738"/>
    <w:rsid w:val="00811FBD"/>
    <w:rsid w:val="0081211A"/>
    <w:rsid w:val="0081218E"/>
    <w:rsid w:val="00812F79"/>
    <w:rsid w:val="00813245"/>
    <w:rsid w:val="0081326A"/>
    <w:rsid w:val="00813914"/>
    <w:rsid w:val="00814479"/>
    <w:rsid w:val="0081476E"/>
    <w:rsid w:val="00814773"/>
    <w:rsid w:val="008148FB"/>
    <w:rsid w:val="0081495C"/>
    <w:rsid w:val="00814E54"/>
    <w:rsid w:val="00815324"/>
    <w:rsid w:val="00815824"/>
    <w:rsid w:val="00815930"/>
    <w:rsid w:val="00815B02"/>
    <w:rsid w:val="00815DA0"/>
    <w:rsid w:val="00815F74"/>
    <w:rsid w:val="00816488"/>
    <w:rsid w:val="0081757A"/>
    <w:rsid w:val="00817C0D"/>
    <w:rsid w:val="00817E34"/>
    <w:rsid w:val="00817FA1"/>
    <w:rsid w:val="00820065"/>
    <w:rsid w:val="0082045F"/>
    <w:rsid w:val="008204C8"/>
    <w:rsid w:val="00820690"/>
    <w:rsid w:val="008206C5"/>
    <w:rsid w:val="008208DE"/>
    <w:rsid w:val="00820BCD"/>
    <w:rsid w:val="008213A7"/>
    <w:rsid w:val="008214EC"/>
    <w:rsid w:val="00821C40"/>
    <w:rsid w:val="00821FAD"/>
    <w:rsid w:val="008220A0"/>
    <w:rsid w:val="0082296E"/>
    <w:rsid w:val="008229CA"/>
    <w:rsid w:val="008230D1"/>
    <w:rsid w:val="0082345F"/>
    <w:rsid w:val="008235F5"/>
    <w:rsid w:val="0082476B"/>
    <w:rsid w:val="00824A90"/>
    <w:rsid w:val="00824B31"/>
    <w:rsid w:val="00824CF6"/>
    <w:rsid w:val="00824D12"/>
    <w:rsid w:val="00824E53"/>
    <w:rsid w:val="00825522"/>
    <w:rsid w:val="0082556A"/>
    <w:rsid w:val="00825999"/>
    <w:rsid w:val="00826134"/>
    <w:rsid w:val="00826171"/>
    <w:rsid w:val="00826A4D"/>
    <w:rsid w:val="00826D38"/>
    <w:rsid w:val="00827504"/>
    <w:rsid w:val="008275AA"/>
    <w:rsid w:val="0082796F"/>
    <w:rsid w:val="00827C66"/>
    <w:rsid w:val="00827D87"/>
    <w:rsid w:val="00827F1A"/>
    <w:rsid w:val="00830087"/>
    <w:rsid w:val="008301CE"/>
    <w:rsid w:val="00830569"/>
    <w:rsid w:val="00830707"/>
    <w:rsid w:val="008308A6"/>
    <w:rsid w:val="008318AF"/>
    <w:rsid w:val="00831C5E"/>
    <w:rsid w:val="00831E75"/>
    <w:rsid w:val="00832208"/>
    <w:rsid w:val="008322C0"/>
    <w:rsid w:val="008331F6"/>
    <w:rsid w:val="008336C3"/>
    <w:rsid w:val="008340E3"/>
    <w:rsid w:val="00834256"/>
    <w:rsid w:val="008344F2"/>
    <w:rsid w:val="00834884"/>
    <w:rsid w:val="00835036"/>
    <w:rsid w:val="00835227"/>
    <w:rsid w:val="0083534E"/>
    <w:rsid w:val="008359AF"/>
    <w:rsid w:val="00835C60"/>
    <w:rsid w:val="00836449"/>
    <w:rsid w:val="008367CE"/>
    <w:rsid w:val="00836D6D"/>
    <w:rsid w:val="00836F09"/>
    <w:rsid w:val="0083718C"/>
    <w:rsid w:val="00837474"/>
    <w:rsid w:val="0083789E"/>
    <w:rsid w:val="00837CC3"/>
    <w:rsid w:val="00837EC2"/>
    <w:rsid w:val="00837EFC"/>
    <w:rsid w:val="00840006"/>
    <w:rsid w:val="00840610"/>
    <w:rsid w:val="008406AC"/>
    <w:rsid w:val="00840835"/>
    <w:rsid w:val="00840B02"/>
    <w:rsid w:val="00840DE0"/>
    <w:rsid w:val="00840EB4"/>
    <w:rsid w:val="008411F5"/>
    <w:rsid w:val="00841738"/>
    <w:rsid w:val="00841B6C"/>
    <w:rsid w:val="008421BD"/>
    <w:rsid w:val="00842275"/>
    <w:rsid w:val="0084234D"/>
    <w:rsid w:val="00842B80"/>
    <w:rsid w:val="00842E77"/>
    <w:rsid w:val="00842F3B"/>
    <w:rsid w:val="0084308C"/>
    <w:rsid w:val="008431EA"/>
    <w:rsid w:val="00843257"/>
    <w:rsid w:val="00843326"/>
    <w:rsid w:val="0084333A"/>
    <w:rsid w:val="008438C5"/>
    <w:rsid w:val="00843D3C"/>
    <w:rsid w:val="00843DD8"/>
    <w:rsid w:val="00844338"/>
    <w:rsid w:val="00844AD3"/>
    <w:rsid w:val="00844C4B"/>
    <w:rsid w:val="0084516C"/>
    <w:rsid w:val="00845236"/>
    <w:rsid w:val="0084529E"/>
    <w:rsid w:val="0084539B"/>
    <w:rsid w:val="0084553F"/>
    <w:rsid w:val="00845975"/>
    <w:rsid w:val="00845AD2"/>
    <w:rsid w:val="00845BDA"/>
    <w:rsid w:val="00846278"/>
    <w:rsid w:val="0084633A"/>
    <w:rsid w:val="0084647E"/>
    <w:rsid w:val="00846926"/>
    <w:rsid w:val="0084699F"/>
    <w:rsid w:val="00846E97"/>
    <w:rsid w:val="00846EB2"/>
    <w:rsid w:val="0084701B"/>
    <w:rsid w:val="008474F3"/>
    <w:rsid w:val="008477AC"/>
    <w:rsid w:val="008478A4"/>
    <w:rsid w:val="00847A50"/>
    <w:rsid w:val="00847CD0"/>
    <w:rsid w:val="00847F68"/>
    <w:rsid w:val="00847F87"/>
    <w:rsid w:val="00850155"/>
    <w:rsid w:val="00850190"/>
    <w:rsid w:val="00850518"/>
    <w:rsid w:val="00850A05"/>
    <w:rsid w:val="00851800"/>
    <w:rsid w:val="0085182E"/>
    <w:rsid w:val="0085205D"/>
    <w:rsid w:val="008534D5"/>
    <w:rsid w:val="00853572"/>
    <w:rsid w:val="00853A73"/>
    <w:rsid w:val="00853AEB"/>
    <w:rsid w:val="0085444A"/>
    <w:rsid w:val="00854E70"/>
    <w:rsid w:val="00854FA3"/>
    <w:rsid w:val="00855626"/>
    <w:rsid w:val="008556F3"/>
    <w:rsid w:val="008557B7"/>
    <w:rsid w:val="00855A43"/>
    <w:rsid w:val="00855CBF"/>
    <w:rsid w:val="00855D45"/>
    <w:rsid w:val="00855EE9"/>
    <w:rsid w:val="00855F7F"/>
    <w:rsid w:val="008562FA"/>
    <w:rsid w:val="008563BE"/>
    <w:rsid w:val="008566D6"/>
    <w:rsid w:val="0085673A"/>
    <w:rsid w:val="00856A87"/>
    <w:rsid w:val="008570AD"/>
    <w:rsid w:val="00857283"/>
    <w:rsid w:val="00857AA8"/>
    <w:rsid w:val="0086042F"/>
    <w:rsid w:val="008604CF"/>
    <w:rsid w:val="008605D9"/>
    <w:rsid w:val="008607A8"/>
    <w:rsid w:val="008608F2"/>
    <w:rsid w:val="008611DE"/>
    <w:rsid w:val="008617BD"/>
    <w:rsid w:val="00861947"/>
    <w:rsid w:val="00861ADF"/>
    <w:rsid w:val="00861CC1"/>
    <w:rsid w:val="00861DFA"/>
    <w:rsid w:val="00861F13"/>
    <w:rsid w:val="00861FE7"/>
    <w:rsid w:val="008620A1"/>
    <w:rsid w:val="00862158"/>
    <w:rsid w:val="0086230C"/>
    <w:rsid w:val="008626C6"/>
    <w:rsid w:val="008628AF"/>
    <w:rsid w:val="00862D70"/>
    <w:rsid w:val="00863459"/>
    <w:rsid w:val="0086345C"/>
    <w:rsid w:val="0086354A"/>
    <w:rsid w:val="0086399D"/>
    <w:rsid w:val="00863CF1"/>
    <w:rsid w:val="0086426C"/>
    <w:rsid w:val="00864346"/>
    <w:rsid w:val="008644DD"/>
    <w:rsid w:val="00864676"/>
    <w:rsid w:val="008649C0"/>
    <w:rsid w:val="00864A03"/>
    <w:rsid w:val="00865051"/>
    <w:rsid w:val="00865DCA"/>
    <w:rsid w:val="00866241"/>
    <w:rsid w:val="00866331"/>
    <w:rsid w:val="00866827"/>
    <w:rsid w:val="00866A22"/>
    <w:rsid w:val="00866B2E"/>
    <w:rsid w:val="00866DA5"/>
    <w:rsid w:val="00866EB0"/>
    <w:rsid w:val="00867587"/>
    <w:rsid w:val="0086788B"/>
    <w:rsid w:val="008679C8"/>
    <w:rsid w:val="00867A59"/>
    <w:rsid w:val="00867C2D"/>
    <w:rsid w:val="00870471"/>
    <w:rsid w:val="0087068F"/>
    <w:rsid w:val="008708F7"/>
    <w:rsid w:val="00870F9B"/>
    <w:rsid w:val="0087116A"/>
    <w:rsid w:val="0087166B"/>
    <w:rsid w:val="00871752"/>
    <w:rsid w:val="00871FD6"/>
    <w:rsid w:val="00872211"/>
    <w:rsid w:val="0087265E"/>
    <w:rsid w:val="008727F6"/>
    <w:rsid w:val="00872AFB"/>
    <w:rsid w:val="00872EA1"/>
    <w:rsid w:val="00873272"/>
    <w:rsid w:val="00873403"/>
    <w:rsid w:val="00873DB3"/>
    <w:rsid w:val="00873E38"/>
    <w:rsid w:val="008743D3"/>
    <w:rsid w:val="008745EF"/>
    <w:rsid w:val="0087492F"/>
    <w:rsid w:val="00874CA1"/>
    <w:rsid w:val="00874DDE"/>
    <w:rsid w:val="00874FB0"/>
    <w:rsid w:val="00874FCB"/>
    <w:rsid w:val="008753C4"/>
    <w:rsid w:val="0087597C"/>
    <w:rsid w:val="00875CF8"/>
    <w:rsid w:val="00875D56"/>
    <w:rsid w:val="008760E2"/>
    <w:rsid w:val="0087620D"/>
    <w:rsid w:val="008765BE"/>
    <w:rsid w:val="00876792"/>
    <w:rsid w:val="008768CA"/>
    <w:rsid w:val="00876AAE"/>
    <w:rsid w:val="00876D6D"/>
    <w:rsid w:val="00877D68"/>
    <w:rsid w:val="00877EF9"/>
    <w:rsid w:val="00880559"/>
    <w:rsid w:val="00880796"/>
    <w:rsid w:val="00880C74"/>
    <w:rsid w:val="00880D78"/>
    <w:rsid w:val="00880E4B"/>
    <w:rsid w:val="00880EEC"/>
    <w:rsid w:val="008811F1"/>
    <w:rsid w:val="0088139A"/>
    <w:rsid w:val="008819A3"/>
    <w:rsid w:val="00881A37"/>
    <w:rsid w:val="00881E3B"/>
    <w:rsid w:val="00881F0F"/>
    <w:rsid w:val="00882DDD"/>
    <w:rsid w:val="00882E9D"/>
    <w:rsid w:val="00883280"/>
    <w:rsid w:val="00883858"/>
    <w:rsid w:val="00883DF0"/>
    <w:rsid w:val="00883E9A"/>
    <w:rsid w:val="00883EAC"/>
    <w:rsid w:val="0088447F"/>
    <w:rsid w:val="008853B9"/>
    <w:rsid w:val="008853F7"/>
    <w:rsid w:val="008856BE"/>
    <w:rsid w:val="008857E3"/>
    <w:rsid w:val="008858E8"/>
    <w:rsid w:val="008866F5"/>
    <w:rsid w:val="00886906"/>
    <w:rsid w:val="00886D86"/>
    <w:rsid w:val="00886E66"/>
    <w:rsid w:val="00886F6D"/>
    <w:rsid w:val="00887E84"/>
    <w:rsid w:val="00887FAD"/>
    <w:rsid w:val="008901F4"/>
    <w:rsid w:val="00890294"/>
    <w:rsid w:val="008903B8"/>
    <w:rsid w:val="0089065E"/>
    <w:rsid w:val="00890664"/>
    <w:rsid w:val="008906AB"/>
    <w:rsid w:val="008909D9"/>
    <w:rsid w:val="00891284"/>
    <w:rsid w:val="008916F0"/>
    <w:rsid w:val="00891B27"/>
    <w:rsid w:val="00891F20"/>
    <w:rsid w:val="00891F81"/>
    <w:rsid w:val="008925E8"/>
    <w:rsid w:val="008926D2"/>
    <w:rsid w:val="00892903"/>
    <w:rsid w:val="008929BC"/>
    <w:rsid w:val="00892ACD"/>
    <w:rsid w:val="00892E01"/>
    <w:rsid w:val="00892E37"/>
    <w:rsid w:val="00893156"/>
    <w:rsid w:val="0089346A"/>
    <w:rsid w:val="008937CD"/>
    <w:rsid w:val="00893A6D"/>
    <w:rsid w:val="00893B3A"/>
    <w:rsid w:val="00893B66"/>
    <w:rsid w:val="00893F0C"/>
    <w:rsid w:val="00894118"/>
    <w:rsid w:val="008942D0"/>
    <w:rsid w:val="00894377"/>
    <w:rsid w:val="008944C1"/>
    <w:rsid w:val="008946BA"/>
    <w:rsid w:val="00894891"/>
    <w:rsid w:val="00894998"/>
    <w:rsid w:val="008949A2"/>
    <w:rsid w:val="00894BBA"/>
    <w:rsid w:val="00894D0D"/>
    <w:rsid w:val="0089521E"/>
    <w:rsid w:val="0089525E"/>
    <w:rsid w:val="00895662"/>
    <w:rsid w:val="0089588B"/>
    <w:rsid w:val="00895CFC"/>
    <w:rsid w:val="00895D15"/>
    <w:rsid w:val="00895D28"/>
    <w:rsid w:val="00896A52"/>
    <w:rsid w:val="00897008"/>
    <w:rsid w:val="0089726A"/>
    <w:rsid w:val="008974A3"/>
    <w:rsid w:val="00897965"/>
    <w:rsid w:val="00897AA8"/>
    <w:rsid w:val="00897CA0"/>
    <w:rsid w:val="008A06A6"/>
    <w:rsid w:val="008A07FB"/>
    <w:rsid w:val="008A0A59"/>
    <w:rsid w:val="008A0D42"/>
    <w:rsid w:val="008A10B9"/>
    <w:rsid w:val="008A1286"/>
    <w:rsid w:val="008A167D"/>
    <w:rsid w:val="008A2166"/>
    <w:rsid w:val="008A2297"/>
    <w:rsid w:val="008A23DF"/>
    <w:rsid w:val="008A25EF"/>
    <w:rsid w:val="008A2781"/>
    <w:rsid w:val="008A2A25"/>
    <w:rsid w:val="008A2A77"/>
    <w:rsid w:val="008A2B32"/>
    <w:rsid w:val="008A2DBF"/>
    <w:rsid w:val="008A2FC1"/>
    <w:rsid w:val="008A3254"/>
    <w:rsid w:val="008A3AFB"/>
    <w:rsid w:val="008A3BD8"/>
    <w:rsid w:val="008A3CB9"/>
    <w:rsid w:val="008A3CE5"/>
    <w:rsid w:val="008A3D44"/>
    <w:rsid w:val="008A3DB1"/>
    <w:rsid w:val="008A3EA4"/>
    <w:rsid w:val="008A423E"/>
    <w:rsid w:val="008A4383"/>
    <w:rsid w:val="008A46BD"/>
    <w:rsid w:val="008A4974"/>
    <w:rsid w:val="008A5348"/>
    <w:rsid w:val="008A546F"/>
    <w:rsid w:val="008A56AB"/>
    <w:rsid w:val="008A56AD"/>
    <w:rsid w:val="008A590B"/>
    <w:rsid w:val="008A5944"/>
    <w:rsid w:val="008A59D9"/>
    <w:rsid w:val="008A5A77"/>
    <w:rsid w:val="008A5EB9"/>
    <w:rsid w:val="008A6151"/>
    <w:rsid w:val="008A67FB"/>
    <w:rsid w:val="008A6907"/>
    <w:rsid w:val="008A692D"/>
    <w:rsid w:val="008A6FAE"/>
    <w:rsid w:val="008A72C1"/>
    <w:rsid w:val="008A798B"/>
    <w:rsid w:val="008A7AEB"/>
    <w:rsid w:val="008B003B"/>
    <w:rsid w:val="008B0174"/>
    <w:rsid w:val="008B01F5"/>
    <w:rsid w:val="008B0267"/>
    <w:rsid w:val="008B058D"/>
    <w:rsid w:val="008B07A0"/>
    <w:rsid w:val="008B0901"/>
    <w:rsid w:val="008B0941"/>
    <w:rsid w:val="008B0A36"/>
    <w:rsid w:val="008B0A4A"/>
    <w:rsid w:val="008B0B16"/>
    <w:rsid w:val="008B11A5"/>
    <w:rsid w:val="008B12CA"/>
    <w:rsid w:val="008B1727"/>
    <w:rsid w:val="008B179A"/>
    <w:rsid w:val="008B2020"/>
    <w:rsid w:val="008B220B"/>
    <w:rsid w:val="008B22BB"/>
    <w:rsid w:val="008B2B17"/>
    <w:rsid w:val="008B2ED1"/>
    <w:rsid w:val="008B2FC8"/>
    <w:rsid w:val="008B30CF"/>
    <w:rsid w:val="008B3B0C"/>
    <w:rsid w:val="008B3D99"/>
    <w:rsid w:val="008B41C1"/>
    <w:rsid w:val="008B4267"/>
    <w:rsid w:val="008B431C"/>
    <w:rsid w:val="008B485B"/>
    <w:rsid w:val="008B4864"/>
    <w:rsid w:val="008B4A7A"/>
    <w:rsid w:val="008B4C59"/>
    <w:rsid w:val="008B4D1D"/>
    <w:rsid w:val="008B4FDC"/>
    <w:rsid w:val="008B5306"/>
    <w:rsid w:val="008B54E8"/>
    <w:rsid w:val="008B59A0"/>
    <w:rsid w:val="008B5B7C"/>
    <w:rsid w:val="008B5B82"/>
    <w:rsid w:val="008B5B89"/>
    <w:rsid w:val="008B5F57"/>
    <w:rsid w:val="008B6481"/>
    <w:rsid w:val="008B6768"/>
    <w:rsid w:val="008B67F4"/>
    <w:rsid w:val="008B6AE0"/>
    <w:rsid w:val="008B6AE1"/>
    <w:rsid w:val="008B6D2E"/>
    <w:rsid w:val="008B6DB0"/>
    <w:rsid w:val="008B7015"/>
    <w:rsid w:val="008B71E1"/>
    <w:rsid w:val="008B749D"/>
    <w:rsid w:val="008B74F3"/>
    <w:rsid w:val="008B76A2"/>
    <w:rsid w:val="008B7895"/>
    <w:rsid w:val="008B7B69"/>
    <w:rsid w:val="008B7ECB"/>
    <w:rsid w:val="008B7EE2"/>
    <w:rsid w:val="008B7EEF"/>
    <w:rsid w:val="008B7F95"/>
    <w:rsid w:val="008C0423"/>
    <w:rsid w:val="008C0739"/>
    <w:rsid w:val="008C1470"/>
    <w:rsid w:val="008C175F"/>
    <w:rsid w:val="008C1DB5"/>
    <w:rsid w:val="008C1F30"/>
    <w:rsid w:val="008C2045"/>
    <w:rsid w:val="008C2199"/>
    <w:rsid w:val="008C2760"/>
    <w:rsid w:val="008C2C88"/>
    <w:rsid w:val="008C2E1D"/>
    <w:rsid w:val="008C2E2A"/>
    <w:rsid w:val="008C2FB9"/>
    <w:rsid w:val="008C3057"/>
    <w:rsid w:val="008C328C"/>
    <w:rsid w:val="008C32C0"/>
    <w:rsid w:val="008C33F9"/>
    <w:rsid w:val="008C3B5F"/>
    <w:rsid w:val="008C3C33"/>
    <w:rsid w:val="008C425E"/>
    <w:rsid w:val="008C454E"/>
    <w:rsid w:val="008C47B6"/>
    <w:rsid w:val="008C4A1B"/>
    <w:rsid w:val="008C4AAC"/>
    <w:rsid w:val="008C4C02"/>
    <w:rsid w:val="008C511B"/>
    <w:rsid w:val="008C51FF"/>
    <w:rsid w:val="008C534D"/>
    <w:rsid w:val="008C550F"/>
    <w:rsid w:val="008C5679"/>
    <w:rsid w:val="008C5705"/>
    <w:rsid w:val="008C5CC4"/>
    <w:rsid w:val="008C5E37"/>
    <w:rsid w:val="008C600A"/>
    <w:rsid w:val="008C6936"/>
    <w:rsid w:val="008C6AEF"/>
    <w:rsid w:val="008C6E96"/>
    <w:rsid w:val="008C707B"/>
    <w:rsid w:val="008C72DA"/>
    <w:rsid w:val="008C7406"/>
    <w:rsid w:val="008C76A9"/>
    <w:rsid w:val="008C781E"/>
    <w:rsid w:val="008C7A9C"/>
    <w:rsid w:val="008C7C0D"/>
    <w:rsid w:val="008C7C70"/>
    <w:rsid w:val="008D0218"/>
    <w:rsid w:val="008D05CB"/>
    <w:rsid w:val="008D065B"/>
    <w:rsid w:val="008D0827"/>
    <w:rsid w:val="008D095D"/>
    <w:rsid w:val="008D0B19"/>
    <w:rsid w:val="008D0E98"/>
    <w:rsid w:val="008D117B"/>
    <w:rsid w:val="008D165A"/>
    <w:rsid w:val="008D1FD8"/>
    <w:rsid w:val="008D22E9"/>
    <w:rsid w:val="008D2734"/>
    <w:rsid w:val="008D2AC8"/>
    <w:rsid w:val="008D2B8E"/>
    <w:rsid w:val="008D2E4D"/>
    <w:rsid w:val="008D2FB4"/>
    <w:rsid w:val="008D35EE"/>
    <w:rsid w:val="008D3947"/>
    <w:rsid w:val="008D3B86"/>
    <w:rsid w:val="008D4338"/>
    <w:rsid w:val="008D437E"/>
    <w:rsid w:val="008D464A"/>
    <w:rsid w:val="008D4742"/>
    <w:rsid w:val="008D475D"/>
    <w:rsid w:val="008D4927"/>
    <w:rsid w:val="008D5010"/>
    <w:rsid w:val="008D5B4D"/>
    <w:rsid w:val="008D5B89"/>
    <w:rsid w:val="008D5C15"/>
    <w:rsid w:val="008D67E8"/>
    <w:rsid w:val="008D67FA"/>
    <w:rsid w:val="008D6A0F"/>
    <w:rsid w:val="008D6BA2"/>
    <w:rsid w:val="008D6E7D"/>
    <w:rsid w:val="008D7362"/>
    <w:rsid w:val="008D7408"/>
    <w:rsid w:val="008D74E6"/>
    <w:rsid w:val="008D7871"/>
    <w:rsid w:val="008D78C2"/>
    <w:rsid w:val="008D7ACE"/>
    <w:rsid w:val="008D7EE2"/>
    <w:rsid w:val="008E0103"/>
    <w:rsid w:val="008E076D"/>
    <w:rsid w:val="008E0A02"/>
    <w:rsid w:val="008E0DBF"/>
    <w:rsid w:val="008E1D8B"/>
    <w:rsid w:val="008E1DBB"/>
    <w:rsid w:val="008E1E99"/>
    <w:rsid w:val="008E1F15"/>
    <w:rsid w:val="008E2673"/>
    <w:rsid w:val="008E27FC"/>
    <w:rsid w:val="008E2842"/>
    <w:rsid w:val="008E2A78"/>
    <w:rsid w:val="008E2E39"/>
    <w:rsid w:val="008E2F69"/>
    <w:rsid w:val="008E32C0"/>
    <w:rsid w:val="008E3771"/>
    <w:rsid w:val="008E397C"/>
    <w:rsid w:val="008E3AEF"/>
    <w:rsid w:val="008E3CAC"/>
    <w:rsid w:val="008E42A1"/>
    <w:rsid w:val="008E4462"/>
    <w:rsid w:val="008E4753"/>
    <w:rsid w:val="008E4827"/>
    <w:rsid w:val="008E4BE0"/>
    <w:rsid w:val="008E5174"/>
    <w:rsid w:val="008E5477"/>
    <w:rsid w:val="008E549E"/>
    <w:rsid w:val="008E5882"/>
    <w:rsid w:val="008E5D3A"/>
    <w:rsid w:val="008E6223"/>
    <w:rsid w:val="008E68C8"/>
    <w:rsid w:val="008E6ABF"/>
    <w:rsid w:val="008E6B0E"/>
    <w:rsid w:val="008E6B13"/>
    <w:rsid w:val="008E6CBB"/>
    <w:rsid w:val="008E6F38"/>
    <w:rsid w:val="008E6F75"/>
    <w:rsid w:val="008E7091"/>
    <w:rsid w:val="008E71FB"/>
    <w:rsid w:val="008E77F3"/>
    <w:rsid w:val="008E7C47"/>
    <w:rsid w:val="008F01E2"/>
    <w:rsid w:val="008F02FB"/>
    <w:rsid w:val="008F05EE"/>
    <w:rsid w:val="008F0735"/>
    <w:rsid w:val="008F07F8"/>
    <w:rsid w:val="008F0821"/>
    <w:rsid w:val="008F0CED"/>
    <w:rsid w:val="008F0F36"/>
    <w:rsid w:val="008F1415"/>
    <w:rsid w:val="008F1694"/>
    <w:rsid w:val="008F17B2"/>
    <w:rsid w:val="008F1A56"/>
    <w:rsid w:val="008F1A58"/>
    <w:rsid w:val="008F1C62"/>
    <w:rsid w:val="008F1C76"/>
    <w:rsid w:val="008F1CA0"/>
    <w:rsid w:val="008F1E69"/>
    <w:rsid w:val="008F1E96"/>
    <w:rsid w:val="008F2292"/>
    <w:rsid w:val="008F268A"/>
    <w:rsid w:val="008F2A3C"/>
    <w:rsid w:val="008F2C56"/>
    <w:rsid w:val="008F396F"/>
    <w:rsid w:val="008F3B72"/>
    <w:rsid w:val="008F3DCD"/>
    <w:rsid w:val="008F3ED9"/>
    <w:rsid w:val="008F4ABD"/>
    <w:rsid w:val="008F4BF0"/>
    <w:rsid w:val="008F4C3A"/>
    <w:rsid w:val="008F5793"/>
    <w:rsid w:val="008F5DDB"/>
    <w:rsid w:val="008F6808"/>
    <w:rsid w:val="008F69A0"/>
    <w:rsid w:val="008F6CEF"/>
    <w:rsid w:val="008F76D7"/>
    <w:rsid w:val="008F7A97"/>
    <w:rsid w:val="0090010A"/>
    <w:rsid w:val="0090027F"/>
    <w:rsid w:val="009003DB"/>
    <w:rsid w:val="009004D6"/>
    <w:rsid w:val="00900639"/>
    <w:rsid w:val="009009B4"/>
    <w:rsid w:val="00900A2A"/>
    <w:rsid w:val="00900B97"/>
    <w:rsid w:val="0090125B"/>
    <w:rsid w:val="0090203E"/>
    <w:rsid w:val="009024AB"/>
    <w:rsid w:val="0090271F"/>
    <w:rsid w:val="00902999"/>
    <w:rsid w:val="00902DB9"/>
    <w:rsid w:val="00903008"/>
    <w:rsid w:val="00903A00"/>
    <w:rsid w:val="00903F5A"/>
    <w:rsid w:val="009045CE"/>
    <w:rsid w:val="0090466A"/>
    <w:rsid w:val="00904954"/>
    <w:rsid w:val="009049B7"/>
    <w:rsid w:val="00904A20"/>
    <w:rsid w:val="00904B2A"/>
    <w:rsid w:val="009055B5"/>
    <w:rsid w:val="009058BA"/>
    <w:rsid w:val="00905E5A"/>
    <w:rsid w:val="009060C9"/>
    <w:rsid w:val="00906255"/>
    <w:rsid w:val="00906489"/>
    <w:rsid w:val="00906674"/>
    <w:rsid w:val="00906ACB"/>
    <w:rsid w:val="00906C5D"/>
    <w:rsid w:val="00906CC6"/>
    <w:rsid w:val="00906E8F"/>
    <w:rsid w:val="00906E95"/>
    <w:rsid w:val="00906FF9"/>
    <w:rsid w:val="00907248"/>
    <w:rsid w:val="00907A4D"/>
    <w:rsid w:val="00907BBA"/>
    <w:rsid w:val="00910BD6"/>
    <w:rsid w:val="00910D2E"/>
    <w:rsid w:val="009114FA"/>
    <w:rsid w:val="00911D9F"/>
    <w:rsid w:val="00912103"/>
    <w:rsid w:val="0091245D"/>
    <w:rsid w:val="00912888"/>
    <w:rsid w:val="0091293B"/>
    <w:rsid w:val="00913633"/>
    <w:rsid w:val="00913B7D"/>
    <w:rsid w:val="00913BF8"/>
    <w:rsid w:val="00913C01"/>
    <w:rsid w:val="00913CD8"/>
    <w:rsid w:val="0091426B"/>
    <w:rsid w:val="009144A9"/>
    <w:rsid w:val="009146F4"/>
    <w:rsid w:val="00914A3B"/>
    <w:rsid w:val="00914AA6"/>
    <w:rsid w:val="00914AD5"/>
    <w:rsid w:val="00914AFB"/>
    <w:rsid w:val="00914AFE"/>
    <w:rsid w:val="00914B12"/>
    <w:rsid w:val="00914DC5"/>
    <w:rsid w:val="00914EB4"/>
    <w:rsid w:val="00914F7B"/>
    <w:rsid w:val="00915513"/>
    <w:rsid w:val="00915719"/>
    <w:rsid w:val="00915DEB"/>
    <w:rsid w:val="009161CE"/>
    <w:rsid w:val="009162F3"/>
    <w:rsid w:val="009166A4"/>
    <w:rsid w:val="009166D1"/>
    <w:rsid w:val="00916A21"/>
    <w:rsid w:val="00917083"/>
    <w:rsid w:val="00917702"/>
    <w:rsid w:val="00917BB5"/>
    <w:rsid w:val="00920707"/>
    <w:rsid w:val="00920780"/>
    <w:rsid w:val="009208B8"/>
    <w:rsid w:val="00920A09"/>
    <w:rsid w:val="00921671"/>
    <w:rsid w:val="0092195C"/>
    <w:rsid w:val="00921A63"/>
    <w:rsid w:val="00921BC8"/>
    <w:rsid w:val="00921C64"/>
    <w:rsid w:val="00921CE8"/>
    <w:rsid w:val="0092231E"/>
    <w:rsid w:val="00922E20"/>
    <w:rsid w:val="00923655"/>
    <w:rsid w:val="00923D5A"/>
    <w:rsid w:val="00923DBD"/>
    <w:rsid w:val="00923E41"/>
    <w:rsid w:val="00923E6C"/>
    <w:rsid w:val="00924320"/>
    <w:rsid w:val="00924596"/>
    <w:rsid w:val="009248C6"/>
    <w:rsid w:val="00924903"/>
    <w:rsid w:val="0092499B"/>
    <w:rsid w:val="00924B81"/>
    <w:rsid w:val="00925216"/>
    <w:rsid w:val="0092554D"/>
    <w:rsid w:val="009257EF"/>
    <w:rsid w:val="00925AC8"/>
    <w:rsid w:val="0092638F"/>
    <w:rsid w:val="00926390"/>
    <w:rsid w:val="009263A3"/>
    <w:rsid w:val="00926AF1"/>
    <w:rsid w:val="00926C3D"/>
    <w:rsid w:val="00926E39"/>
    <w:rsid w:val="0092710D"/>
    <w:rsid w:val="0092751E"/>
    <w:rsid w:val="0092772A"/>
    <w:rsid w:val="0092781C"/>
    <w:rsid w:val="00927841"/>
    <w:rsid w:val="0092793E"/>
    <w:rsid w:val="00927F5B"/>
    <w:rsid w:val="009301CB"/>
    <w:rsid w:val="00930C12"/>
    <w:rsid w:val="00930D89"/>
    <w:rsid w:val="00930DC8"/>
    <w:rsid w:val="00930F20"/>
    <w:rsid w:val="00931183"/>
    <w:rsid w:val="009312C7"/>
    <w:rsid w:val="009315AB"/>
    <w:rsid w:val="009316AC"/>
    <w:rsid w:val="00931727"/>
    <w:rsid w:val="00931863"/>
    <w:rsid w:val="0093198C"/>
    <w:rsid w:val="00931C7C"/>
    <w:rsid w:val="00931EE6"/>
    <w:rsid w:val="0093238E"/>
    <w:rsid w:val="00932620"/>
    <w:rsid w:val="00932BDE"/>
    <w:rsid w:val="009335F2"/>
    <w:rsid w:val="009339CB"/>
    <w:rsid w:val="00933A60"/>
    <w:rsid w:val="00933B90"/>
    <w:rsid w:val="00933BA9"/>
    <w:rsid w:val="00933BCB"/>
    <w:rsid w:val="00933C44"/>
    <w:rsid w:val="00933D42"/>
    <w:rsid w:val="00933E8C"/>
    <w:rsid w:val="00934076"/>
    <w:rsid w:val="009348A2"/>
    <w:rsid w:val="00934DBF"/>
    <w:rsid w:val="00934F78"/>
    <w:rsid w:val="00935230"/>
    <w:rsid w:val="0093538C"/>
    <w:rsid w:val="009353A6"/>
    <w:rsid w:val="00935447"/>
    <w:rsid w:val="00935530"/>
    <w:rsid w:val="009357A8"/>
    <w:rsid w:val="009358A5"/>
    <w:rsid w:val="00935B09"/>
    <w:rsid w:val="00935C0F"/>
    <w:rsid w:val="00935F80"/>
    <w:rsid w:val="00936071"/>
    <w:rsid w:val="00936406"/>
    <w:rsid w:val="00936BF9"/>
    <w:rsid w:val="00936C3D"/>
    <w:rsid w:val="00936CC6"/>
    <w:rsid w:val="00937109"/>
    <w:rsid w:val="00937263"/>
    <w:rsid w:val="009376CD"/>
    <w:rsid w:val="00937D28"/>
    <w:rsid w:val="0094006C"/>
    <w:rsid w:val="009401EB"/>
    <w:rsid w:val="00940212"/>
    <w:rsid w:val="009404D4"/>
    <w:rsid w:val="0094095E"/>
    <w:rsid w:val="0094129B"/>
    <w:rsid w:val="009418A9"/>
    <w:rsid w:val="009418ED"/>
    <w:rsid w:val="0094193D"/>
    <w:rsid w:val="00941E48"/>
    <w:rsid w:val="00942EC1"/>
    <w:rsid w:val="00942EC2"/>
    <w:rsid w:val="009436A5"/>
    <w:rsid w:val="009437E3"/>
    <w:rsid w:val="00943A1C"/>
    <w:rsid w:val="00943B82"/>
    <w:rsid w:val="00943BDD"/>
    <w:rsid w:val="00943DFD"/>
    <w:rsid w:val="0094448F"/>
    <w:rsid w:val="009445FA"/>
    <w:rsid w:val="00944C49"/>
    <w:rsid w:val="00944FD1"/>
    <w:rsid w:val="0094520E"/>
    <w:rsid w:val="009457D0"/>
    <w:rsid w:val="009462B8"/>
    <w:rsid w:val="009465E6"/>
    <w:rsid w:val="00946642"/>
    <w:rsid w:val="00946714"/>
    <w:rsid w:val="00946834"/>
    <w:rsid w:val="00946C8C"/>
    <w:rsid w:val="00946D09"/>
    <w:rsid w:val="0094702E"/>
    <w:rsid w:val="0094736C"/>
    <w:rsid w:val="009478E4"/>
    <w:rsid w:val="00947AD3"/>
    <w:rsid w:val="00947DEA"/>
    <w:rsid w:val="00950015"/>
    <w:rsid w:val="009501BC"/>
    <w:rsid w:val="00950212"/>
    <w:rsid w:val="009506DB"/>
    <w:rsid w:val="00950956"/>
    <w:rsid w:val="00950AA1"/>
    <w:rsid w:val="00951271"/>
    <w:rsid w:val="00951470"/>
    <w:rsid w:val="00951532"/>
    <w:rsid w:val="0095172D"/>
    <w:rsid w:val="00951A02"/>
    <w:rsid w:val="00951FDE"/>
    <w:rsid w:val="009522AB"/>
    <w:rsid w:val="00952C95"/>
    <w:rsid w:val="00952E30"/>
    <w:rsid w:val="00952F51"/>
    <w:rsid w:val="009533C2"/>
    <w:rsid w:val="00953619"/>
    <w:rsid w:val="00953ACC"/>
    <w:rsid w:val="00953AFD"/>
    <w:rsid w:val="00953CE4"/>
    <w:rsid w:val="00953F01"/>
    <w:rsid w:val="0095412A"/>
    <w:rsid w:val="0095424E"/>
    <w:rsid w:val="00954BAB"/>
    <w:rsid w:val="00954C16"/>
    <w:rsid w:val="00954CB1"/>
    <w:rsid w:val="0095511B"/>
    <w:rsid w:val="009551AD"/>
    <w:rsid w:val="00956314"/>
    <w:rsid w:val="00956336"/>
    <w:rsid w:val="00956402"/>
    <w:rsid w:val="00956A32"/>
    <w:rsid w:val="00956A9B"/>
    <w:rsid w:val="00956B2D"/>
    <w:rsid w:val="00956D48"/>
    <w:rsid w:val="0095714B"/>
    <w:rsid w:val="009573F7"/>
    <w:rsid w:val="0095740A"/>
    <w:rsid w:val="00957716"/>
    <w:rsid w:val="00957805"/>
    <w:rsid w:val="00957947"/>
    <w:rsid w:val="00957969"/>
    <w:rsid w:val="00957C4E"/>
    <w:rsid w:val="0096021A"/>
    <w:rsid w:val="00960376"/>
    <w:rsid w:val="0096090C"/>
    <w:rsid w:val="00960945"/>
    <w:rsid w:val="00960A24"/>
    <w:rsid w:val="00960AF6"/>
    <w:rsid w:val="00961114"/>
    <w:rsid w:val="00961843"/>
    <w:rsid w:val="009619CC"/>
    <w:rsid w:val="00961B32"/>
    <w:rsid w:val="00961B98"/>
    <w:rsid w:val="00961C49"/>
    <w:rsid w:val="00961E39"/>
    <w:rsid w:val="0096216D"/>
    <w:rsid w:val="00962257"/>
    <w:rsid w:val="00962509"/>
    <w:rsid w:val="00962A03"/>
    <w:rsid w:val="00962B95"/>
    <w:rsid w:val="0096328F"/>
    <w:rsid w:val="009634C1"/>
    <w:rsid w:val="00963878"/>
    <w:rsid w:val="00963998"/>
    <w:rsid w:val="009641AB"/>
    <w:rsid w:val="00964215"/>
    <w:rsid w:val="0096454D"/>
    <w:rsid w:val="00964699"/>
    <w:rsid w:val="0096484F"/>
    <w:rsid w:val="00964E09"/>
    <w:rsid w:val="00964E3C"/>
    <w:rsid w:val="0096504E"/>
    <w:rsid w:val="00965489"/>
    <w:rsid w:val="00965A71"/>
    <w:rsid w:val="00965CEF"/>
    <w:rsid w:val="00965D99"/>
    <w:rsid w:val="0096654F"/>
    <w:rsid w:val="0096655D"/>
    <w:rsid w:val="00966667"/>
    <w:rsid w:val="00966CDF"/>
    <w:rsid w:val="00966E32"/>
    <w:rsid w:val="00966E6D"/>
    <w:rsid w:val="00966E72"/>
    <w:rsid w:val="00966EEC"/>
    <w:rsid w:val="0096734D"/>
    <w:rsid w:val="009676E3"/>
    <w:rsid w:val="00967A71"/>
    <w:rsid w:val="00967D84"/>
    <w:rsid w:val="00967FFC"/>
    <w:rsid w:val="00970278"/>
    <w:rsid w:val="00970BE0"/>
    <w:rsid w:val="00970DB3"/>
    <w:rsid w:val="00970E8F"/>
    <w:rsid w:val="00970F06"/>
    <w:rsid w:val="0097114C"/>
    <w:rsid w:val="009712A8"/>
    <w:rsid w:val="00971627"/>
    <w:rsid w:val="0097207B"/>
    <w:rsid w:val="00972729"/>
    <w:rsid w:val="00973190"/>
    <w:rsid w:val="00973355"/>
    <w:rsid w:val="009742BF"/>
    <w:rsid w:val="0097465A"/>
    <w:rsid w:val="0097490F"/>
    <w:rsid w:val="00974AF0"/>
    <w:rsid w:val="00974BB0"/>
    <w:rsid w:val="0097537B"/>
    <w:rsid w:val="009753CE"/>
    <w:rsid w:val="009756A7"/>
    <w:rsid w:val="00975BCD"/>
    <w:rsid w:val="0097603A"/>
    <w:rsid w:val="00976335"/>
    <w:rsid w:val="009768AA"/>
    <w:rsid w:val="00976AF6"/>
    <w:rsid w:val="00976C96"/>
    <w:rsid w:val="00977794"/>
    <w:rsid w:val="00977C88"/>
    <w:rsid w:val="009800C3"/>
    <w:rsid w:val="009804DE"/>
    <w:rsid w:val="0098067C"/>
    <w:rsid w:val="00980B95"/>
    <w:rsid w:val="00980BF4"/>
    <w:rsid w:val="00980C3E"/>
    <w:rsid w:val="00980C72"/>
    <w:rsid w:val="00980DFA"/>
    <w:rsid w:val="00980E69"/>
    <w:rsid w:val="009818A2"/>
    <w:rsid w:val="00981D50"/>
    <w:rsid w:val="00982056"/>
    <w:rsid w:val="0098270A"/>
    <w:rsid w:val="00982B79"/>
    <w:rsid w:val="00982DDF"/>
    <w:rsid w:val="00982E1F"/>
    <w:rsid w:val="009830D7"/>
    <w:rsid w:val="0098314B"/>
    <w:rsid w:val="009833BA"/>
    <w:rsid w:val="00983BB6"/>
    <w:rsid w:val="009840A5"/>
    <w:rsid w:val="0098445A"/>
    <w:rsid w:val="00984E57"/>
    <w:rsid w:val="00985152"/>
    <w:rsid w:val="00985186"/>
    <w:rsid w:val="00985620"/>
    <w:rsid w:val="00985837"/>
    <w:rsid w:val="00985EEA"/>
    <w:rsid w:val="00985FAF"/>
    <w:rsid w:val="009860EB"/>
    <w:rsid w:val="009861A5"/>
    <w:rsid w:val="0098645F"/>
    <w:rsid w:val="0098667A"/>
    <w:rsid w:val="00986B15"/>
    <w:rsid w:val="00986BCC"/>
    <w:rsid w:val="00986CFE"/>
    <w:rsid w:val="0098714B"/>
    <w:rsid w:val="009871C3"/>
    <w:rsid w:val="0098725C"/>
    <w:rsid w:val="009872CD"/>
    <w:rsid w:val="009879D9"/>
    <w:rsid w:val="009879E2"/>
    <w:rsid w:val="00987B16"/>
    <w:rsid w:val="0099002F"/>
    <w:rsid w:val="009902BC"/>
    <w:rsid w:val="00990C61"/>
    <w:rsid w:val="00990E12"/>
    <w:rsid w:val="00990FE5"/>
    <w:rsid w:val="00991020"/>
    <w:rsid w:val="00991070"/>
    <w:rsid w:val="00991C0C"/>
    <w:rsid w:val="00991D36"/>
    <w:rsid w:val="00991D76"/>
    <w:rsid w:val="00991F02"/>
    <w:rsid w:val="00991FD6"/>
    <w:rsid w:val="00992307"/>
    <w:rsid w:val="009926FE"/>
    <w:rsid w:val="009928A9"/>
    <w:rsid w:val="00992C2E"/>
    <w:rsid w:val="00993066"/>
    <w:rsid w:val="0099362F"/>
    <w:rsid w:val="00993890"/>
    <w:rsid w:val="00993AF3"/>
    <w:rsid w:val="00993B42"/>
    <w:rsid w:val="00994100"/>
    <w:rsid w:val="00994772"/>
    <w:rsid w:val="00994828"/>
    <w:rsid w:val="0099509B"/>
    <w:rsid w:val="009951BB"/>
    <w:rsid w:val="00995259"/>
    <w:rsid w:val="00995420"/>
    <w:rsid w:val="00995707"/>
    <w:rsid w:val="009958BA"/>
    <w:rsid w:val="00995BB7"/>
    <w:rsid w:val="00995BD5"/>
    <w:rsid w:val="00995C57"/>
    <w:rsid w:val="00995E8D"/>
    <w:rsid w:val="00996631"/>
    <w:rsid w:val="009966FE"/>
    <w:rsid w:val="009969C6"/>
    <w:rsid w:val="00996E32"/>
    <w:rsid w:val="00997144"/>
    <w:rsid w:val="00997720"/>
    <w:rsid w:val="009A02D6"/>
    <w:rsid w:val="009A0327"/>
    <w:rsid w:val="009A05A4"/>
    <w:rsid w:val="009A072F"/>
    <w:rsid w:val="009A0A44"/>
    <w:rsid w:val="009A0AF3"/>
    <w:rsid w:val="009A0E1D"/>
    <w:rsid w:val="009A0ED4"/>
    <w:rsid w:val="009A1052"/>
    <w:rsid w:val="009A105E"/>
    <w:rsid w:val="009A154C"/>
    <w:rsid w:val="009A1B6F"/>
    <w:rsid w:val="009A22C5"/>
    <w:rsid w:val="009A2539"/>
    <w:rsid w:val="009A2848"/>
    <w:rsid w:val="009A289D"/>
    <w:rsid w:val="009A2931"/>
    <w:rsid w:val="009A2DB4"/>
    <w:rsid w:val="009A2F26"/>
    <w:rsid w:val="009A30E7"/>
    <w:rsid w:val="009A3AE7"/>
    <w:rsid w:val="009A3B0A"/>
    <w:rsid w:val="009A3D3D"/>
    <w:rsid w:val="009A4B0B"/>
    <w:rsid w:val="009A4B9D"/>
    <w:rsid w:val="009A524B"/>
    <w:rsid w:val="009A58AC"/>
    <w:rsid w:val="009A5AF9"/>
    <w:rsid w:val="009A5C0D"/>
    <w:rsid w:val="009A5F95"/>
    <w:rsid w:val="009A611E"/>
    <w:rsid w:val="009A63FE"/>
    <w:rsid w:val="009A694C"/>
    <w:rsid w:val="009A70A2"/>
    <w:rsid w:val="009A76E1"/>
    <w:rsid w:val="009B006D"/>
    <w:rsid w:val="009B02BE"/>
    <w:rsid w:val="009B03DA"/>
    <w:rsid w:val="009B0489"/>
    <w:rsid w:val="009B07CD"/>
    <w:rsid w:val="009B090D"/>
    <w:rsid w:val="009B0CC0"/>
    <w:rsid w:val="009B0CEC"/>
    <w:rsid w:val="009B0E36"/>
    <w:rsid w:val="009B10AA"/>
    <w:rsid w:val="009B10CC"/>
    <w:rsid w:val="009B14DF"/>
    <w:rsid w:val="009B15D2"/>
    <w:rsid w:val="009B1631"/>
    <w:rsid w:val="009B178B"/>
    <w:rsid w:val="009B1994"/>
    <w:rsid w:val="009B1B33"/>
    <w:rsid w:val="009B1C06"/>
    <w:rsid w:val="009B2B74"/>
    <w:rsid w:val="009B2B90"/>
    <w:rsid w:val="009B2EB6"/>
    <w:rsid w:val="009B3089"/>
    <w:rsid w:val="009B3DF1"/>
    <w:rsid w:val="009B3E60"/>
    <w:rsid w:val="009B50FB"/>
    <w:rsid w:val="009B5334"/>
    <w:rsid w:val="009B5592"/>
    <w:rsid w:val="009B5A0E"/>
    <w:rsid w:val="009B60CE"/>
    <w:rsid w:val="009B6222"/>
    <w:rsid w:val="009B6509"/>
    <w:rsid w:val="009B657E"/>
    <w:rsid w:val="009B65D7"/>
    <w:rsid w:val="009B6779"/>
    <w:rsid w:val="009B7056"/>
    <w:rsid w:val="009B7895"/>
    <w:rsid w:val="009B79C1"/>
    <w:rsid w:val="009B7C7E"/>
    <w:rsid w:val="009B7D42"/>
    <w:rsid w:val="009B7EF4"/>
    <w:rsid w:val="009C0671"/>
    <w:rsid w:val="009C06CF"/>
    <w:rsid w:val="009C0C24"/>
    <w:rsid w:val="009C0C97"/>
    <w:rsid w:val="009C1390"/>
    <w:rsid w:val="009C14BB"/>
    <w:rsid w:val="009C19E9"/>
    <w:rsid w:val="009C1B52"/>
    <w:rsid w:val="009C1DD8"/>
    <w:rsid w:val="009C1DFD"/>
    <w:rsid w:val="009C1ED8"/>
    <w:rsid w:val="009C258A"/>
    <w:rsid w:val="009C26AA"/>
    <w:rsid w:val="009C27BE"/>
    <w:rsid w:val="009C2B67"/>
    <w:rsid w:val="009C2CCE"/>
    <w:rsid w:val="009C318D"/>
    <w:rsid w:val="009C34DC"/>
    <w:rsid w:val="009C4718"/>
    <w:rsid w:val="009C471A"/>
    <w:rsid w:val="009C498D"/>
    <w:rsid w:val="009C4A12"/>
    <w:rsid w:val="009C50FA"/>
    <w:rsid w:val="009C519C"/>
    <w:rsid w:val="009C5237"/>
    <w:rsid w:val="009C5494"/>
    <w:rsid w:val="009C63D2"/>
    <w:rsid w:val="009C6641"/>
    <w:rsid w:val="009C6797"/>
    <w:rsid w:val="009C68FA"/>
    <w:rsid w:val="009C6E05"/>
    <w:rsid w:val="009C6F33"/>
    <w:rsid w:val="009C7129"/>
    <w:rsid w:val="009C715B"/>
    <w:rsid w:val="009C7191"/>
    <w:rsid w:val="009C7267"/>
    <w:rsid w:val="009C72D6"/>
    <w:rsid w:val="009C763C"/>
    <w:rsid w:val="009C7787"/>
    <w:rsid w:val="009C7AFD"/>
    <w:rsid w:val="009D012C"/>
    <w:rsid w:val="009D01E0"/>
    <w:rsid w:val="009D03C9"/>
    <w:rsid w:val="009D0564"/>
    <w:rsid w:val="009D07B2"/>
    <w:rsid w:val="009D07B8"/>
    <w:rsid w:val="009D09B8"/>
    <w:rsid w:val="009D0EA4"/>
    <w:rsid w:val="009D0EDF"/>
    <w:rsid w:val="009D0FCB"/>
    <w:rsid w:val="009D11BB"/>
    <w:rsid w:val="009D1295"/>
    <w:rsid w:val="009D1947"/>
    <w:rsid w:val="009D2197"/>
    <w:rsid w:val="009D238B"/>
    <w:rsid w:val="009D2DC1"/>
    <w:rsid w:val="009D3341"/>
    <w:rsid w:val="009D3790"/>
    <w:rsid w:val="009D3B54"/>
    <w:rsid w:val="009D3B60"/>
    <w:rsid w:val="009D3B9C"/>
    <w:rsid w:val="009D3E1C"/>
    <w:rsid w:val="009D412B"/>
    <w:rsid w:val="009D417D"/>
    <w:rsid w:val="009D490C"/>
    <w:rsid w:val="009D4BD0"/>
    <w:rsid w:val="009D4E52"/>
    <w:rsid w:val="009D4E66"/>
    <w:rsid w:val="009D507C"/>
    <w:rsid w:val="009D55FB"/>
    <w:rsid w:val="009D5CA7"/>
    <w:rsid w:val="009D5D7C"/>
    <w:rsid w:val="009D5EF0"/>
    <w:rsid w:val="009D5F22"/>
    <w:rsid w:val="009D5FE0"/>
    <w:rsid w:val="009D63F3"/>
    <w:rsid w:val="009D64D7"/>
    <w:rsid w:val="009D6A53"/>
    <w:rsid w:val="009D6D70"/>
    <w:rsid w:val="009D72B0"/>
    <w:rsid w:val="009D74A6"/>
    <w:rsid w:val="009D7612"/>
    <w:rsid w:val="009E0334"/>
    <w:rsid w:val="009E0966"/>
    <w:rsid w:val="009E0D73"/>
    <w:rsid w:val="009E0E87"/>
    <w:rsid w:val="009E11C3"/>
    <w:rsid w:val="009E13C2"/>
    <w:rsid w:val="009E1579"/>
    <w:rsid w:val="009E18BF"/>
    <w:rsid w:val="009E1B15"/>
    <w:rsid w:val="009E1D0C"/>
    <w:rsid w:val="009E1E6C"/>
    <w:rsid w:val="009E20BC"/>
    <w:rsid w:val="009E2359"/>
    <w:rsid w:val="009E2613"/>
    <w:rsid w:val="009E273E"/>
    <w:rsid w:val="009E2A1F"/>
    <w:rsid w:val="009E2AA1"/>
    <w:rsid w:val="009E2B5D"/>
    <w:rsid w:val="009E30AA"/>
    <w:rsid w:val="009E321A"/>
    <w:rsid w:val="009E3429"/>
    <w:rsid w:val="009E3790"/>
    <w:rsid w:val="009E37F2"/>
    <w:rsid w:val="009E3AD4"/>
    <w:rsid w:val="009E40B5"/>
    <w:rsid w:val="009E4233"/>
    <w:rsid w:val="009E4410"/>
    <w:rsid w:val="009E4B95"/>
    <w:rsid w:val="009E5B4C"/>
    <w:rsid w:val="009E5DE2"/>
    <w:rsid w:val="009E5E06"/>
    <w:rsid w:val="009E5FBC"/>
    <w:rsid w:val="009E60C3"/>
    <w:rsid w:val="009E6317"/>
    <w:rsid w:val="009E64FA"/>
    <w:rsid w:val="009E6951"/>
    <w:rsid w:val="009E7AD8"/>
    <w:rsid w:val="009F004D"/>
    <w:rsid w:val="009F0553"/>
    <w:rsid w:val="009F070E"/>
    <w:rsid w:val="009F082A"/>
    <w:rsid w:val="009F11E6"/>
    <w:rsid w:val="009F122B"/>
    <w:rsid w:val="009F20E2"/>
    <w:rsid w:val="009F2357"/>
    <w:rsid w:val="009F23B9"/>
    <w:rsid w:val="009F2713"/>
    <w:rsid w:val="009F271F"/>
    <w:rsid w:val="009F2DB5"/>
    <w:rsid w:val="009F3555"/>
    <w:rsid w:val="009F3607"/>
    <w:rsid w:val="009F37DC"/>
    <w:rsid w:val="009F3858"/>
    <w:rsid w:val="009F38DD"/>
    <w:rsid w:val="009F3ABA"/>
    <w:rsid w:val="009F3E8F"/>
    <w:rsid w:val="009F46A2"/>
    <w:rsid w:val="009F4ACE"/>
    <w:rsid w:val="009F4B0F"/>
    <w:rsid w:val="009F5488"/>
    <w:rsid w:val="009F5A38"/>
    <w:rsid w:val="009F5FAE"/>
    <w:rsid w:val="009F679E"/>
    <w:rsid w:val="009F77EE"/>
    <w:rsid w:val="009F7941"/>
    <w:rsid w:val="009F7953"/>
    <w:rsid w:val="009F7988"/>
    <w:rsid w:val="009F7BCE"/>
    <w:rsid w:val="009F7D76"/>
    <w:rsid w:val="009F7DC1"/>
    <w:rsid w:val="00A00490"/>
    <w:rsid w:val="00A00C39"/>
    <w:rsid w:val="00A00C65"/>
    <w:rsid w:val="00A00D27"/>
    <w:rsid w:val="00A00D6E"/>
    <w:rsid w:val="00A00E4F"/>
    <w:rsid w:val="00A00F0F"/>
    <w:rsid w:val="00A01887"/>
    <w:rsid w:val="00A01966"/>
    <w:rsid w:val="00A01EA1"/>
    <w:rsid w:val="00A023C4"/>
    <w:rsid w:val="00A026B6"/>
    <w:rsid w:val="00A02B3B"/>
    <w:rsid w:val="00A02E58"/>
    <w:rsid w:val="00A033E1"/>
    <w:rsid w:val="00A035A2"/>
    <w:rsid w:val="00A03611"/>
    <w:rsid w:val="00A0369F"/>
    <w:rsid w:val="00A03D76"/>
    <w:rsid w:val="00A040F3"/>
    <w:rsid w:val="00A042A8"/>
    <w:rsid w:val="00A04377"/>
    <w:rsid w:val="00A04B3F"/>
    <w:rsid w:val="00A0523F"/>
    <w:rsid w:val="00A0526F"/>
    <w:rsid w:val="00A053B8"/>
    <w:rsid w:val="00A05634"/>
    <w:rsid w:val="00A058E2"/>
    <w:rsid w:val="00A060C9"/>
    <w:rsid w:val="00A06758"/>
    <w:rsid w:val="00A06D7C"/>
    <w:rsid w:val="00A07273"/>
    <w:rsid w:val="00A0743C"/>
    <w:rsid w:val="00A074D2"/>
    <w:rsid w:val="00A0755A"/>
    <w:rsid w:val="00A0758D"/>
    <w:rsid w:val="00A07A0E"/>
    <w:rsid w:val="00A07AE6"/>
    <w:rsid w:val="00A07D45"/>
    <w:rsid w:val="00A07FC4"/>
    <w:rsid w:val="00A10272"/>
    <w:rsid w:val="00A1029E"/>
    <w:rsid w:val="00A102F8"/>
    <w:rsid w:val="00A103E4"/>
    <w:rsid w:val="00A10530"/>
    <w:rsid w:val="00A10534"/>
    <w:rsid w:val="00A1072A"/>
    <w:rsid w:val="00A109D5"/>
    <w:rsid w:val="00A10F01"/>
    <w:rsid w:val="00A10F02"/>
    <w:rsid w:val="00A11026"/>
    <w:rsid w:val="00A11168"/>
    <w:rsid w:val="00A112B7"/>
    <w:rsid w:val="00A113A6"/>
    <w:rsid w:val="00A11486"/>
    <w:rsid w:val="00A11C0D"/>
    <w:rsid w:val="00A1241E"/>
    <w:rsid w:val="00A12805"/>
    <w:rsid w:val="00A12823"/>
    <w:rsid w:val="00A12846"/>
    <w:rsid w:val="00A12F43"/>
    <w:rsid w:val="00A12F8A"/>
    <w:rsid w:val="00A1320C"/>
    <w:rsid w:val="00A132FB"/>
    <w:rsid w:val="00A13518"/>
    <w:rsid w:val="00A13982"/>
    <w:rsid w:val="00A14393"/>
    <w:rsid w:val="00A144F9"/>
    <w:rsid w:val="00A14543"/>
    <w:rsid w:val="00A14D16"/>
    <w:rsid w:val="00A14DBF"/>
    <w:rsid w:val="00A151F6"/>
    <w:rsid w:val="00A15292"/>
    <w:rsid w:val="00A15500"/>
    <w:rsid w:val="00A155F7"/>
    <w:rsid w:val="00A1564A"/>
    <w:rsid w:val="00A157F7"/>
    <w:rsid w:val="00A15814"/>
    <w:rsid w:val="00A15CF1"/>
    <w:rsid w:val="00A16170"/>
    <w:rsid w:val="00A1691C"/>
    <w:rsid w:val="00A16E8A"/>
    <w:rsid w:val="00A17176"/>
    <w:rsid w:val="00A17713"/>
    <w:rsid w:val="00A179D8"/>
    <w:rsid w:val="00A20222"/>
    <w:rsid w:val="00A204CA"/>
    <w:rsid w:val="00A205BC"/>
    <w:rsid w:val="00A20726"/>
    <w:rsid w:val="00A207FB"/>
    <w:rsid w:val="00A209D6"/>
    <w:rsid w:val="00A20A51"/>
    <w:rsid w:val="00A20D80"/>
    <w:rsid w:val="00A20FA0"/>
    <w:rsid w:val="00A21AA0"/>
    <w:rsid w:val="00A21BC3"/>
    <w:rsid w:val="00A21E09"/>
    <w:rsid w:val="00A22329"/>
    <w:rsid w:val="00A22407"/>
    <w:rsid w:val="00A22738"/>
    <w:rsid w:val="00A22771"/>
    <w:rsid w:val="00A23483"/>
    <w:rsid w:val="00A243BC"/>
    <w:rsid w:val="00A24A63"/>
    <w:rsid w:val="00A24C29"/>
    <w:rsid w:val="00A24EE0"/>
    <w:rsid w:val="00A25BF8"/>
    <w:rsid w:val="00A26666"/>
    <w:rsid w:val="00A26989"/>
    <w:rsid w:val="00A26A87"/>
    <w:rsid w:val="00A26CEA"/>
    <w:rsid w:val="00A26D32"/>
    <w:rsid w:val="00A273FD"/>
    <w:rsid w:val="00A2779C"/>
    <w:rsid w:val="00A27BF8"/>
    <w:rsid w:val="00A27D32"/>
    <w:rsid w:val="00A27EB3"/>
    <w:rsid w:val="00A30355"/>
    <w:rsid w:val="00A30626"/>
    <w:rsid w:val="00A307FC"/>
    <w:rsid w:val="00A3089F"/>
    <w:rsid w:val="00A30AF8"/>
    <w:rsid w:val="00A30E22"/>
    <w:rsid w:val="00A31117"/>
    <w:rsid w:val="00A312BE"/>
    <w:rsid w:val="00A31430"/>
    <w:rsid w:val="00A320DA"/>
    <w:rsid w:val="00A322E7"/>
    <w:rsid w:val="00A32571"/>
    <w:rsid w:val="00A3271A"/>
    <w:rsid w:val="00A32BC7"/>
    <w:rsid w:val="00A32E1B"/>
    <w:rsid w:val="00A32F49"/>
    <w:rsid w:val="00A3340B"/>
    <w:rsid w:val="00A337CD"/>
    <w:rsid w:val="00A3384A"/>
    <w:rsid w:val="00A33B21"/>
    <w:rsid w:val="00A34727"/>
    <w:rsid w:val="00A34826"/>
    <w:rsid w:val="00A34BB7"/>
    <w:rsid w:val="00A35384"/>
    <w:rsid w:val="00A3585E"/>
    <w:rsid w:val="00A35865"/>
    <w:rsid w:val="00A35B76"/>
    <w:rsid w:val="00A35D19"/>
    <w:rsid w:val="00A361DC"/>
    <w:rsid w:val="00A362D6"/>
    <w:rsid w:val="00A36358"/>
    <w:rsid w:val="00A36441"/>
    <w:rsid w:val="00A364F2"/>
    <w:rsid w:val="00A3668B"/>
    <w:rsid w:val="00A3688F"/>
    <w:rsid w:val="00A36978"/>
    <w:rsid w:val="00A36C7E"/>
    <w:rsid w:val="00A36C93"/>
    <w:rsid w:val="00A36DAB"/>
    <w:rsid w:val="00A36F5F"/>
    <w:rsid w:val="00A370E6"/>
    <w:rsid w:val="00A37330"/>
    <w:rsid w:val="00A37442"/>
    <w:rsid w:val="00A37719"/>
    <w:rsid w:val="00A379EC"/>
    <w:rsid w:val="00A37DCC"/>
    <w:rsid w:val="00A40881"/>
    <w:rsid w:val="00A408EA"/>
    <w:rsid w:val="00A4093E"/>
    <w:rsid w:val="00A40970"/>
    <w:rsid w:val="00A409CD"/>
    <w:rsid w:val="00A40A63"/>
    <w:rsid w:val="00A40F59"/>
    <w:rsid w:val="00A4101A"/>
    <w:rsid w:val="00A41123"/>
    <w:rsid w:val="00A412EE"/>
    <w:rsid w:val="00A415CE"/>
    <w:rsid w:val="00A41708"/>
    <w:rsid w:val="00A41B26"/>
    <w:rsid w:val="00A4217E"/>
    <w:rsid w:val="00A427C5"/>
    <w:rsid w:val="00A42E63"/>
    <w:rsid w:val="00A42FFE"/>
    <w:rsid w:val="00A430EC"/>
    <w:rsid w:val="00A439E1"/>
    <w:rsid w:val="00A4401E"/>
    <w:rsid w:val="00A44077"/>
    <w:rsid w:val="00A441F9"/>
    <w:rsid w:val="00A442C4"/>
    <w:rsid w:val="00A4431A"/>
    <w:rsid w:val="00A44484"/>
    <w:rsid w:val="00A447FC"/>
    <w:rsid w:val="00A44B10"/>
    <w:rsid w:val="00A44BF9"/>
    <w:rsid w:val="00A44D17"/>
    <w:rsid w:val="00A45A2F"/>
    <w:rsid w:val="00A45BEF"/>
    <w:rsid w:val="00A45E07"/>
    <w:rsid w:val="00A462CD"/>
    <w:rsid w:val="00A46482"/>
    <w:rsid w:val="00A46512"/>
    <w:rsid w:val="00A465C1"/>
    <w:rsid w:val="00A4674B"/>
    <w:rsid w:val="00A46A60"/>
    <w:rsid w:val="00A46B62"/>
    <w:rsid w:val="00A46C73"/>
    <w:rsid w:val="00A46F32"/>
    <w:rsid w:val="00A4719F"/>
    <w:rsid w:val="00A4789E"/>
    <w:rsid w:val="00A47A3B"/>
    <w:rsid w:val="00A47C96"/>
    <w:rsid w:val="00A5031D"/>
    <w:rsid w:val="00A5060E"/>
    <w:rsid w:val="00A506CB"/>
    <w:rsid w:val="00A50C91"/>
    <w:rsid w:val="00A50D96"/>
    <w:rsid w:val="00A50E19"/>
    <w:rsid w:val="00A50F64"/>
    <w:rsid w:val="00A50FBE"/>
    <w:rsid w:val="00A510DD"/>
    <w:rsid w:val="00A51382"/>
    <w:rsid w:val="00A519ED"/>
    <w:rsid w:val="00A51C1F"/>
    <w:rsid w:val="00A51FA5"/>
    <w:rsid w:val="00A52190"/>
    <w:rsid w:val="00A52779"/>
    <w:rsid w:val="00A52B23"/>
    <w:rsid w:val="00A52C65"/>
    <w:rsid w:val="00A5309E"/>
    <w:rsid w:val="00A53152"/>
    <w:rsid w:val="00A5341D"/>
    <w:rsid w:val="00A535E5"/>
    <w:rsid w:val="00A53687"/>
    <w:rsid w:val="00A53724"/>
    <w:rsid w:val="00A53AB4"/>
    <w:rsid w:val="00A53AD4"/>
    <w:rsid w:val="00A53EFC"/>
    <w:rsid w:val="00A54098"/>
    <w:rsid w:val="00A54499"/>
    <w:rsid w:val="00A544EE"/>
    <w:rsid w:val="00A54B2B"/>
    <w:rsid w:val="00A55842"/>
    <w:rsid w:val="00A55D40"/>
    <w:rsid w:val="00A55FB5"/>
    <w:rsid w:val="00A562CF"/>
    <w:rsid w:val="00A564FB"/>
    <w:rsid w:val="00A56A2E"/>
    <w:rsid w:val="00A56BA3"/>
    <w:rsid w:val="00A56CD3"/>
    <w:rsid w:val="00A573A6"/>
    <w:rsid w:val="00A5761F"/>
    <w:rsid w:val="00A57A82"/>
    <w:rsid w:val="00A60284"/>
    <w:rsid w:val="00A602CD"/>
    <w:rsid w:val="00A6036B"/>
    <w:rsid w:val="00A60378"/>
    <w:rsid w:val="00A60488"/>
    <w:rsid w:val="00A6051D"/>
    <w:rsid w:val="00A60D9F"/>
    <w:rsid w:val="00A61250"/>
    <w:rsid w:val="00A617FA"/>
    <w:rsid w:val="00A619E6"/>
    <w:rsid w:val="00A62814"/>
    <w:rsid w:val="00A62975"/>
    <w:rsid w:val="00A634EF"/>
    <w:rsid w:val="00A6356D"/>
    <w:rsid w:val="00A6379D"/>
    <w:rsid w:val="00A639D1"/>
    <w:rsid w:val="00A63D5D"/>
    <w:rsid w:val="00A63F06"/>
    <w:rsid w:val="00A63F6C"/>
    <w:rsid w:val="00A64829"/>
    <w:rsid w:val="00A64ACC"/>
    <w:rsid w:val="00A64C6B"/>
    <w:rsid w:val="00A64F3E"/>
    <w:rsid w:val="00A64F88"/>
    <w:rsid w:val="00A6501D"/>
    <w:rsid w:val="00A65212"/>
    <w:rsid w:val="00A654EF"/>
    <w:rsid w:val="00A65574"/>
    <w:rsid w:val="00A6569B"/>
    <w:rsid w:val="00A657AC"/>
    <w:rsid w:val="00A657D8"/>
    <w:rsid w:val="00A65C2A"/>
    <w:rsid w:val="00A65FDB"/>
    <w:rsid w:val="00A6618E"/>
    <w:rsid w:val="00A663B3"/>
    <w:rsid w:val="00A665B2"/>
    <w:rsid w:val="00A665D2"/>
    <w:rsid w:val="00A66ECA"/>
    <w:rsid w:val="00A670D6"/>
    <w:rsid w:val="00A6724C"/>
    <w:rsid w:val="00A674A7"/>
    <w:rsid w:val="00A67513"/>
    <w:rsid w:val="00A6752C"/>
    <w:rsid w:val="00A703B6"/>
    <w:rsid w:val="00A703D1"/>
    <w:rsid w:val="00A704C4"/>
    <w:rsid w:val="00A707DB"/>
    <w:rsid w:val="00A708B1"/>
    <w:rsid w:val="00A7093D"/>
    <w:rsid w:val="00A70C27"/>
    <w:rsid w:val="00A7108F"/>
    <w:rsid w:val="00A719E7"/>
    <w:rsid w:val="00A71B0B"/>
    <w:rsid w:val="00A7215E"/>
    <w:rsid w:val="00A724E6"/>
    <w:rsid w:val="00A72591"/>
    <w:rsid w:val="00A72F5F"/>
    <w:rsid w:val="00A7328C"/>
    <w:rsid w:val="00A734BC"/>
    <w:rsid w:val="00A738AA"/>
    <w:rsid w:val="00A74474"/>
    <w:rsid w:val="00A748AF"/>
    <w:rsid w:val="00A74AC6"/>
    <w:rsid w:val="00A74DF8"/>
    <w:rsid w:val="00A755A0"/>
    <w:rsid w:val="00A757A0"/>
    <w:rsid w:val="00A75B71"/>
    <w:rsid w:val="00A75C06"/>
    <w:rsid w:val="00A76194"/>
    <w:rsid w:val="00A762ED"/>
    <w:rsid w:val="00A7630A"/>
    <w:rsid w:val="00A76367"/>
    <w:rsid w:val="00A76775"/>
    <w:rsid w:val="00A76C43"/>
    <w:rsid w:val="00A76D93"/>
    <w:rsid w:val="00A770BA"/>
    <w:rsid w:val="00A771FD"/>
    <w:rsid w:val="00A779C8"/>
    <w:rsid w:val="00A80324"/>
    <w:rsid w:val="00A806E3"/>
    <w:rsid w:val="00A809A6"/>
    <w:rsid w:val="00A80BBB"/>
    <w:rsid w:val="00A80C6C"/>
    <w:rsid w:val="00A80E07"/>
    <w:rsid w:val="00A80E0B"/>
    <w:rsid w:val="00A811BE"/>
    <w:rsid w:val="00A8141F"/>
    <w:rsid w:val="00A814C5"/>
    <w:rsid w:val="00A8164E"/>
    <w:rsid w:val="00A8223C"/>
    <w:rsid w:val="00A822B9"/>
    <w:rsid w:val="00A822F5"/>
    <w:rsid w:val="00A82346"/>
    <w:rsid w:val="00A8242F"/>
    <w:rsid w:val="00A824FC"/>
    <w:rsid w:val="00A82742"/>
    <w:rsid w:val="00A83043"/>
    <w:rsid w:val="00A831F2"/>
    <w:rsid w:val="00A831F5"/>
    <w:rsid w:val="00A83AFC"/>
    <w:rsid w:val="00A83C51"/>
    <w:rsid w:val="00A83CBB"/>
    <w:rsid w:val="00A8463D"/>
    <w:rsid w:val="00A8472E"/>
    <w:rsid w:val="00A848A4"/>
    <w:rsid w:val="00A84D3B"/>
    <w:rsid w:val="00A84DEF"/>
    <w:rsid w:val="00A85095"/>
    <w:rsid w:val="00A8594C"/>
    <w:rsid w:val="00A860DD"/>
    <w:rsid w:val="00A86204"/>
    <w:rsid w:val="00A86409"/>
    <w:rsid w:val="00A86B61"/>
    <w:rsid w:val="00A86CB0"/>
    <w:rsid w:val="00A86D77"/>
    <w:rsid w:val="00A86FBB"/>
    <w:rsid w:val="00A8714F"/>
    <w:rsid w:val="00A8727E"/>
    <w:rsid w:val="00A87339"/>
    <w:rsid w:val="00A876B2"/>
    <w:rsid w:val="00A87907"/>
    <w:rsid w:val="00A87A3E"/>
    <w:rsid w:val="00A87ABF"/>
    <w:rsid w:val="00A87D1C"/>
    <w:rsid w:val="00A900B4"/>
    <w:rsid w:val="00A9083F"/>
    <w:rsid w:val="00A90EDD"/>
    <w:rsid w:val="00A913CA"/>
    <w:rsid w:val="00A913CC"/>
    <w:rsid w:val="00A91418"/>
    <w:rsid w:val="00A918B9"/>
    <w:rsid w:val="00A91BCA"/>
    <w:rsid w:val="00A91DA8"/>
    <w:rsid w:val="00A920B6"/>
    <w:rsid w:val="00A92632"/>
    <w:rsid w:val="00A92961"/>
    <w:rsid w:val="00A92D50"/>
    <w:rsid w:val="00A92DD5"/>
    <w:rsid w:val="00A92F88"/>
    <w:rsid w:val="00A93059"/>
    <w:rsid w:val="00A9376B"/>
    <w:rsid w:val="00A93C39"/>
    <w:rsid w:val="00A93F1E"/>
    <w:rsid w:val="00A94243"/>
    <w:rsid w:val="00A943CE"/>
    <w:rsid w:val="00A94859"/>
    <w:rsid w:val="00A9513F"/>
    <w:rsid w:val="00A95165"/>
    <w:rsid w:val="00A95E23"/>
    <w:rsid w:val="00A95ED4"/>
    <w:rsid w:val="00A95FC8"/>
    <w:rsid w:val="00A965BE"/>
    <w:rsid w:val="00A9671C"/>
    <w:rsid w:val="00A96C26"/>
    <w:rsid w:val="00A96DBC"/>
    <w:rsid w:val="00A96E2A"/>
    <w:rsid w:val="00A972C5"/>
    <w:rsid w:val="00A976B9"/>
    <w:rsid w:val="00A97742"/>
    <w:rsid w:val="00A97DE0"/>
    <w:rsid w:val="00A97FEC"/>
    <w:rsid w:val="00AA069E"/>
    <w:rsid w:val="00AA0A97"/>
    <w:rsid w:val="00AA0CB4"/>
    <w:rsid w:val="00AA0F5F"/>
    <w:rsid w:val="00AA10CA"/>
    <w:rsid w:val="00AA12C3"/>
    <w:rsid w:val="00AA140A"/>
    <w:rsid w:val="00AA1553"/>
    <w:rsid w:val="00AA1B3D"/>
    <w:rsid w:val="00AA284F"/>
    <w:rsid w:val="00AA2D3C"/>
    <w:rsid w:val="00AA2D65"/>
    <w:rsid w:val="00AA2DAE"/>
    <w:rsid w:val="00AA2F63"/>
    <w:rsid w:val="00AA3239"/>
    <w:rsid w:val="00AA32B4"/>
    <w:rsid w:val="00AA3338"/>
    <w:rsid w:val="00AA33E2"/>
    <w:rsid w:val="00AA3591"/>
    <w:rsid w:val="00AA418D"/>
    <w:rsid w:val="00AA4C5D"/>
    <w:rsid w:val="00AA4D95"/>
    <w:rsid w:val="00AA5261"/>
    <w:rsid w:val="00AA55AF"/>
    <w:rsid w:val="00AA59B4"/>
    <w:rsid w:val="00AA5B27"/>
    <w:rsid w:val="00AA5C0A"/>
    <w:rsid w:val="00AA5DDC"/>
    <w:rsid w:val="00AA5DEB"/>
    <w:rsid w:val="00AA5E1C"/>
    <w:rsid w:val="00AA5EAE"/>
    <w:rsid w:val="00AA60F0"/>
    <w:rsid w:val="00AA6799"/>
    <w:rsid w:val="00AA6DF7"/>
    <w:rsid w:val="00AA7013"/>
    <w:rsid w:val="00AA76C3"/>
    <w:rsid w:val="00AA7807"/>
    <w:rsid w:val="00AA79AB"/>
    <w:rsid w:val="00AA7A82"/>
    <w:rsid w:val="00AB0025"/>
    <w:rsid w:val="00AB0263"/>
    <w:rsid w:val="00AB0A37"/>
    <w:rsid w:val="00AB0B68"/>
    <w:rsid w:val="00AB17B0"/>
    <w:rsid w:val="00AB1E4F"/>
    <w:rsid w:val="00AB1ED4"/>
    <w:rsid w:val="00AB237A"/>
    <w:rsid w:val="00AB23D9"/>
    <w:rsid w:val="00AB2547"/>
    <w:rsid w:val="00AB2A03"/>
    <w:rsid w:val="00AB2C95"/>
    <w:rsid w:val="00AB2FE3"/>
    <w:rsid w:val="00AB339D"/>
    <w:rsid w:val="00AB372F"/>
    <w:rsid w:val="00AB38F1"/>
    <w:rsid w:val="00AB3963"/>
    <w:rsid w:val="00AB4A55"/>
    <w:rsid w:val="00AB4A6E"/>
    <w:rsid w:val="00AB4B1B"/>
    <w:rsid w:val="00AB4B5A"/>
    <w:rsid w:val="00AB4E04"/>
    <w:rsid w:val="00AB51C6"/>
    <w:rsid w:val="00AB5338"/>
    <w:rsid w:val="00AB59EF"/>
    <w:rsid w:val="00AB5D8E"/>
    <w:rsid w:val="00AB5E6F"/>
    <w:rsid w:val="00AB60D0"/>
    <w:rsid w:val="00AB62E9"/>
    <w:rsid w:val="00AB679D"/>
    <w:rsid w:val="00AB67D7"/>
    <w:rsid w:val="00AB6B7E"/>
    <w:rsid w:val="00AB6CC6"/>
    <w:rsid w:val="00AB6F97"/>
    <w:rsid w:val="00AB7335"/>
    <w:rsid w:val="00AB77BF"/>
    <w:rsid w:val="00AB7EEF"/>
    <w:rsid w:val="00AC03AF"/>
    <w:rsid w:val="00AC066F"/>
    <w:rsid w:val="00AC0859"/>
    <w:rsid w:val="00AC0C90"/>
    <w:rsid w:val="00AC0CD7"/>
    <w:rsid w:val="00AC10F3"/>
    <w:rsid w:val="00AC122F"/>
    <w:rsid w:val="00AC1431"/>
    <w:rsid w:val="00AC1720"/>
    <w:rsid w:val="00AC1B8A"/>
    <w:rsid w:val="00AC1C27"/>
    <w:rsid w:val="00AC2398"/>
    <w:rsid w:val="00AC2699"/>
    <w:rsid w:val="00AC2B94"/>
    <w:rsid w:val="00AC3731"/>
    <w:rsid w:val="00AC382C"/>
    <w:rsid w:val="00AC3A78"/>
    <w:rsid w:val="00AC3C4C"/>
    <w:rsid w:val="00AC3C7B"/>
    <w:rsid w:val="00AC3DB1"/>
    <w:rsid w:val="00AC3F0E"/>
    <w:rsid w:val="00AC3FC7"/>
    <w:rsid w:val="00AC41FF"/>
    <w:rsid w:val="00AC43C0"/>
    <w:rsid w:val="00AC4788"/>
    <w:rsid w:val="00AC49BE"/>
    <w:rsid w:val="00AC5497"/>
    <w:rsid w:val="00AC56F2"/>
    <w:rsid w:val="00AC5FB0"/>
    <w:rsid w:val="00AC6170"/>
    <w:rsid w:val="00AC623B"/>
    <w:rsid w:val="00AC6808"/>
    <w:rsid w:val="00AC6A1A"/>
    <w:rsid w:val="00AC6CB6"/>
    <w:rsid w:val="00AC72D2"/>
    <w:rsid w:val="00AC7313"/>
    <w:rsid w:val="00AC7529"/>
    <w:rsid w:val="00AC78ED"/>
    <w:rsid w:val="00AC7CF8"/>
    <w:rsid w:val="00AC7D5F"/>
    <w:rsid w:val="00AD019B"/>
    <w:rsid w:val="00AD0465"/>
    <w:rsid w:val="00AD061D"/>
    <w:rsid w:val="00AD06C5"/>
    <w:rsid w:val="00AD080E"/>
    <w:rsid w:val="00AD0A9C"/>
    <w:rsid w:val="00AD0CF0"/>
    <w:rsid w:val="00AD0F8B"/>
    <w:rsid w:val="00AD11BE"/>
    <w:rsid w:val="00AD1571"/>
    <w:rsid w:val="00AD1584"/>
    <w:rsid w:val="00AD15CC"/>
    <w:rsid w:val="00AD17FB"/>
    <w:rsid w:val="00AD1BC8"/>
    <w:rsid w:val="00AD1CFA"/>
    <w:rsid w:val="00AD1E33"/>
    <w:rsid w:val="00AD1F92"/>
    <w:rsid w:val="00AD21AF"/>
    <w:rsid w:val="00AD273D"/>
    <w:rsid w:val="00AD2A2E"/>
    <w:rsid w:val="00AD35D7"/>
    <w:rsid w:val="00AD36D4"/>
    <w:rsid w:val="00AD374A"/>
    <w:rsid w:val="00AD397A"/>
    <w:rsid w:val="00AD3CDB"/>
    <w:rsid w:val="00AD3CE4"/>
    <w:rsid w:val="00AD4555"/>
    <w:rsid w:val="00AD48E8"/>
    <w:rsid w:val="00AD4E1E"/>
    <w:rsid w:val="00AD5D2F"/>
    <w:rsid w:val="00AD5F5C"/>
    <w:rsid w:val="00AD6294"/>
    <w:rsid w:val="00AD643A"/>
    <w:rsid w:val="00AD699F"/>
    <w:rsid w:val="00AD73E6"/>
    <w:rsid w:val="00AD7E7C"/>
    <w:rsid w:val="00AE075A"/>
    <w:rsid w:val="00AE07FC"/>
    <w:rsid w:val="00AE0E78"/>
    <w:rsid w:val="00AE11C9"/>
    <w:rsid w:val="00AE13F1"/>
    <w:rsid w:val="00AE18E4"/>
    <w:rsid w:val="00AE18ED"/>
    <w:rsid w:val="00AE1DA1"/>
    <w:rsid w:val="00AE25CB"/>
    <w:rsid w:val="00AE30A4"/>
    <w:rsid w:val="00AE36A4"/>
    <w:rsid w:val="00AE40F7"/>
    <w:rsid w:val="00AE41CB"/>
    <w:rsid w:val="00AE4706"/>
    <w:rsid w:val="00AE4808"/>
    <w:rsid w:val="00AE4AEB"/>
    <w:rsid w:val="00AE4CE0"/>
    <w:rsid w:val="00AE4F27"/>
    <w:rsid w:val="00AE564C"/>
    <w:rsid w:val="00AE592D"/>
    <w:rsid w:val="00AE642C"/>
    <w:rsid w:val="00AE6486"/>
    <w:rsid w:val="00AE72BA"/>
    <w:rsid w:val="00AE73B8"/>
    <w:rsid w:val="00AE7829"/>
    <w:rsid w:val="00AE7D2B"/>
    <w:rsid w:val="00AE7D4A"/>
    <w:rsid w:val="00AF06F8"/>
    <w:rsid w:val="00AF088E"/>
    <w:rsid w:val="00AF1098"/>
    <w:rsid w:val="00AF1330"/>
    <w:rsid w:val="00AF1362"/>
    <w:rsid w:val="00AF193E"/>
    <w:rsid w:val="00AF1A66"/>
    <w:rsid w:val="00AF206C"/>
    <w:rsid w:val="00AF28D5"/>
    <w:rsid w:val="00AF29A3"/>
    <w:rsid w:val="00AF2A25"/>
    <w:rsid w:val="00AF2D23"/>
    <w:rsid w:val="00AF2F96"/>
    <w:rsid w:val="00AF4084"/>
    <w:rsid w:val="00AF414E"/>
    <w:rsid w:val="00AF41AC"/>
    <w:rsid w:val="00AF42A4"/>
    <w:rsid w:val="00AF466B"/>
    <w:rsid w:val="00AF4718"/>
    <w:rsid w:val="00AF4DDB"/>
    <w:rsid w:val="00AF5474"/>
    <w:rsid w:val="00AF5553"/>
    <w:rsid w:val="00AF5739"/>
    <w:rsid w:val="00AF574D"/>
    <w:rsid w:val="00AF6006"/>
    <w:rsid w:val="00AF6075"/>
    <w:rsid w:val="00AF64E0"/>
    <w:rsid w:val="00AF684B"/>
    <w:rsid w:val="00AF6A61"/>
    <w:rsid w:val="00AF7523"/>
    <w:rsid w:val="00AF767C"/>
    <w:rsid w:val="00AF7CD0"/>
    <w:rsid w:val="00B003A2"/>
    <w:rsid w:val="00B00C4F"/>
    <w:rsid w:val="00B01304"/>
    <w:rsid w:val="00B01942"/>
    <w:rsid w:val="00B01BC4"/>
    <w:rsid w:val="00B01CFA"/>
    <w:rsid w:val="00B01F43"/>
    <w:rsid w:val="00B021C6"/>
    <w:rsid w:val="00B0228A"/>
    <w:rsid w:val="00B0239F"/>
    <w:rsid w:val="00B02680"/>
    <w:rsid w:val="00B02783"/>
    <w:rsid w:val="00B02C12"/>
    <w:rsid w:val="00B02F82"/>
    <w:rsid w:val="00B03498"/>
    <w:rsid w:val="00B03747"/>
    <w:rsid w:val="00B03C18"/>
    <w:rsid w:val="00B045A4"/>
    <w:rsid w:val="00B0470E"/>
    <w:rsid w:val="00B04AA7"/>
    <w:rsid w:val="00B04D39"/>
    <w:rsid w:val="00B05380"/>
    <w:rsid w:val="00B05399"/>
    <w:rsid w:val="00B05962"/>
    <w:rsid w:val="00B05CF6"/>
    <w:rsid w:val="00B05D29"/>
    <w:rsid w:val="00B05F12"/>
    <w:rsid w:val="00B0643A"/>
    <w:rsid w:val="00B06541"/>
    <w:rsid w:val="00B06A66"/>
    <w:rsid w:val="00B06C95"/>
    <w:rsid w:val="00B06CCA"/>
    <w:rsid w:val="00B0720C"/>
    <w:rsid w:val="00B07378"/>
    <w:rsid w:val="00B077F9"/>
    <w:rsid w:val="00B07856"/>
    <w:rsid w:val="00B07FFD"/>
    <w:rsid w:val="00B101D1"/>
    <w:rsid w:val="00B105F9"/>
    <w:rsid w:val="00B11182"/>
    <w:rsid w:val="00B11216"/>
    <w:rsid w:val="00B113F0"/>
    <w:rsid w:val="00B11402"/>
    <w:rsid w:val="00B11665"/>
    <w:rsid w:val="00B116BC"/>
    <w:rsid w:val="00B1283B"/>
    <w:rsid w:val="00B12896"/>
    <w:rsid w:val="00B129DC"/>
    <w:rsid w:val="00B12EF6"/>
    <w:rsid w:val="00B12FE2"/>
    <w:rsid w:val="00B1347F"/>
    <w:rsid w:val="00B142C6"/>
    <w:rsid w:val="00B147A9"/>
    <w:rsid w:val="00B147E2"/>
    <w:rsid w:val="00B14980"/>
    <w:rsid w:val="00B149E2"/>
    <w:rsid w:val="00B14DCA"/>
    <w:rsid w:val="00B14F50"/>
    <w:rsid w:val="00B153C4"/>
    <w:rsid w:val="00B15449"/>
    <w:rsid w:val="00B1563B"/>
    <w:rsid w:val="00B156C7"/>
    <w:rsid w:val="00B1609A"/>
    <w:rsid w:val="00B16282"/>
    <w:rsid w:val="00B16C2F"/>
    <w:rsid w:val="00B16CE5"/>
    <w:rsid w:val="00B16CEB"/>
    <w:rsid w:val="00B172CD"/>
    <w:rsid w:val="00B17AB9"/>
    <w:rsid w:val="00B17F4F"/>
    <w:rsid w:val="00B200DC"/>
    <w:rsid w:val="00B205BF"/>
    <w:rsid w:val="00B20663"/>
    <w:rsid w:val="00B2073E"/>
    <w:rsid w:val="00B20B4B"/>
    <w:rsid w:val="00B20B5D"/>
    <w:rsid w:val="00B20BAF"/>
    <w:rsid w:val="00B20E15"/>
    <w:rsid w:val="00B210B2"/>
    <w:rsid w:val="00B212E2"/>
    <w:rsid w:val="00B21562"/>
    <w:rsid w:val="00B21621"/>
    <w:rsid w:val="00B21735"/>
    <w:rsid w:val="00B2182C"/>
    <w:rsid w:val="00B21B54"/>
    <w:rsid w:val="00B21E8E"/>
    <w:rsid w:val="00B2227E"/>
    <w:rsid w:val="00B223FF"/>
    <w:rsid w:val="00B2268D"/>
    <w:rsid w:val="00B227B5"/>
    <w:rsid w:val="00B22955"/>
    <w:rsid w:val="00B22963"/>
    <w:rsid w:val="00B23B25"/>
    <w:rsid w:val="00B23B39"/>
    <w:rsid w:val="00B23E06"/>
    <w:rsid w:val="00B2420A"/>
    <w:rsid w:val="00B25978"/>
    <w:rsid w:val="00B2674F"/>
    <w:rsid w:val="00B2684F"/>
    <w:rsid w:val="00B26E2C"/>
    <w:rsid w:val="00B27303"/>
    <w:rsid w:val="00B2733C"/>
    <w:rsid w:val="00B27424"/>
    <w:rsid w:val="00B275C3"/>
    <w:rsid w:val="00B300DE"/>
    <w:rsid w:val="00B30247"/>
    <w:rsid w:val="00B30B36"/>
    <w:rsid w:val="00B30F73"/>
    <w:rsid w:val="00B3149E"/>
    <w:rsid w:val="00B3163B"/>
    <w:rsid w:val="00B31D73"/>
    <w:rsid w:val="00B31EEB"/>
    <w:rsid w:val="00B32268"/>
    <w:rsid w:val="00B32517"/>
    <w:rsid w:val="00B329CE"/>
    <w:rsid w:val="00B329E0"/>
    <w:rsid w:val="00B32B1E"/>
    <w:rsid w:val="00B32BE8"/>
    <w:rsid w:val="00B331B8"/>
    <w:rsid w:val="00B331CF"/>
    <w:rsid w:val="00B33279"/>
    <w:rsid w:val="00B334DD"/>
    <w:rsid w:val="00B335AE"/>
    <w:rsid w:val="00B33C18"/>
    <w:rsid w:val="00B342A2"/>
    <w:rsid w:val="00B34472"/>
    <w:rsid w:val="00B3481C"/>
    <w:rsid w:val="00B34844"/>
    <w:rsid w:val="00B34A3F"/>
    <w:rsid w:val="00B34B2D"/>
    <w:rsid w:val="00B34C60"/>
    <w:rsid w:val="00B350DF"/>
    <w:rsid w:val="00B3581A"/>
    <w:rsid w:val="00B35BAD"/>
    <w:rsid w:val="00B35D31"/>
    <w:rsid w:val="00B35D68"/>
    <w:rsid w:val="00B35F53"/>
    <w:rsid w:val="00B3684F"/>
    <w:rsid w:val="00B36A1C"/>
    <w:rsid w:val="00B36B04"/>
    <w:rsid w:val="00B36BBD"/>
    <w:rsid w:val="00B37304"/>
    <w:rsid w:val="00B37C77"/>
    <w:rsid w:val="00B37ED7"/>
    <w:rsid w:val="00B37F48"/>
    <w:rsid w:val="00B401E5"/>
    <w:rsid w:val="00B40265"/>
    <w:rsid w:val="00B40546"/>
    <w:rsid w:val="00B40551"/>
    <w:rsid w:val="00B40EC4"/>
    <w:rsid w:val="00B4167C"/>
    <w:rsid w:val="00B41A54"/>
    <w:rsid w:val="00B41C25"/>
    <w:rsid w:val="00B42409"/>
    <w:rsid w:val="00B427A9"/>
    <w:rsid w:val="00B427DD"/>
    <w:rsid w:val="00B42CE5"/>
    <w:rsid w:val="00B42DA7"/>
    <w:rsid w:val="00B42E60"/>
    <w:rsid w:val="00B42E76"/>
    <w:rsid w:val="00B430E1"/>
    <w:rsid w:val="00B43367"/>
    <w:rsid w:val="00B43384"/>
    <w:rsid w:val="00B43529"/>
    <w:rsid w:val="00B43B6C"/>
    <w:rsid w:val="00B43BFC"/>
    <w:rsid w:val="00B44183"/>
    <w:rsid w:val="00B44B99"/>
    <w:rsid w:val="00B44C6A"/>
    <w:rsid w:val="00B44C88"/>
    <w:rsid w:val="00B4529E"/>
    <w:rsid w:val="00B452E7"/>
    <w:rsid w:val="00B454D5"/>
    <w:rsid w:val="00B45BA8"/>
    <w:rsid w:val="00B463B0"/>
    <w:rsid w:val="00B46451"/>
    <w:rsid w:val="00B4698D"/>
    <w:rsid w:val="00B47134"/>
    <w:rsid w:val="00B47376"/>
    <w:rsid w:val="00B474B1"/>
    <w:rsid w:val="00B47665"/>
    <w:rsid w:val="00B47700"/>
    <w:rsid w:val="00B47971"/>
    <w:rsid w:val="00B47C62"/>
    <w:rsid w:val="00B47FD1"/>
    <w:rsid w:val="00B50693"/>
    <w:rsid w:val="00B50DE5"/>
    <w:rsid w:val="00B50F2C"/>
    <w:rsid w:val="00B516BB"/>
    <w:rsid w:val="00B51ABA"/>
    <w:rsid w:val="00B51B09"/>
    <w:rsid w:val="00B51C3B"/>
    <w:rsid w:val="00B51D9C"/>
    <w:rsid w:val="00B5269D"/>
    <w:rsid w:val="00B52746"/>
    <w:rsid w:val="00B529C2"/>
    <w:rsid w:val="00B52B0A"/>
    <w:rsid w:val="00B52BF4"/>
    <w:rsid w:val="00B536BC"/>
    <w:rsid w:val="00B53AA7"/>
    <w:rsid w:val="00B53C75"/>
    <w:rsid w:val="00B54070"/>
    <w:rsid w:val="00B54311"/>
    <w:rsid w:val="00B54463"/>
    <w:rsid w:val="00B546CD"/>
    <w:rsid w:val="00B549E2"/>
    <w:rsid w:val="00B54D87"/>
    <w:rsid w:val="00B54DF2"/>
    <w:rsid w:val="00B554E4"/>
    <w:rsid w:val="00B5554C"/>
    <w:rsid w:val="00B5565F"/>
    <w:rsid w:val="00B557D0"/>
    <w:rsid w:val="00B55943"/>
    <w:rsid w:val="00B5605F"/>
    <w:rsid w:val="00B56231"/>
    <w:rsid w:val="00B56A22"/>
    <w:rsid w:val="00B56FE4"/>
    <w:rsid w:val="00B57473"/>
    <w:rsid w:val="00B5751D"/>
    <w:rsid w:val="00B576A6"/>
    <w:rsid w:val="00B57D61"/>
    <w:rsid w:val="00B57F12"/>
    <w:rsid w:val="00B602E0"/>
    <w:rsid w:val="00B603D2"/>
    <w:rsid w:val="00B60672"/>
    <w:rsid w:val="00B60D83"/>
    <w:rsid w:val="00B60FF1"/>
    <w:rsid w:val="00B616BB"/>
    <w:rsid w:val="00B6174D"/>
    <w:rsid w:val="00B617FD"/>
    <w:rsid w:val="00B62A9E"/>
    <w:rsid w:val="00B62B7D"/>
    <w:rsid w:val="00B62F24"/>
    <w:rsid w:val="00B633F3"/>
    <w:rsid w:val="00B6399C"/>
    <w:rsid w:val="00B63AA2"/>
    <w:rsid w:val="00B63C6F"/>
    <w:rsid w:val="00B63CE9"/>
    <w:rsid w:val="00B63D31"/>
    <w:rsid w:val="00B642BD"/>
    <w:rsid w:val="00B64D81"/>
    <w:rsid w:val="00B650E0"/>
    <w:rsid w:val="00B65815"/>
    <w:rsid w:val="00B658C6"/>
    <w:rsid w:val="00B65973"/>
    <w:rsid w:val="00B65BEF"/>
    <w:rsid w:val="00B65F7A"/>
    <w:rsid w:val="00B65FC6"/>
    <w:rsid w:val="00B6648B"/>
    <w:rsid w:val="00B669E9"/>
    <w:rsid w:val="00B6712B"/>
    <w:rsid w:val="00B671E9"/>
    <w:rsid w:val="00B673B8"/>
    <w:rsid w:val="00B6767E"/>
    <w:rsid w:val="00B6773C"/>
    <w:rsid w:val="00B679D5"/>
    <w:rsid w:val="00B67DBC"/>
    <w:rsid w:val="00B7007E"/>
    <w:rsid w:val="00B70345"/>
    <w:rsid w:val="00B70E0C"/>
    <w:rsid w:val="00B71444"/>
    <w:rsid w:val="00B7162E"/>
    <w:rsid w:val="00B716A2"/>
    <w:rsid w:val="00B71719"/>
    <w:rsid w:val="00B71825"/>
    <w:rsid w:val="00B71A98"/>
    <w:rsid w:val="00B71BEB"/>
    <w:rsid w:val="00B71FD3"/>
    <w:rsid w:val="00B720FC"/>
    <w:rsid w:val="00B72195"/>
    <w:rsid w:val="00B722E6"/>
    <w:rsid w:val="00B7241C"/>
    <w:rsid w:val="00B72636"/>
    <w:rsid w:val="00B7273A"/>
    <w:rsid w:val="00B72B33"/>
    <w:rsid w:val="00B72C3A"/>
    <w:rsid w:val="00B72D18"/>
    <w:rsid w:val="00B7366D"/>
    <w:rsid w:val="00B73A4C"/>
    <w:rsid w:val="00B744FD"/>
    <w:rsid w:val="00B74527"/>
    <w:rsid w:val="00B745B3"/>
    <w:rsid w:val="00B74CA8"/>
    <w:rsid w:val="00B7538C"/>
    <w:rsid w:val="00B75770"/>
    <w:rsid w:val="00B759C6"/>
    <w:rsid w:val="00B765BF"/>
    <w:rsid w:val="00B766D8"/>
    <w:rsid w:val="00B766FA"/>
    <w:rsid w:val="00B76753"/>
    <w:rsid w:val="00B76818"/>
    <w:rsid w:val="00B76BAF"/>
    <w:rsid w:val="00B76D00"/>
    <w:rsid w:val="00B76D77"/>
    <w:rsid w:val="00B76EEA"/>
    <w:rsid w:val="00B7759B"/>
    <w:rsid w:val="00B7793A"/>
    <w:rsid w:val="00B808E0"/>
    <w:rsid w:val="00B809DE"/>
    <w:rsid w:val="00B80C7C"/>
    <w:rsid w:val="00B80D47"/>
    <w:rsid w:val="00B814F4"/>
    <w:rsid w:val="00B815DB"/>
    <w:rsid w:val="00B8180E"/>
    <w:rsid w:val="00B81C10"/>
    <w:rsid w:val="00B81EAE"/>
    <w:rsid w:val="00B81EE4"/>
    <w:rsid w:val="00B820CC"/>
    <w:rsid w:val="00B82107"/>
    <w:rsid w:val="00B82DED"/>
    <w:rsid w:val="00B82E5E"/>
    <w:rsid w:val="00B83CC8"/>
    <w:rsid w:val="00B8409E"/>
    <w:rsid w:val="00B845C0"/>
    <w:rsid w:val="00B84843"/>
    <w:rsid w:val="00B84CC2"/>
    <w:rsid w:val="00B84DB2"/>
    <w:rsid w:val="00B84DF3"/>
    <w:rsid w:val="00B84EC1"/>
    <w:rsid w:val="00B850B7"/>
    <w:rsid w:val="00B85CEB"/>
    <w:rsid w:val="00B85FB1"/>
    <w:rsid w:val="00B86AD3"/>
    <w:rsid w:val="00B87392"/>
    <w:rsid w:val="00B87A1D"/>
    <w:rsid w:val="00B90588"/>
    <w:rsid w:val="00B90699"/>
    <w:rsid w:val="00B909F2"/>
    <w:rsid w:val="00B90C6A"/>
    <w:rsid w:val="00B90D77"/>
    <w:rsid w:val="00B90E96"/>
    <w:rsid w:val="00B90ECC"/>
    <w:rsid w:val="00B91314"/>
    <w:rsid w:val="00B91494"/>
    <w:rsid w:val="00B91786"/>
    <w:rsid w:val="00B91864"/>
    <w:rsid w:val="00B91A59"/>
    <w:rsid w:val="00B91BC5"/>
    <w:rsid w:val="00B92317"/>
    <w:rsid w:val="00B9282C"/>
    <w:rsid w:val="00B92A3E"/>
    <w:rsid w:val="00B92A65"/>
    <w:rsid w:val="00B92B6A"/>
    <w:rsid w:val="00B93234"/>
    <w:rsid w:val="00B9362C"/>
    <w:rsid w:val="00B936FA"/>
    <w:rsid w:val="00B93752"/>
    <w:rsid w:val="00B93812"/>
    <w:rsid w:val="00B93AA4"/>
    <w:rsid w:val="00B93B11"/>
    <w:rsid w:val="00B93D6F"/>
    <w:rsid w:val="00B942C7"/>
    <w:rsid w:val="00B949DE"/>
    <w:rsid w:val="00B950F3"/>
    <w:rsid w:val="00B95117"/>
    <w:rsid w:val="00B95480"/>
    <w:rsid w:val="00B95D9B"/>
    <w:rsid w:val="00B95E41"/>
    <w:rsid w:val="00B95EBF"/>
    <w:rsid w:val="00B96ED2"/>
    <w:rsid w:val="00B9714A"/>
    <w:rsid w:val="00B97718"/>
    <w:rsid w:val="00B97DB7"/>
    <w:rsid w:val="00BA007E"/>
    <w:rsid w:val="00BA0719"/>
    <w:rsid w:val="00BA0A80"/>
    <w:rsid w:val="00BA0C02"/>
    <w:rsid w:val="00BA0FCF"/>
    <w:rsid w:val="00BA120B"/>
    <w:rsid w:val="00BA1580"/>
    <w:rsid w:val="00BA1630"/>
    <w:rsid w:val="00BA1845"/>
    <w:rsid w:val="00BA1924"/>
    <w:rsid w:val="00BA1A4D"/>
    <w:rsid w:val="00BA1D15"/>
    <w:rsid w:val="00BA1ECE"/>
    <w:rsid w:val="00BA1F43"/>
    <w:rsid w:val="00BA20E5"/>
    <w:rsid w:val="00BA23DC"/>
    <w:rsid w:val="00BA2782"/>
    <w:rsid w:val="00BA2F24"/>
    <w:rsid w:val="00BA3252"/>
    <w:rsid w:val="00BA33A8"/>
    <w:rsid w:val="00BA3649"/>
    <w:rsid w:val="00BA3827"/>
    <w:rsid w:val="00BA39F0"/>
    <w:rsid w:val="00BA3FDE"/>
    <w:rsid w:val="00BA4124"/>
    <w:rsid w:val="00BA4492"/>
    <w:rsid w:val="00BA4BF9"/>
    <w:rsid w:val="00BA553D"/>
    <w:rsid w:val="00BA555E"/>
    <w:rsid w:val="00BA5793"/>
    <w:rsid w:val="00BA58C6"/>
    <w:rsid w:val="00BA59C1"/>
    <w:rsid w:val="00BA5D3F"/>
    <w:rsid w:val="00BA64EB"/>
    <w:rsid w:val="00BA6720"/>
    <w:rsid w:val="00BA6774"/>
    <w:rsid w:val="00BA6CDF"/>
    <w:rsid w:val="00BA6D68"/>
    <w:rsid w:val="00BA6E42"/>
    <w:rsid w:val="00BA71DD"/>
    <w:rsid w:val="00BA7676"/>
    <w:rsid w:val="00BA77F9"/>
    <w:rsid w:val="00BA79B2"/>
    <w:rsid w:val="00BA7F7F"/>
    <w:rsid w:val="00BB0326"/>
    <w:rsid w:val="00BB0723"/>
    <w:rsid w:val="00BB07AB"/>
    <w:rsid w:val="00BB0920"/>
    <w:rsid w:val="00BB09F8"/>
    <w:rsid w:val="00BB10A5"/>
    <w:rsid w:val="00BB126A"/>
    <w:rsid w:val="00BB183D"/>
    <w:rsid w:val="00BB18B0"/>
    <w:rsid w:val="00BB1BB1"/>
    <w:rsid w:val="00BB1F5B"/>
    <w:rsid w:val="00BB2785"/>
    <w:rsid w:val="00BB2A63"/>
    <w:rsid w:val="00BB3363"/>
    <w:rsid w:val="00BB3774"/>
    <w:rsid w:val="00BB3DCD"/>
    <w:rsid w:val="00BB4114"/>
    <w:rsid w:val="00BB454E"/>
    <w:rsid w:val="00BB49EB"/>
    <w:rsid w:val="00BB4E0C"/>
    <w:rsid w:val="00BB53D4"/>
    <w:rsid w:val="00BB5517"/>
    <w:rsid w:val="00BB571F"/>
    <w:rsid w:val="00BB5805"/>
    <w:rsid w:val="00BB6417"/>
    <w:rsid w:val="00BB6714"/>
    <w:rsid w:val="00BB6C10"/>
    <w:rsid w:val="00BB6F5A"/>
    <w:rsid w:val="00BB70F6"/>
    <w:rsid w:val="00BB73D7"/>
    <w:rsid w:val="00BB7A4C"/>
    <w:rsid w:val="00BC00D8"/>
    <w:rsid w:val="00BC0B52"/>
    <w:rsid w:val="00BC12E5"/>
    <w:rsid w:val="00BC1725"/>
    <w:rsid w:val="00BC198A"/>
    <w:rsid w:val="00BC1B4B"/>
    <w:rsid w:val="00BC1D73"/>
    <w:rsid w:val="00BC1EA9"/>
    <w:rsid w:val="00BC21A1"/>
    <w:rsid w:val="00BC2B2A"/>
    <w:rsid w:val="00BC2FA0"/>
    <w:rsid w:val="00BC2FD3"/>
    <w:rsid w:val="00BC3109"/>
    <w:rsid w:val="00BC32A4"/>
    <w:rsid w:val="00BC32EB"/>
    <w:rsid w:val="00BC3555"/>
    <w:rsid w:val="00BC3793"/>
    <w:rsid w:val="00BC3E9F"/>
    <w:rsid w:val="00BC3ED6"/>
    <w:rsid w:val="00BC4521"/>
    <w:rsid w:val="00BC4749"/>
    <w:rsid w:val="00BC47AE"/>
    <w:rsid w:val="00BC4A00"/>
    <w:rsid w:val="00BC546D"/>
    <w:rsid w:val="00BC57A1"/>
    <w:rsid w:val="00BC5C22"/>
    <w:rsid w:val="00BC5EC9"/>
    <w:rsid w:val="00BC60A4"/>
    <w:rsid w:val="00BC62F9"/>
    <w:rsid w:val="00BC6358"/>
    <w:rsid w:val="00BC69B3"/>
    <w:rsid w:val="00BC69BC"/>
    <w:rsid w:val="00BC6C0D"/>
    <w:rsid w:val="00BC6DF4"/>
    <w:rsid w:val="00BC722F"/>
    <w:rsid w:val="00BC7453"/>
    <w:rsid w:val="00BC7472"/>
    <w:rsid w:val="00BC7C1E"/>
    <w:rsid w:val="00BC7E58"/>
    <w:rsid w:val="00BD0005"/>
    <w:rsid w:val="00BD07FF"/>
    <w:rsid w:val="00BD0F46"/>
    <w:rsid w:val="00BD142A"/>
    <w:rsid w:val="00BD169D"/>
    <w:rsid w:val="00BD1D83"/>
    <w:rsid w:val="00BD2043"/>
    <w:rsid w:val="00BD287E"/>
    <w:rsid w:val="00BD28F7"/>
    <w:rsid w:val="00BD2AA9"/>
    <w:rsid w:val="00BD2AC2"/>
    <w:rsid w:val="00BD2E45"/>
    <w:rsid w:val="00BD2FAE"/>
    <w:rsid w:val="00BD321A"/>
    <w:rsid w:val="00BD3224"/>
    <w:rsid w:val="00BD34AF"/>
    <w:rsid w:val="00BD35D0"/>
    <w:rsid w:val="00BD42DE"/>
    <w:rsid w:val="00BD4376"/>
    <w:rsid w:val="00BD50A3"/>
    <w:rsid w:val="00BD5148"/>
    <w:rsid w:val="00BD52EC"/>
    <w:rsid w:val="00BD52ED"/>
    <w:rsid w:val="00BD534D"/>
    <w:rsid w:val="00BD5479"/>
    <w:rsid w:val="00BD56DC"/>
    <w:rsid w:val="00BD5EED"/>
    <w:rsid w:val="00BD604C"/>
    <w:rsid w:val="00BD6337"/>
    <w:rsid w:val="00BD703B"/>
    <w:rsid w:val="00BD7E48"/>
    <w:rsid w:val="00BD7F39"/>
    <w:rsid w:val="00BD7F46"/>
    <w:rsid w:val="00BE0005"/>
    <w:rsid w:val="00BE02E6"/>
    <w:rsid w:val="00BE09AC"/>
    <w:rsid w:val="00BE09FB"/>
    <w:rsid w:val="00BE0A6C"/>
    <w:rsid w:val="00BE0BFF"/>
    <w:rsid w:val="00BE0C56"/>
    <w:rsid w:val="00BE0F14"/>
    <w:rsid w:val="00BE111E"/>
    <w:rsid w:val="00BE16FB"/>
    <w:rsid w:val="00BE199C"/>
    <w:rsid w:val="00BE1C22"/>
    <w:rsid w:val="00BE26FC"/>
    <w:rsid w:val="00BE2708"/>
    <w:rsid w:val="00BE2B52"/>
    <w:rsid w:val="00BE3665"/>
    <w:rsid w:val="00BE3DCA"/>
    <w:rsid w:val="00BE3FFA"/>
    <w:rsid w:val="00BE4271"/>
    <w:rsid w:val="00BE4471"/>
    <w:rsid w:val="00BE455E"/>
    <w:rsid w:val="00BE5032"/>
    <w:rsid w:val="00BE506C"/>
    <w:rsid w:val="00BE506E"/>
    <w:rsid w:val="00BE5240"/>
    <w:rsid w:val="00BE590B"/>
    <w:rsid w:val="00BE5A86"/>
    <w:rsid w:val="00BE5CBD"/>
    <w:rsid w:val="00BE5EF3"/>
    <w:rsid w:val="00BE67DB"/>
    <w:rsid w:val="00BE6A13"/>
    <w:rsid w:val="00BE740D"/>
    <w:rsid w:val="00BE7AC4"/>
    <w:rsid w:val="00BE7CAD"/>
    <w:rsid w:val="00BF03DA"/>
    <w:rsid w:val="00BF0950"/>
    <w:rsid w:val="00BF0BAE"/>
    <w:rsid w:val="00BF0C67"/>
    <w:rsid w:val="00BF100E"/>
    <w:rsid w:val="00BF11E7"/>
    <w:rsid w:val="00BF12C6"/>
    <w:rsid w:val="00BF14A0"/>
    <w:rsid w:val="00BF167B"/>
    <w:rsid w:val="00BF194F"/>
    <w:rsid w:val="00BF1B96"/>
    <w:rsid w:val="00BF1C55"/>
    <w:rsid w:val="00BF2112"/>
    <w:rsid w:val="00BF240A"/>
    <w:rsid w:val="00BF2A39"/>
    <w:rsid w:val="00BF38A5"/>
    <w:rsid w:val="00BF3955"/>
    <w:rsid w:val="00BF3C05"/>
    <w:rsid w:val="00BF3DFF"/>
    <w:rsid w:val="00BF3E8B"/>
    <w:rsid w:val="00BF3FB1"/>
    <w:rsid w:val="00BF40FF"/>
    <w:rsid w:val="00BF4413"/>
    <w:rsid w:val="00BF4428"/>
    <w:rsid w:val="00BF48DD"/>
    <w:rsid w:val="00BF4BFC"/>
    <w:rsid w:val="00BF4CB3"/>
    <w:rsid w:val="00BF52D6"/>
    <w:rsid w:val="00BF5BEB"/>
    <w:rsid w:val="00BF6550"/>
    <w:rsid w:val="00BF6B00"/>
    <w:rsid w:val="00BF6D17"/>
    <w:rsid w:val="00BF6D97"/>
    <w:rsid w:val="00BF6EC3"/>
    <w:rsid w:val="00BF73EC"/>
    <w:rsid w:val="00BF76E3"/>
    <w:rsid w:val="00BF79FA"/>
    <w:rsid w:val="00BF7D11"/>
    <w:rsid w:val="00BF7E02"/>
    <w:rsid w:val="00C001F0"/>
    <w:rsid w:val="00C00210"/>
    <w:rsid w:val="00C0034B"/>
    <w:rsid w:val="00C0035A"/>
    <w:rsid w:val="00C005E8"/>
    <w:rsid w:val="00C006CA"/>
    <w:rsid w:val="00C007D2"/>
    <w:rsid w:val="00C008F0"/>
    <w:rsid w:val="00C00C15"/>
    <w:rsid w:val="00C01538"/>
    <w:rsid w:val="00C01589"/>
    <w:rsid w:val="00C01FE3"/>
    <w:rsid w:val="00C025C5"/>
    <w:rsid w:val="00C027ED"/>
    <w:rsid w:val="00C02BF8"/>
    <w:rsid w:val="00C02DE7"/>
    <w:rsid w:val="00C03016"/>
    <w:rsid w:val="00C0324F"/>
    <w:rsid w:val="00C036B7"/>
    <w:rsid w:val="00C03718"/>
    <w:rsid w:val="00C03803"/>
    <w:rsid w:val="00C03C62"/>
    <w:rsid w:val="00C03D8F"/>
    <w:rsid w:val="00C040D7"/>
    <w:rsid w:val="00C04164"/>
    <w:rsid w:val="00C04633"/>
    <w:rsid w:val="00C049FA"/>
    <w:rsid w:val="00C04AAA"/>
    <w:rsid w:val="00C04D31"/>
    <w:rsid w:val="00C051BB"/>
    <w:rsid w:val="00C053C7"/>
    <w:rsid w:val="00C06207"/>
    <w:rsid w:val="00C0635B"/>
    <w:rsid w:val="00C07136"/>
    <w:rsid w:val="00C074D1"/>
    <w:rsid w:val="00C07835"/>
    <w:rsid w:val="00C079B8"/>
    <w:rsid w:val="00C07D2B"/>
    <w:rsid w:val="00C1048F"/>
    <w:rsid w:val="00C10885"/>
    <w:rsid w:val="00C10D2D"/>
    <w:rsid w:val="00C10DA4"/>
    <w:rsid w:val="00C10F1C"/>
    <w:rsid w:val="00C115A4"/>
    <w:rsid w:val="00C118D6"/>
    <w:rsid w:val="00C11A6A"/>
    <w:rsid w:val="00C11BCA"/>
    <w:rsid w:val="00C11C2F"/>
    <w:rsid w:val="00C11C4D"/>
    <w:rsid w:val="00C11E7A"/>
    <w:rsid w:val="00C124BD"/>
    <w:rsid w:val="00C12B51"/>
    <w:rsid w:val="00C12BF3"/>
    <w:rsid w:val="00C12D5E"/>
    <w:rsid w:val="00C12F66"/>
    <w:rsid w:val="00C12F92"/>
    <w:rsid w:val="00C136EF"/>
    <w:rsid w:val="00C1370F"/>
    <w:rsid w:val="00C137B2"/>
    <w:rsid w:val="00C13F24"/>
    <w:rsid w:val="00C140D4"/>
    <w:rsid w:val="00C1498A"/>
    <w:rsid w:val="00C14AFE"/>
    <w:rsid w:val="00C14C76"/>
    <w:rsid w:val="00C14E56"/>
    <w:rsid w:val="00C14F45"/>
    <w:rsid w:val="00C14F52"/>
    <w:rsid w:val="00C153A7"/>
    <w:rsid w:val="00C159C8"/>
    <w:rsid w:val="00C15A31"/>
    <w:rsid w:val="00C15B4F"/>
    <w:rsid w:val="00C15D2D"/>
    <w:rsid w:val="00C15F77"/>
    <w:rsid w:val="00C1638E"/>
    <w:rsid w:val="00C16F69"/>
    <w:rsid w:val="00C16F7A"/>
    <w:rsid w:val="00C16F96"/>
    <w:rsid w:val="00C171DD"/>
    <w:rsid w:val="00C17208"/>
    <w:rsid w:val="00C172B7"/>
    <w:rsid w:val="00C172D8"/>
    <w:rsid w:val="00C173F5"/>
    <w:rsid w:val="00C17416"/>
    <w:rsid w:val="00C17529"/>
    <w:rsid w:val="00C17532"/>
    <w:rsid w:val="00C17821"/>
    <w:rsid w:val="00C17A37"/>
    <w:rsid w:val="00C17A99"/>
    <w:rsid w:val="00C17D09"/>
    <w:rsid w:val="00C205D6"/>
    <w:rsid w:val="00C20F40"/>
    <w:rsid w:val="00C21277"/>
    <w:rsid w:val="00C21315"/>
    <w:rsid w:val="00C214E4"/>
    <w:rsid w:val="00C2153E"/>
    <w:rsid w:val="00C21596"/>
    <w:rsid w:val="00C21841"/>
    <w:rsid w:val="00C219D2"/>
    <w:rsid w:val="00C21D8C"/>
    <w:rsid w:val="00C21F4D"/>
    <w:rsid w:val="00C2213B"/>
    <w:rsid w:val="00C22541"/>
    <w:rsid w:val="00C22B06"/>
    <w:rsid w:val="00C22CAB"/>
    <w:rsid w:val="00C230CC"/>
    <w:rsid w:val="00C231DB"/>
    <w:rsid w:val="00C232B2"/>
    <w:rsid w:val="00C2334C"/>
    <w:rsid w:val="00C236C7"/>
    <w:rsid w:val="00C236FE"/>
    <w:rsid w:val="00C237E9"/>
    <w:rsid w:val="00C238CB"/>
    <w:rsid w:val="00C239FC"/>
    <w:rsid w:val="00C23F8A"/>
    <w:rsid w:val="00C24116"/>
    <w:rsid w:val="00C24650"/>
    <w:rsid w:val="00C246E0"/>
    <w:rsid w:val="00C24799"/>
    <w:rsid w:val="00C24ED8"/>
    <w:rsid w:val="00C24F15"/>
    <w:rsid w:val="00C2510C"/>
    <w:rsid w:val="00C251F6"/>
    <w:rsid w:val="00C252B7"/>
    <w:rsid w:val="00C25465"/>
    <w:rsid w:val="00C25807"/>
    <w:rsid w:val="00C25C25"/>
    <w:rsid w:val="00C26483"/>
    <w:rsid w:val="00C265DF"/>
    <w:rsid w:val="00C266AB"/>
    <w:rsid w:val="00C267BD"/>
    <w:rsid w:val="00C26A37"/>
    <w:rsid w:val="00C26C13"/>
    <w:rsid w:val="00C26EC7"/>
    <w:rsid w:val="00C26F35"/>
    <w:rsid w:val="00C27098"/>
    <w:rsid w:val="00C27B07"/>
    <w:rsid w:val="00C27B73"/>
    <w:rsid w:val="00C27CC7"/>
    <w:rsid w:val="00C303E6"/>
    <w:rsid w:val="00C30488"/>
    <w:rsid w:val="00C30A04"/>
    <w:rsid w:val="00C30AF2"/>
    <w:rsid w:val="00C30D95"/>
    <w:rsid w:val="00C3114C"/>
    <w:rsid w:val="00C31214"/>
    <w:rsid w:val="00C317B7"/>
    <w:rsid w:val="00C31806"/>
    <w:rsid w:val="00C3196C"/>
    <w:rsid w:val="00C31FAA"/>
    <w:rsid w:val="00C31FD4"/>
    <w:rsid w:val="00C3228A"/>
    <w:rsid w:val="00C323E7"/>
    <w:rsid w:val="00C3267B"/>
    <w:rsid w:val="00C32A09"/>
    <w:rsid w:val="00C32B28"/>
    <w:rsid w:val="00C32C18"/>
    <w:rsid w:val="00C32C84"/>
    <w:rsid w:val="00C33036"/>
    <w:rsid w:val="00C33079"/>
    <w:rsid w:val="00C33293"/>
    <w:rsid w:val="00C33694"/>
    <w:rsid w:val="00C3388E"/>
    <w:rsid w:val="00C33947"/>
    <w:rsid w:val="00C33CF1"/>
    <w:rsid w:val="00C34239"/>
    <w:rsid w:val="00C34507"/>
    <w:rsid w:val="00C346EF"/>
    <w:rsid w:val="00C3499A"/>
    <w:rsid w:val="00C349C4"/>
    <w:rsid w:val="00C349D2"/>
    <w:rsid w:val="00C34A96"/>
    <w:rsid w:val="00C34E5F"/>
    <w:rsid w:val="00C3506A"/>
    <w:rsid w:val="00C35418"/>
    <w:rsid w:val="00C354D5"/>
    <w:rsid w:val="00C35B13"/>
    <w:rsid w:val="00C35B5B"/>
    <w:rsid w:val="00C35FCF"/>
    <w:rsid w:val="00C366B9"/>
    <w:rsid w:val="00C36A0B"/>
    <w:rsid w:val="00C36DC4"/>
    <w:rsid w:val="00C3700B"/>
    <w:rsid w:val="00C37BA6"/>
    <w:rsid w:val="00C37E98"/>
    <w:rsid w:val="00C40422"/>
    <w:rsid w:val="00C40425"/>
    <w:rsid w:val="00C404B6"/>
    <w:rsid w:val="00C4056C"/>
    <w:rsid w:val="00C40729"/>
    <w:rsid w:val="00C40BAE"/>
    <w:rsid w:val="00C40C5F"/>
    <w:rsid w:val="00C40D06"/>
    <w:rsid w:val="00C41408"/>
    <w:rsid w:val="00C41448"/>
    <w:rsid w:val="00C4151D"/>
    <w:rsid w:val="00C418CB"/>
    <w:rsid w:val="00C41B2E"/>
    <w:rsid w:val="00C41E3F"/>
    <w:rsid w:val="00C41F7A"/>
    <w:rsid w:val="00C42E99"/>
    <w:rsid w:val="00C43416"/>
    <w:rsid w:val="00C43721"/>
    <w:rsid w:val="00C4381C"/>
    <w:rsid w:val="00C439E4"/>
    <w:rsid w:val="00C43F9D"/>
    <w:rsid w:val="00C4447E"/>
    <w:rsid w:val="00C451C3"/>
    <w:rsid w:val="00C4527B"/>
    <w:rsid w:val="00C45552"/>
    <w:rsid w:val="00C45C1D"/>
    <w:rsid w:val="00C45DFF"/>
    <w:rsid w:val="00C45E1C"/>
    <w:rsid w:val="00C45FEF"/>
    <w:rsid w:val="00C46195"/>
    <w:rsid w:val="00C46284"/>
    <w:rsid w:val="00C46636"/>
    <w:rsid w:val="00C46E5B"/>
    <w:rsid w:val="00C471C1"/>
    <w:rsid w:val="00C475A0"/>
    <w:rsid w:val="00C47DD5"/>
    <w:rsid w:val="00C47FEC"/>
    <w:rsid w:val="00C5034E"/>
    <w:rsid w:val="00C50664"/>
    <w:rsid w:val="00C50C52"/>
    <w:rsid w:val="00C50D30"/>
    <w:rsid w:val="00C50FF7"/>
    <w:rsid w:val="00C510AF"/>
    <w:rsid w:val="00C51229"/>
    <w:rsid w:val="00C5155E"/>
    <w:rsid w:val="00C51714"/>
    <w:rsid w:val="00C5177C"/>
    <w:rsid w:val="00C51B12"/>
    <w:rsid w:val="00C51C21"/>
    <w:rsid w:val="00C52082"/>
    <w:rsid w:val="00C525D7"/>
    <w:rsid w:val="00C538B8"/>
    <w:rsid w:val="00C53DBC"/>
    <w:rsid w:val="00C54947"/>
    <w:rsid w:val="00C54A24"/>
    <w:rsid w:val="00C5546C"/>
    <w:rsid w:val="00C55647"/>
    <w:rsid w:val="00C55687"/>
    <w:rsid w:val="00C55A12"/>
    <w:rsid w:val="00C55C4A"/>
    <w:rsid w:val="00C56065"/>
    <w:rsid w:val="00C56569"/>
    <w:rsid w:val="00C56C02"/>
    <w:rsid w:val="00C56D59"/>
    <w:rsid w:val="00C56F86"/>
    <w:rsid w:val="00C56FE7"/>
    <w:rsid w:val="00C573F4"/>
    <w:rsid w:val="00C57B1F"/>
    <w:rsid w:val="00C57F09"/>
    <w:rsid w:val="00C57F28"/>
    <w:rsid w:val="00C57F91"/>
    <w:rsid w:val="00C60123"/>
    <w:rsid w:val="00C601A0"/>
    <w:rsid w:val="00C601D0"/>
    <w:rsid w:val="00C6037A"/>
    <w:rsid w:val="00C604D3"/>
    <w:rsid w:val="00C60E1F"/>
    <w:rsid w:val="00C60F9D"/>
    <w:rsid w:val="00C610C0"/>
    <w:rsid w:val="00C61301"/>
    <w:rsid w:val="00C619B9"/>
    <w:rsid w:val="00C61D8C"/>
    <w:rsid w:val="00C6236D"/>
    <w:rsid w:val="00C62444"/>
    <w:rsid w:val="00C624DD"/>
    <w:rsid w:val="00C62BD9"/>
    <w:rsid w:val="00C62E27"/>
    <w:rsid w:val="00C632A8"/>
    <w:rsid w:val="00C63364"/>
    <w:rsid w:val="00C6377B"/>
    <w:rsid w:val="00C638C7"/>
    <w:rsid w:val="00C6397F"/>
    <w:rsid w:val="00C63EE3"/>
    <w:rsid w:val="00C63F11"/>
    <w:rsid w:val="00C640FE"/>
    <w:rsid w:val="00C64470"/>
    <w:rsid w:val="00C6453B"/>
    <w:rsid w:val="00C6553E"/>
    <w:rsid w:val="00C65810"/>
    <w:rsid w:val="00C65BDE"/>
    <w:rsid w:val="00C661C4"/>
    <w:rsid w:val="00C66847"/>
    <w:rsid w:val="00C6721A"/>
    <w:rsid w:val="00C6756D"/>
    <w:rsid w:val="00C70269"/>
    <w:rsid w:val="00C7051A"/>
    <w:rsid w:val="00C70AAC"/>
    <w:rsid w:val="00C70CDF"/>
    <w:rsid w:val="00C70FCE"/>
    <w:rsid w:val="00C713B7"/>
    <w:rsid w:val="00C71788"/>
    <w:rsid w:val="00C71A4D"/>
    <w:rsid w:val="00C72074"/>
    <w:rsid w:val="00C72400"/>
    <w:rsid w:val="00C72483"/>
    <w:rsid w:val="00C72548"/>
    <w:rsid w:val="00C726A2"/>
    <w:rsid w:val="00C728DE"/>
    <w:rsid w:val="00C72B36"/>
    <w:rsid w:val="00C72D70"/>
    <w:rsid w:val="00C73039"/>
    <w:rsid w:val="00C733A6"/>
    <w:rsid w:val="00C73534"/>
    <w:rsid w:val="00C73586"/>
    <w:rsid w:val="00C7389B"/>
    <w:rsid w:val="00C738E3"/>
    <w:rsid w:val="00C73EA6"/>
    <w:rsid w:val="00C73F9D"/>
    <w:rsid w:val="00C7401C"/>
    <w:rsid w:val="00C74619"/>
    <w:rsid w:val="00C74CD9"/>
    <w:rsid w:val="00C752BB"/>
    <w:rsid w:val="00C7572B"/>
    <w:rsid w:val="00C759C2"/>
    <w:rsid w:val="00C75C1C"/>
    <w:rsid w:val="00C75E87"/>
    <w:rsid w:val="00C75EB4"/>
    <w:rsid w:val="00C75FB1"/>
    <w:rsid w:val="00C76103"/>
    <w:rsid w:val="00C76287"/>
    <w:rsid w:val="00C76603"/>
    <w:rsid w:val="00C76A62"/>
    <w:rsid w:val="00C7727F"/>
    <w:rsid w:val="00C772EC"/>
    <w:rsid w:val="00C773C9"/>
    <w:rsid w:val="00C7780D"/>
    <w:rsid w:val="00C779A2"/>
    <w:rsid w:val="00C77C32"/>
    <w:rsid w:val="00C801C9"/>
    <w:rsid w:val="00C8054A"/>
    <w:rsid w:val="00C805A0"/>
    <w:rsid w:val="00C818B3"/>
    <w:rsid w:val="00C81A7E"/>
    <w:rsid w:val="00C81C01"/>
    <w:rsid w:val="00C81C3B"/>
    <w:rsid w:val="00C82077"/>
    <w:rsid w:val="00C821A9"/>
    <w:rsid w:val="00C82B8B"/>
    <w:rsid w:val="00C82DF3"/>
    <w:rsid w:val="00C8329F"/>
    <w:rsid w:val="00C832B3"/>
    <w:rsid w:val="00C83450"/>
    <w:rsid w:val="00C83664"/>
    <w:rsid w:val="00C8385E"/>
    <w:rsid w:val="00C83A13"/>
    <w:rsid w:val="00C83DB9"/>
    <w:rsid w:val="00C84159"/>
    <w:rsid w:val="00C848B5"/>
    <w:rsid w:val="00C84E5D"/>
    <w:rsid w:val="00C85495"/>
    <w:rsid w:val="00C858D1"/>
    <w:rsid w:val="00C859C3"/>
    <w:rsid w:val="00C85E29"/>
    <w:rsid w:val="00C8650C"/>
    <w:rsid w:val="00C8699A"/>
    <w:rsid w:val="00C86B68"/>
    <w:rsid w:val="00C86F10"/>
    <w:rsid w:val="00C871A3"/>
    <w:rsid w:val="00C872BA"/>
    <w:rsid w:val="00C87458"/>
    <w:rsid w:val="00C87517"/>
    <w:rsid w:val="00C878C8"/>
    <w:rsid w:val="00C87A98"/>
    <w:rsid w:val="00C87D28"/>
    <w:rsid w:val="00C87EA9"/>
    <w:rsid w:val="00C87F7E"/>
    <w:rsid w:val="00C90182"/>
    <w:rsid w:val="00C9068C"/>
    <w:rsid w:val="00C90751"/>
    <w:rsid w:val="00C90D9A"/>
    <w:rsid w:val="00C90D9B"/>
    <w:rsid w:val="00C90FD1"/>
    <w:rsid w:val="00C9182D"/>
    <w:rsid w:val="00C91926"/>
    <w:rsid w:val="00C91986"/>
    <w:rsid w:val="00C91E35"/>
    <w:rsid w:val="00C91E4D"/>
    <w:rsid w:val="00C925F5"/>
    <w:rsid w:val="00C9263C"/>
    <w:rsid w:val="00C926EC"/>
    <w:rsid w:val="00C92967"/>
    <w:rsid w:val="00C92CA3"/>
    <w:rsid w:val="00C92E47"/>
    <w:rsid w:val="00C93B17"/>
    <w:rsid w:val="00C93DC7"/>
    <w:rsid w:val="00C93DD0"/>
    <w:rsid w:val="00C93DD1"/>
    <w:rsid w:val="00C93E2F"/>
    <w:rsid w:val="00C9402C"/>
    <w:rsid w:val="00C943F6"/>
    <w:rsid w:val="00C94666"/>
    <w:rsid w:val="00C949CC"/>
    <w:rsid w:val="00C949F0"/>
    <w:rsid w:val="00C94A1C"/>
    <w:rsid w:val="00C94B64"/>
    <w:rsid w:val="00C94D02"/>
    <w:rsid w:val="00C94F6F"/>
    <w:rsid w:val="00C9520A"/>
    <w:rsid w:val="00C95231"/>
    <w:rsid w:val="00C954AC"/>
    <w:rsid w:val="00C95624"/>
    <w:rsid w:val="00C95B7F"/>
    <w:rsid w:val="00C95BB7"/>
    <w:rsid w:val="00C95C52"/>
    <w:rsid w:val="00C9615C"/>
    <w:rsid w:val="00C96194"/>
    <w:rsid w:val="00C96D6E"/>
    <w:rsid w:val="00C96EAC"/>
    <w:rsid w:val="00C975CD"/>
    <w:rsid w:val="00C97D90"/>
    <w:rsid w:val="00CA0A15"/>
    <w:rsid w:val="00CA0D64"/>
    <w:rsid w:val="00CA0D89"/>
    <w:rsid w:val="00CA0DA5"/>
    <w:rsid w:val="00CA0F26"/>
    <w:rsid w:val="00CA1548"/>
    <w:rsid w:val="00CA1C61"/>
    <w:rsid w:val="00CA1F95"/>
    <w:rsid w:val="00CA21AF"/>
    <w:rsid w:val="00CA268C"/>
    <w:rsid w:val="00CA2AB1"/>
    <w:rsid w:val="00CA34F0"/>
    <w:rsid w:val="00CA3589"/>
    <w:rsid w:val="00CA36B1"/>
    <w:rsid w:val="00CA3AF9"/>
    <w:rsid w:val="00CA3D0C"/>
    <w:rsid w:val="00CA3E1D"/>
    <w:rsid w:val="00CA45C7"/>
    <w:rsid w:val="00CA4681"/>
    <w:rsid w:val="00CA47A1"/>
    <w:rsid w:val="00CA4899"/>
    <w:rsid w:val="00CA4A96"/>
    <w:rsid w:val="00CA4BE3"/>
    <w:rsid w:val="00CA4D80"/>
    <w:rsid w:val="00CA5ADA"/>
    <w:rsid w:val="00CA5CF3"/>
    <w:rsid w:val="00CA5D29"/>
    <w:rsid w:val="00CA5DE8"/>
    <w:rsid w:val="00CA5E45"/>
    <w:rsid w:val="00CA654B"/>
    <w:rsid w:val="00CA68AC"/>
    <w:rsid w:val="00CA6A0F"/>
    <w:rsid w:val="00CA6CD5"/>
    <w:rsid w:val="00CA6DC5"/>
    <w:rsid w:val="00CA7116"/>
    <w:rsid w:val="00CA71CF"/>
    <w:rsid w:val="00CA7523"/>
    <w:rsid w:val="00CA753C"/>
    <w:rsid w:val="00CA7848"/>
    <w:rsid w:val="00CA7FB4"/>
    <w:rsid w:val="00CB0101"/>
    <w:rsid w:val="00CB0655"/>
    <w:rsid w:val="00CB13B1"/>
    <w:rsid w:val="00CB199B"/>
    <w:rsid w:val="00CB1DC4"/>
    <w:rsid w:val="00CB2941"/>
    <w:rsid w:val="00CB34A0"/>
    <w:rsid w:val="00CB3588"/>
    <w:rsid w:val="00CB3B0B"/>
    <w:rsid w:val="00CB3C3A"/>
    <w:rsid w:val="00CB4464"/>
    <w:rsid w:val="00CB450A"/>
    <w:rsid w:val="00CB4CA4"/>
    <w:rsid w:val="00CB5326"/>
    <w:rsid w:val="00CB53BC"/>
    <w:rsid w:val="00CB57E8"/>
    <w:rsid w:val="00CB5BF6"/>
    <w:rsid w:val="00CB5DD3"/>
    <w:rsid w:val="00CB6088"/>
    <w:rsid w:val="00CB629B"/>
    <w:rsid w:val="00CB6618"/>
    <w:rsid w:val="00CB6BB3"/>
    <w:rsid w:val="00CB6CE4"/>
    <w:rsid w:val="00CB70EA"/>
    <w:rsid w:val="00CB71B4"/>
    <w:rsid w:val="00CB72B8"/>
    <w:rsid w:val="00CB74EC"/>
    <w:rsid w:val="00CB7767"/>
    <w:rsid w:val="00CB7851"/>
    <w:rsid w:val="00CB7943"/>
    <w:rsid w:val="00CB799F"/>
    <w:rsid w:val="00CC04A7"/>
    <w:rsid w:val="00CC093F"/>
    <w:rsid w:val="00CC12C9"/>
    <w:rsid w:val="00CC1742"/>
    <w:rsid w:val="00CC1BA9"/>
    <w:rsid w:val="00CC1F12"/>
    <w:rsid w:val="00CC202B"/>
    <w:rsid w:val="00CC2885"/>
    <w:rsid w:val="00CC2C5C"/>
    <w:rsid w:val="00CC30A6"/>
    <w:rsid w:val="00CC33B0"/>
    <w:rsid w:val="00CC37C5"/>
    <w:rsid w:val="00CC39CF"/>
    <w:rsid w:val="00CC39EF"/>
    <w:rsid w:val="00CC4764"/>
    <w:rsid w:val="00CC5167"/>
    <w:rsid w:val="00CC5208"/>
    <w:rsid w:val="00CC53BB"/>
    <w:rsid w:val="00CC5BA8"/>
    <w:rsid w:val="00CC5E37"/>
    <w:rsid w:val="00CC6007"/>
    <w:rsid w:val="00CC6022"/>
    <w:rsid w:val="00CC6050"/>
    <w:rsid w:val="00CC64EB"/>
    <w:rsid w:val="00CC659F"/>
    <w:rsid w:val="00CC70E8"/>
    <w:rsid w:val="00CC742B"/>
    <w:rsid w:val="00CC768D"/>
    <w:rsid w:val="00CC7A45"/>
    <w:rsid w:val="00CC7AA9"/>
    <w:rsid w:val="00CC7C17"/>
    <w:rsid w:val="00CD02D0"/>
    <w:rsid w:val="00CD0407"/>
    <w:rsid w:val="00CD04F7"/>
    <w:rsid w:val="00CD0818"/>
    <w:rsid w:val="00CD0BA8"/>
    <w:rsid w:val="00CD0C53"/>
    <w:rsid w:val="00CD0DC2"/>
    <w:rsid w:val="00CD1317"/>
    <w:rsid w:val="00CD14BC"/>
    <w:rsid w:val="00CD1A1F"/>
    <w:rsid w:val="00CD1AEC"/>
    <w:rsid w:val="00CD204E"/>
    <w:rsid w:val="00CD20CA"/>
    <w:rsid w:val="00CD2386"/>
    <w:rsid w:val="00CD2645"/>
    <w:rsid w:val="00CD282E"/>
    <w:rsid w:val="00CD2872"/>
    <w:rsid w:val="00CD2A7F"/>
    <w:rsid w:val="00CD2D85"/>
    <w:rsid w:val="00CD3351"/>
    <w:rsid w:val="00CD344F"/>
    <w:rsid w:val="00CD345D"/>
    <w:rsid w:val="00CD3869"/>
    <w:rsid w:val="00CD3ACB"/>
    <w:rsid w:val="00CD4425"/>
    <w:rsid w:val="00CD4959"/>
    <w:rsid w:val="00CD4A75"/>
    <w:rsid w:val="00CD4C7B"/>
    <w:rsid w:val="00CD4CB1"/>
    <w:rsid w:val="00CD4CE3"/>
    <w:rsid w:val="00CD539E"/>
    <w:rsid w:val="00CD583F"/>
    <w:rsid w:val="00CD58A5"/>
    <w:rsid w:val="00CD58FE"/>
    <w:rsid w:val="00CD5AF2"/>
    <w:rsid w:val="00CD602A"/>
    <w:rsid w:val="00CD609A"/>
    <w:rsid w:val="00CD6238"/>
    <w:rsid w:val="00CD630C"/>
    <w:rsid w:val="00CD6D71"/>
    <w:rsid w:val="00CD6F68"/>
    <w:rsid w:val="00CD6FC4"/>
    <w:rsid w:val="00CD7183"/>
    <w:rsid w:val="00CD728F"/>
    <w:rsid w:val="00CD72C0"/>
    <w:rsid w:val="00CD73B4"/>
    <w:rsid w:val="00CD78A1"/>
    <w:rsid w:val="00CD7BCA"/>
    <w:rsid w:val="00CD7E55"/>
    <w:rsid w:val="00CE02D0"/>
    <w:rsid w:val="00CE08BD"/>
    <w:rsid w:val="00CE090C"/>
    <w:rsid w:val="00CE0AE4"/>
    <w:rsid w:val="00CE1905"/>
    <w:rsid w:val="00CE19AB"/>
    <w:rsid w:val="00CE1A74"/>
    <w:rsid w:val="00CE1C57"/>
    <w:rsid w:val="00CE1EB9"/>
    <w:rsid w:val="00CE201E"/>
    <w:rsid w:val="00CE2220"/>
    <w:rsid w:val="00CE28F8"/>
    <w:rsid w:val="00CE2C27"/>
    <w:rsid w:val="00CE32DD"/>
    <w:rsid w:val="00CE3348"/>
    <w:rsid w:val="00CE357E"/>
    <w:rsid w:val="00CE37D7"/>
    <w:rsid w:val="00CE3A7C"/>
    <w:rsid w:val="00CE3E09"/>
    <w:rsid w:val="00CE3E1A"/>
    <w:rsid w:val="00CE41CA"/>
    <w:rsid w:val="00CE45D4"/>
    <w:rsid w:val="00CE4B55"/>
    <w:rsid w:val="00CE4C6C"/>
    <w:rsid w:val="00CE4EF6"/>
    <w:rsid w:val="00CE5626"/>
    <w:rsid w:val="00CE5791"/>
    <w:rsid w:val="00CE58B4"/>
    <w:rsid w:val="00CE5B3F"/>
    <w:rsid w:val="00CE5C77"/>
    <w:rsid w:val="00CE5F48"/>
    <w:rsid w:val="00CE6243"/>
    <w:rsid w:val="00CE6278"/>
    <w:rsid w:val="00CE664C"/>
    <w:rsid w:val="00CE6692"/>
    <w:rsid w:val="00CE6727"/>
    <w:rsid w:val="00CE702D"/>
    <w:rsid w:val="00CE7187"/>
    <w:rsid w:val="00CE7370"/>
    <w:rsid w:val="00CE740D"/>
    <w:rsid w:val="00CF004B"/>
    <w:rsid w:val="00CF0188"/>
    <w:rsid w:val="00CF03E0"/>
    <w:rsid w:val="00CF0E66"/>
    <w:rsid w:val="00CF13D5"/>
    <w:rsid w:val="00CF1633"/>
    <w:rsid w:val="00CF18DB"/>
    <w:rsid w:val="00CF191C"/>
    <w:rsid w:val="00CF1A5F"/>
    <w:rsid w:val="00CF1BAA"/>
    <w:rsid w:val="00CF2AA0"/>
    <w:rsid w:val="00CF2C7E"/>
    <w:rsid w:val="00CF2E58"/>
    <w:rsid w:val="00CF3117"/>
    <w:rsid w:val="00CF3774"/>
    <w:rsid w:val="00CF3A1C"/>
    <w:rsid w:val="00CF3A6B"/>
    <w:rsid w:val="00CF3D88"/>
    <w:rsid w:val="00CF40DF"/>
    <w:rsid w:val="00CF457F"/>
    <w:rsid w:val="00CF4618"/>
    <w:rsid w:val="00CF5571"/>
    <w:rsid w:val="00CF5D79"/>
    <w:rsid w:val="00CF5DD0"/>
    <w:rsid w:val="00CF60BA"/>
    <w:rsid w:val="00CF6353"/>
    <w:rsid w:val="00CF644A"/>
    <w:rsid w:val="00CF68A5"/>
    <w:rsid w:val="00CF6907"/>
    <w:rsid w:val="00CF69CA"/>
    <w:rsid w:val="00CF6AA8"/>
    <w:rsid w:val="00CF728C"/>
    <w:rsid w:val="00CF7374"/>
    <w:rsid w:val="00CF7531"/>
    <w:rsid w:val="00CF7558"/>
    <w:rsid w:val="00CF7AD6"/>
    <w:rsid w:val="00CF7D47"/>
    <w:rsid w:val="00D0022C"/>
    <w:rsid w:val="00D00744"/>
    <w:rsid w:val="00D00E3D"/>
    <w:rsid w:val="00D01011"/>
    <w:rsid w:val="00D01363"/>
    <w:rsid w:val="00D01435"/>
    <w:rsid w:val="00D0152F"/>
    <w:rsid w:val="00D017A5"/>
    <w:rsid w:val="00D0181D"/>
    <w:rsid w:val="00D01856"/>
    <w:rsid w:val="00D019D7"/>
    <w:rsid w:val="00D02285"/>
    <w:rsid w:val="00D022FA"/>
    <w:rsid w:val="00D0281D"/>
    <w:rsid w:val="00D02D2B"/>
    <w:rsid w:val="00D037BF"/>
    <w:rsid w:val="00D037EA"/>
    <w:rsid w:val="00D03B4D"/>
    <w:rsid w:val="00D03E0C"/>
    <w:rsid w:val="00D04D9D"/>
    <w:rsid w:val="00D04FAF"/>
    <w:rsid w:val="00D050E1"/>
    <w:rsid w:val="00D05209"/>
    <w:rsid w:val="00D05573"/>
    <w:rsid w:val="00D05ED0"/>
    <w:rsid w:val="00D05EFD"/>
    <w:rsid w:val="00D05F85"/>
    <w:rsid w:val="00D06434"/>
    <w:rsid w:val="00D064F6"/>
    <w:rsid w:val="00D0667E"/>
    <w:rsid w:val="00D067FF"/>
    <w:rsid w:val="00D06C6B"/>
    <w:rsid w:val="00D06CF8"/>
    <w:rsid w:val="00D07028"/>
    <w:rsid w:val="00D071F9"/>
    <w:rsid w:val="00D0742E"/>
    <w:rsid w:val="00D074C2"/>
    <w:rsid w:val="00D07B72"/>
    <w:rsid w:val="00D07C15"/>
    <w:rsid w:val="00D104DA"/>
    <w:rsid w:val="00D1081B"/>
    <w:rsid w:val="00D10C65"/>
    <w:rsid w:val="00D110B3"/>
    <w:rsid w:val="00D11ECE"/>
    <w:rsid w:val="00D11F49"/>
    <w:rsid w:val="00D1215E"/>
    <w:rsid w:val="00D12243"/>
    <w:rsid w:val="00D12396"/>
    <w:rsid w:val="00D127EF"/>
    <w:rsid w:val="00D12971"/>
    <w:rsid w:val="00D12E29"/>
    <w:rsid w:val="00D13550"/>
    <w:rsid w:val="00D13596"/>
    <w:rsid w:val="00D13B34"/>
    <w:rsid w:val="00D14344"/>
    <w:rsid w:val="00D14380"/>
    <w:rsid w:val="00D143C7"/>
    <w:rsid w:val="00D14A09"/>
    <w:rsid w:val="00D14B2A"/>
    <w:rsid w:val="00D14D65"/>
    <w:rsid w:val="00D151D5"/>
    <w:rsid w:val="00D152C5"/>
    <w:rsid w:val="00D15CB7"/>
    <w:rsid w:val="00D15E7B"/>
    <w:rsid w:val="00D1654B"/>
    <w:rsid w:val="00D16C76"/>
    <w:rsid w:val="00D16CF2"/>
    <w:rsid w:val="00D17156"/>
    <w:rsid w:val="00D171CC"/>
    <w:rsid w:val="00D172DD"/>
    <w:rsid w:val="00D17D5C"/>
    <w:rsid w:val="00D17E85"/>
    <w:rsid w:val="00D17FDE"/>
    <w:rsid w:val="00D2034F"/>
    <w:rsid w:val="00D20553"/>
    <w:rsid w:val="00D20D40"/>
    <w:rsid w:val="00D20DD4"/>
    <w:rsid w:val="00D21189"/>
    <w:rsid w:val="00D2168D"/>
    <w:rsid w:val="00D21B41"/>
    <w:rsid w:val="00D22187"/>
    <w:rsid w:val="00D22320"/>
    <w:rsid w:val="00D228B1"/>
    <w:rsid w:val="00D22A0F"/>
    <w:rsid w:val="00D22A25"/>
    <w:rsid w:val="00D22ABA"/>
    <w:rsid w:val="00D22D88"/>
    <w:rsid w:val="00D23056"/>
    <w:rsid w:val="00D2318A"/>
    <w:rsid w:val="00D235C1"/>
    <w:rsid w:val="00D23744"/>
    <w:rsid w:val="00D2398B"/>
    <w:rsid w:val="00D23AAB"/>
    <w:rsid w:val="00D23B73"/>
    <w:rsid w:val="00D23CD1"/>
    <w:rsid w:val="00D23CEF"/>
    <w:rsid w:val="00D2400A"/>
    <w:rsid w:val="00D24097"/>
    <w:rsid w:val="00D2459A"/>
    <w:rsid w:val="00D247AB"/>
    <w:rsid w:val="00D24AD8"/>
    <w:rsid w:val="00D24B71"/>
    <w:rsid w:val="00D250B6"/>
    <w:rsid w:val="00D25379"/>
    <w:rsid w:val="00D255BB"/>
    <w:rsid w:val="00D257A7"/>
    <w:rsid w:val="00D25B0A"/>
    <w:rsid w:val="00D25B63"/>
    <w:rsid w:val="00D25B8B"/>
    <w:rsid w:val="00D26001"/>
    <w:rsid w:val="00D26276"/>
    <w:rsid w:val="00D268FD"/>
    <w:rsid w:val="00D26A2F"/>
    <w:rsid w:val="00D26A52"/>
    <w:rsid w:val="00D26B9F"/>
    <w:rsid w:val="00D27199"/>
    <w:rsid w:val="00D2719D"/>
    <w:rsid w:val="00D27327"/>
    <w:rsid w:val="00D30570"/>
    <w:rsid w:val="00D30BAA"/>
    <w:rsid w:val="00D30BC3"/>
    <w:rsid w:val="00D30DF2"/>
    <w:rsid w:val="00D3123C"/>
    <w:rsid w:val="00D31B6A"/>
    <w:rsid w:val="00D32124"/>
    <w:rsid w:val="00D3294B"/>
    <w:rsid w:val="00D32D11"/>
    <w:rsid w:val="00D33335"/>
    <w:rsid w:val="00D3348D"/>
    <w:rsid w:val="00D33BE3"/>
    <w:rsid w:val="00D34AB9"/>
    <w:rsid w:val="00D34DD1"/>
    <w:rsid w:val="00D34F77"/>
    <w:rsid w:val="00D35349"/>
    <w:rsid w:val="00D35443"/>
    <w:rsid w:val="00D35E32"/>
    <w:rsid w:val="00D35F3A"/>
    <w:rsid w:val="00D36319"/>
    <w:rsid w:val="00D36371"/>
    <w:rsid w:val="00D36692"/>
    <w:rsid w:val="00D367BE"/>
    <w:rsid w:val="00D36D03"/>
    <w:rsid w:val="00D3792D"/>
    <w:rsid w:val="00D37962"/>
    <w:rsid w:val="00D37A50"/>
    <w:rsid w:val="00D37B6B"/>
    <w:rsid w:val="00D37DC9"/>
    <w:rsid w:val="00D37DE7"/>
    <w:rsid w:val="00D37F39"/>
    <w:rsid w:val="00D4005D"/>
    <w:rsid w:val="00D40225"/>
    <w:rsid w:val="00D4026F"/>
    <w:rsid w:val="00D4061F"/>
    <w:rsid w:val="00D40C2D"/>
    <w:rsid w:val="00D41B09"/>
    <w:rsid w:val="00D41D73"/>
    <w:rsid w:val="00D41FE9"/>
    <w:rsid w:val="00D42462"/>
    <w:rsid w:val="00D42BDA"/>
    <w:rsid w:val="00D42FC9"/>
    <w:rsid w:val="00D430CE"/>
    <w:rsid w:val="00D434A8"/>
    <w:rsid w:val="00D4350A"/>
    <w:rsid w:val="00D435D0"/>
    <w:rsid w:val="00D4367B"/>
    <w:rsid w:val="00D43CF4"/>
    <w:rsid w:val="00D43DE8"/>
    <w:rsid w:val="00D44025"/>
    <w:rsid w:val="00D44089"/>
    <w:rsid w:val="00D44981"/>
    <w:rsid w:val="00D44A2A"/>
    <w:rsid w:val="00D44E7D"/>
    <w:rsid w:val="00D45235"/>
    <w:rsid w:val="00D45460"/>
    <w:rsid w:val="00D45679"/>
    <w:rsid w:val="00D45933"/>
    <w:rsid w:val="00D459A4"/>
    <w:rsid w:val="00D459BD"/>
    <w:rsid w:val="00D4656E"/>
    <w:rsid w:val="00D46BDF"/>
    <w:rsid w:val="00D46C5E"/>
    <w:rsid w:val="00D47652"/>
    <w:rsid w:val="00D47853"/>
    <w:rsid w:val="00D47985"/>
    <w:rsid w:val="00D47B65"/>
    <w:rsid w:val="00D47DCA"/>
    <w:rsid w:val="00D500D9"/>
    <w:rsid w:val="00D50314"/>
    <w:rsid w:val="00D507DA"/>
    <w:rsid w:val="00D508AF"/>
    <w:rsid w:val="00D50A9F"/>
    <w:rsid w:val="00D50AFA"/>
    <w:rsid w:val="00D51061"/>
    <w:rsid w:val="00D5155A"/>
    <w:rsid w:val="00D51D9D"/>
    <w:rsid w:val="00D521F7"/>
    <w:rsid w:val="00D52C34"/>
    <w:rsid w:val="00D52DA7"/>
    <w:rsid w:val="00D52F27"/>
    <w:rsid w:val="00D531DA"/>
    <w:rsid w:val="00D5345C"/>
    <w:rsid w:val="00D535C2"/>
    <w:rsid w:val="00D53FC3"/>
    <w:rsid w:val="00D5450E"/>
    <w:rsid w:val="00D5463B"/>
    <w:rsid w:val="00D54820"/>
    <w:rsid w:val="00D5492C"/>
    <w:rsid w:val="00D54CAD"/>
    <w:rsid w:val="00D54FEE"/>
    <w:rsid w:val="00D552C5"/>
    <w:rsid w:val="00D553D5"/>
    <w:rsid w:val="00D556BC"/>
    <w:rsid w:val="00D556EA"/>
    <w:rsid w:val="00D558C2"/>
    <w:rsid w:val="00D55C7F"/>
    <w:rsid w:val="00D55DDB"/>
    <w:rsid w:val="00D55E1F"/>
    <w:rsid w:val="00D55E47"/>
    <w:rsid w:val="00D56922"/>
    <w:rsid w:val="00D56AFF"/>
    <w:rsid w:val="00D56B32"/>
    <w:rsid w:val="00D5706A"/>
    <w:rsid w:val="00D570AD"/>
    <w:rsid w:val="00D571F1"/>
    <w:rsid w:val="00D577B2"/>
    <w:rsid w:val="00D579E7"/>
    <w:rsid w:val="00D57D59"/>
    <w:rsid w:val="00D6028C"/>
    <w:rsid w:val="00D60463"/>
    <w:rsid w:val="00D60ABF"/>
    <w:rsid w:val="00D60FC6"/>
    <w:rsid w:val="00D6138C"/>
    <w:rsid w:val="00D619FA"/>
    <w:rsid w:val="00D61D5A"/>
    <w:rsid w:val="00D62015"/>
    <w:rsid w:val="00D6232C"/>
    <w:rsid w:val="00D62534"/>
    <w:rsid w:val="00D625A1"/>
    <w:rsid w:val="00D62616"/>
    <w:rsid w:val="00D626A2"/>
    <w:rsid w:val="00D628C4"/>
    <w:rsid w:val="00D62E19"/>
    <w:rsid w:val="00D633DA"/>
    <w:rsid w:val="00D63782"/>
    <w:rsid w:val="00D63793"/>
    <w:rsid w:val="00D639F5"/>
    <w:rsid w:val="00D63D3A"/>
    <w:rsid w:val="00D63E5A"/>
    <w:rsid w:val="00D63EF5"/>
    <w:rsid w:val="00D64F29"/>
    <w:rsid w:val="00D652B3"/>
    <w:rsid w:val="00D6593B"/>
    <w:rsid w:val="00D659CA"/>
    <w:rsid w:val="00D65A83"/>
    <w:rsid w:val="00D65C5B"/>
    <w:rsid w:val="00D65EEF"/>
    <w:rsid w:val="00D661CD"/>
    <w:rsid w:val="00D66634"/>
    <w:rsid w:val="00D668E2"/>
    <w:rsid w:val="00D66AB2"/>
    <w:rsid w:val="00D66E77"/>
    <w:rsid w:val="00D66EDF"/>
    <w:rsid w:val="00D673ED"/>
    <w:rsid w:val="00D6755F"/>
    <w:rsid w:val="00D675CF"/>
    <w:rsid w:val="00D67758"/>
    <w:rsid w:val="00D67836"/>
    <w:rsid w:val="00D67853"/>
    <w:rsid w:val="00D678D9"/>
    <w:rsid w:val="00D67BE2"/>
    <w:rsid w:val="00D67CD1"/>
    <w:rsid w:val="00D702A5"/>
    <w:rsid w:val="00D70E0B"/>
    <w:rsid w:val="00D71184"/>
    <w:rsid w:val="00D711FB"/>
    <w:rsid w:val="00D71342"/>
    <w:rsid w:val="00D71732"/>
    <w:rsid w:val="00D7180C"/>
    <w:rsid w:val="00D71D0C"/>
    <w:rsid w:val="00D71E1B"/>
    <w:rsid w:val="00D72D61"/>
    <w:rsid w:val="00D72ED8"/>
    <w:rsid w:val="00D72EE6"/>
    <w:rsid w:val="00D7314F"/>
    <w:rsid w:val="00D73466"/>
    <w:rsid w:val="00D73658"/>
    <w:rsid w:val="00D738D6"/>
    <w:rsid w:val="00D73B89"/>
    <w:rsid w:val="00D73C63"/>
    <w:rsid w:val="00D743A9"/>
    <w:rsid w:val="00D74F5A"/>
    <w:rsid w:val="00D75032"/>
    <w:rsid w:val="00D753EE"/>
    <w:rsid w:val="00D76390"/>
    <w:rsid w:val="00D765FE"/>
    <w:rsid w:val="00D765FF"/>
    <w:rsid w:val="00D77732"/>
    <w:rsid w:val="00D77F8C"/>
    <w:rsid w:val="00D80003"/>
    <w:rsid w:val="00D80067"/>
    <w:rsid w:val="00D80763"/>
    <w:rsid w:val="00D80795"/>
    <w:rsid w:val="00D80DBE"/>
    <w:rsid w:val="00D80EAF"/>
    <w:rsid w:val="00D80FCA"/>
    <w:rsid w:val="00D813D2"/>
    <w:rsid w:val="00D818BE"/>
    <w:rsid w:val="00D81BE6"/>
    <w:rsid w:val="00D81E2F"/>
    <w:rsid w:val="00D82436"/>
    <w:rsid w:val="00D8272B"/>
    <w:rsid w:val="00D82A22"/>
    <w:rsid w:val="00D83354"/>
    <w:rsid w:val="00D83C3F"/>
    <w:rsid w:val="00D83DE9"/>
    <w:rsid w:val="00D8500A"/>
    <w:rsid w:val="00D85221"/>
    <w:rsid w:val="00D854BE"/>
    <w:rsid w:val="00D8577A"/>
    <w:rsid w:val="00D85813"/>
    <w:rsid w:val="00D858BE"/>
    <w:rsid w:val="00D859A0"/>
    <w:rsid w:val="00D859AD"/>
    <w:rsid w:val="00D85A42"/>
    <w:rsid w:val="00D85F40"/>
    <w:rsid w:val="00D8624B"/>
    <w:rsid w:val="00D8629F"/>
    <w:rsid w:val="00D86982"/>
    <w:rsid w:val="00D87266"/>
    <w:rsid w:val="00D8776E"/>
    <w:rsid w:val="00D87A71"/>
    <w:rsid w:val="00D87E00"/>
    <w:rsid w:val="00D87E05"/>
    <w:rsid w:val="00D87ECB"/>
    <w:rsid w:val="00D87F2D"/>
    <w:rsid w:val="00D90450"/>
    <w:rsid w:val="00D906AC"/>
    <w:rsid w:val="00D908DB"/>
    <w:rsid w:val="00D90C48"/>
    <w:rsid w:val="00D90FC9"/>
    <w:rsid w:val="00D91300"/>
    <w:rsid w:val="00D9134D"/>
    <w:rsid w:val="00D915E9"/>
    <w:rsid w:val="00D91859"/>
    <w:rsid w:val="00D91882"/>
    <w:rsid w:val="00D91963"/>
    <w:rsid w:val="00D92167"/>
    <w:rsid w:val="00D923A4"/>
    <w:rsid w:val="00D928F7"/>
    <w:rsid w:val="00D932EB"/>
    <w:rsid w:val="00D934C9"/>
    <w:rsid w:val="00D9394E"/>
    <w:rsid w:val="00D93A6D"/>
    <w:rsid w:val="00D93BD0"/>
    <w:rsid w:val="00D93E39"/>
    <w:rsid w:val="00D94009"/>
    <w:rsid w:val="00D94017"/>
    <w:rsid w:val="00D94098"/>
    <w:rsid w:val="00D9419C"/>
    <w:rsid w:val="00D94301"/>
    <w:rsid w:val="00D9445D"/>
    <w:rsid w:val="00D946BC"/>
    <w:rsid w:val="00D94FF8"/>
    <w:rsid w:val="00D950C9"/>
    <w:rsid w:val="00D9515E"/>
    <w:rsid w:val="00D951A6"/>
    <w:rsid w:val="00D95221"/>
    <w:rsid w:val="00D954AA"/>
    <w:rsid w:val="00D95906"/>
    <w:rsid w:val="00D9595F"/>
    <w:rsid w:val="00D95B57"/>
    <w:rsid w:val="00D95BDC"/>
    <w:rsid w:val="00D95CDA"/>
    <w:rsid w:val="00D95E3F"/>
    <w:rsid w:val="00D9605A"/>
    <w:rsid w:val="00D9634A"/>
    <w:rsid w:val="00D9635E"/>
    <w:rsid w:val="00D96504"/>
    <w:rsid w:val="00D96595"/>
    <w:rsid w:val="00D9664D"/>
    <w:rsid w:val="00D9675E"/>
    <w:rsid w:val="00D96978"/>
    <w:rsid w:val="00D9699B"/>
    <w:rsid w:val="00D96D11"/>
    <w:rsid w:val="00D9710F"/>
    <w:rsid w:val="00D9765A"/>
    <w:rsid w:val="00D97949"/>
    <w:rsid w:val="00D979C2"/>
    <w:rsid w:val="00D97AAB"/>
    <w:rsid w:val="00D97E0B"/>
    <w:rsid w:val="00D97F3B"/>
    <w:rsid w:val="00DA03BD"/>
    <w:rsid w:val="00DA0596"/>
    <w:rsid w:val="00DA072E"/>
    <w:rsid w:val="00DA07DB"/>
    <w:rsid w:val="00DA0E12"/>
    <w:rsid w:val="00DA0F7A"/>
    <w:rsid w:val="00DA0FA0"/>
    <w:rsid w:val="00DA17E0"/>
    <w:rsid w:val="00DA18CB"/>
    <w:rsid w:val="00DA2063"/>
    <w:rsid w:val="00DA25D2"/>
    <w:rsid w:val="00DA2652"/>
    <w:rsid w:val="00DA2B20"/>
    <w:rsid w:val="00DA2CEE"/>
    <w:rsid w:val="00DA2EA5"/>
    <w:rsid w:val="00DA2ED5"/>
    <w:rsid w:val="00DA2F7E"/>
    <w:rsid w:val="00DA315E"/>
    <w:rsid w:val="00DA33E5"/>
    <w:rsid w:val="00DA35BD"/>
    <w:rsid w:val="00DA38C9"/>
    <w:rsid w:val="00DA39D4"/>
    <w:rsid w:val="00DA39F4"/>
    <w:rsid w:val="00DA3BF1"/>
    <w:rsid w:val="00DA3C13"/>
    <w:rsid w:val="00DA41D3"/>
    <w:rsid w:val="00DA42BA"/>
    <w:rsid w:val="00DA457F"/>
    <w:rsid w:val="00DA45BD"/>
    <w:rsid w:val="00DA471C"/>
    <w:rsid w:val="00DA4784"/>
    <w:rsid w:val="00DA4EC6"/>
    <w:rsid w:val="00DA4EDC"/>
    <w:rsid w:val="00DA51E1"/>
    <w:rsid w:val="00DA5615"/>
    <w:rsid w:val="00DA59B6"/>
    <w:rsid w:val="00DA632A"/>
    <w:rsid w:val="00DA6D6A"/>
    <w:rsid w:val="00DA7466"/>
    <w:rsid w:val="00DA76A9"/>
    <w:rsid w:val="00DA76C9"/>
    <w:rsid w:val="00DA77E1"/>
    <w:rsid w:val="00DA793D"/>
    <w:rsid w:val="00DA7954"/>
    <w:rsid w:val="00DA7A03"/>
    <w:rsid w:val="00DA7DDE"/>
    <w:rsid w:val="00DB0678"/>
    <w:rsid w:val="00DB0D6C"/>
    <w:rsid w:val="00DB0DB8"/>
    <w:rsid w:val="00DB1117"/>
    <w:rsid w:val="00DB13E4"/>
    <w:rsid w:val="00DB1818"/>
    <w:rsid w:val="00DB19F5"/>
    <w:rsid w:val="00DB2E7E"/>
    <w:rsid w:val="00DB3173"/>
    <w:rsid w:val="00DB352B"/>
    <w:rsid w:val="00DB36F9"/>
    <w:rsid w:val="00DB3C04"/>
    <w:rsid w:val="00DB3F13"/>
    <w:rsid w:val="00DB4559"/>
    <w:rsid w:val="00DB4B14"/>
    <w:rsid w:val="00DB4BC6"/>
    <w:rsid w:val="00DB4D7F"/>
    <w:rsid w:val="00DB5C4F"/>
    <w:rsid w:val="00DB663B"/>
    <w:rsid w:val="00DB67C8"/>
    <w:rsid w:val="00DB6B64"/>
    <w:rsid w:val="00DB6DE2"/>
    <w:rsid w:val="00DB73A2"/>
    <w:rsid w:val="00DB73D2"/>
    <w:rsid w:val="00DB742C"/>
    <w:rsid w:val="00DB7E32"/>
    <w:rsid w:val="00DC0098"/>
    <w:rsid w:val="00DC01AA"/>
    <w:rsid w:val="00DC0D17"/>
    <w:rsid w:val="00DC1185"/>
    <w:rsid w:val="00DC1A3A"/>
    <w:rsid w:val="00DC1EF8"/>
    <w:rsid w:val="00DC226E"/>
    <w:rsid w:val="00DC2B0E"/>
    <w:rsid w:val="00DC2E06"/>
    <w:rsid w:val="00DC2E07"/>
    <w:rsid w:val="00DC309B"/>
    <w:rsid w:val="00DC3802"/>
    <w:rsid w:val="00DC3A63"/>
    <w:rsid w:val="00DC3F56"/>
    <w:rsid w:val="00DC428C"/>
    <w:rsid w:val="00DC4503"/>
    <w:rsid w:val="00DC4DA2"/>
    <w:rsid w:val="00DC4EEE"/>
    <w:rsid w:val="00DC4F18"/>
    <w:rsid w:val="00DC502F"/>
    <w:rsid w:val="00DC5261"/>
    <w:rsid w:val="00DC566E"/>
    <w:rsid w:val="00DC5A5B"/>
    <w:rsid w:val="00DC5CEF"/>
    <w:rsid w:val="00DC640E"/>
    <w:rsid w:val="00DC6490"/>
    <w:rsid w:val="00DC6614"/>
    <w:rsid w:val="00DC6CEC"/>
    <w:rsid w:val="00DC6DFC"/>
    <w:rsid w:val="00DC751E"/>
    <w:rsid w:val="00DC759B"/>
    <w:rsid w:val="00DC7895"/>
    <w:rsid w:val="00DC7CC2"/>
    <w:rsid w:val="00DD0245"/>
    <w:rsid w:val="00DD0306"/>
    <w:rsid w:val="00DD06CE"/>
    <w:rsid w:val="00DD07B4"/>
    <w:rsid w:val="00DD08B0"/>
    <w:rsid w:val="00DD0A09"/>
    <w:rsid w:val="00DD19E5"/>
    <w:rsid w:val="00DD2078"/>
    <w:rsid w:val="00DD22C4"/>
    <w:rsid w:val="00DD25E1"/>
    <w:rsid w:val="00DD261C"/>
    <w:rsid w:val="00DD287B"/>
    <w:rsid w:val="00DD30EA"/>
    <w:rsid w:val="00DD31D7"/>
    <w:rsid w:val="00DD32F9"/>
    <w:rsid w:val="00DD3513"/>
    <w:rsid w:val="00DD38A9"/>
    <w:rsid w:val="00DD3B0D"/>
    <w:rsid w:val="00DD3CD9"/>
    <w:rsid w:val="00DD3F48"/>
    <w:rsid w:val="00DD4037"/>
    <w:rsid w:val="00DD4309"/>
    <w:rsid w:val="00DD46AF"/>
    <w:rsid w:val="00DD4748"/>
    <w:rsid w:val="00DD477F"/>
    <w:rsid w:val="00DD4A47"/>
    <w:rsid w:val="00DD4ABA"/>
    <w:rsid w:val="00DD4E18"/>
    <w:rsid w:val="00DD4EFD"/>
    <w:rsid w:val="00DD4F2B"/>
    <w:rsid w:val="00DD50A0"/>
    <w:rsid w:val="00DD52AB"/>
    <w:rsid w:val="00DD56FE"/>
    <w:rsid w:val="00DD575B"/>
    <w:rsid w:val="00DD676E"/>
    <w:rsid w:val="00DD682F"/>
    <w:rsid w:val="00DD6842"/>
    <w:rsid w:val="00DD6CD8"/>
    <w:rsid w:val="00DD6D52"/>
    <w:rsid w:val="00DD706B"/>
    <w:rsid w:val="00DD70B3"/>
    <w:rsid w:val="00DD7284"/>
    <w:rsid w:val="00DD7D9F"/>
    <w:rsid w:val="00DE09D0"/>
    <w:rsid w:val="00DE0C14"/>
    <w:rsid w:val="00DE112A"/>
    <w:rsid w:val="00DE11A1"/>
    <w:rsid w:val="00DE174F"/>
    <w:rsid w:val="00DE1C67"/>
    <w:rsid w:val="00DE2432"/>
    <w:rsid w:val="00DE24A8"/>
    <w:rsid w:val="00DE25D2"/>
    <w:rsid w:val="00DE276A"/>
    <w:rsid w:val="00DE287D"/>
    <w:rsid w:val="00DE2CDD"/>
    <w:rsid w:val="00DE2FE4"/>
    <w:rsid w:val="00DE31AA"/>
    <w:rsid w:val="00DE34AD"/>
    <w:rsid w:val="00DE3725"/>
    <w:rsid w:val="00DE38EC"/>
    <w:rsid w:val="00DE3B3E"/>
    <w:rsid w:val="00DE42EC"/>
    <w:rsid w:val="00DE4329"/>
    <w:rsid w:val="00DE4A44"/>
    <w:rsid w:val="00DE5334"/>
    <w:rsid w:val="00DE57F8"/>
    <w:rsid w:val="00DE5C93"/>
    <w:rsid w:val="00DE601D"/>
    <w:rsid w:val="00DE630B"/>
    <w:rsid w:val="00DE6C37"/>
    <w:rsid w:val="00DE6CCB"/>
    <w:rsid w:val="00DE6DA3"/>
    <w:rsid w:val="00DE7750"/>
    <w:rsid w:val="00DE7C1C"/>
    <w:rsid w:val="00DE7EAA"/>
    <w:rsid w:val="00DF00BD"/>
    <w:rsid w:val="00DF047F"/>
    <w:rsid w:val="00DF04B5"/>
    <w:rsid w:val="00DF06DA"/>
    <w:rsid w:val="00DF08B1"/>
    <w:rsid w:val="00DF0B99"/>
    <w:rsid w:val="00DF1BD6"/>
    <w:rsid w:val="00DF202A"/>
    <w:rsid w:val="00DF20CA"/>
    <w:rsid w:val="00DF28E7"/>
    <w:rsid w:val="00DF2B1D"/>
    <w:rsid w:val="00DF2E2F"/>
    <w:rsid w:val="00DF3357"/>
    <w:rsid w:val="00DF3DCD"/>
    <w:rsid w:val="00DF3E61"/>
    <w:rsid w:val="00DF4291"/>
    <w:rsid w:val="00DF4691"/>
    <w:rsid w:val="00DF4890"/>
    <w:rsid w:val="00DF4B9B"/>
    <w:rsid w:val="00DF4C5F"/>
    <w:rsid w:val="00DF53DF"/>
    <w:rsid w:val="00DF578E"/>
    <w:rsid w:val="00DF598E"/>
    <w:rsid w:val="00DF5D3C"/>
    <w:rsid w:val="00DF61A5"/>
    <w:rsid w:val="00DF61CE"/>
    <w:rsid w:val="00DF623F"/>
    <w:rsid w:val="00DF655F"/>
    <w:rsid w:val="00DF7B02"/>
    <w:rsid w:val="00DF7B4A"/>
    <w:rsid w:val="00DF7BC7"/>
    <w:rsid w:val="00DF7C20"/>
    <w:rsid w:val="00E0042A"/>
    <w:rsid w:val="00E0074D"/>
    <w:rsid w:val="00E0080D"/>
    <w:rsid w:val="00E00D79"/>
    <w:rsid w:val="00E00D98"/>
    <w:rsid w:val="00E011CE"/>
    <w:rsid w:val="00E0126C"/>
    <w:rsid w:val="00E01314"/>
    <w:rsid w:val="00E014ED"/>
    <w:rsid w:val="00E015C9"/>
    <w:rsid w:val="00E01740"/>
    <w:rsid w:val="00E01CE6"/>
    <w:rsid w:val="00E02588"/>
    <w:rsid w:val="00E026E5"/>
    <w:rsid w:val="00E02A5C"/>
    <w:rsid w:val="00E02CF5"/>
    <w:rsid w:val="00E02FCE"/>
    <w:rsid w:val="00E03197"/>
    <w:rsid w:val="00E0340A"/>
    <w:rsid w:val="00E034D7"/>
    <w:rsid w:val="00E0352B"/>
    <w:rsid w:val="00E036BF"/>
    <w:rsid w:val="00E038FB"/>
    <w:rsid w:val="00E03B33"/>
    <w:rsid w:val="00E03F7D"/>
    <w:rsid w:val="00E0466B"/>
    <w:rsid w:val="00E0486C"/>
    <w:rsid w:val="00E0497C"/>
    <w:rsid w:val="00E04CAE"/>
    <w:rsid w:val="00E04ED2"/>
    <w:rsid w:val="00E05261"/>
    <w:rsid w:val="00E0535B"/>
    <w:rsid w:val="00E053A7"/>
    <w:rsid w:val="00E05D0A"/>
    <w:rsid w:val="00E05DD9"/>
    <w:rsid w:val="00E05E35"/>
    <w:rsid w:val="00E0606D"/>
    <w:rsid w:val="00E06398"/>
    <w:rsid w:val="00E0663B"/>
    <w:rsid w:val="00E06A3C"/>
    <w:rsid w:val="00E06F9F"/>
    <w:rsid w:val="00E075B7"/>
    <w:rsid w:val="00E075FD"/>
    <w:rsid w:val="00E07C07"/>
    <w:rsid w:val="00E07C6B"/>
    <w:rsid w:val="00E07D66"/>
    <w:rsid w:val="00E10530"/>
    <w:rsid w:val="00E1060F"/>
    <w:rsid w:val="00E10839"/>
    <w:rsid w:val="00E10CB6"/>
    <w:rsid w:val="00E10E2E"/>
    <w:rsid w:val="00E11497"/>
    <w:rsid w:val="00E114BC"/>
    <w:rsid w:val="00E11829"/>
    <w:rsid w:val="00E11858"/>
    <w:rsid w:val="00E11BD9"/>
    <w:rsid w:val="00E11CFF"/>
    <w:rsid w:val="00E1202B"/>
    <w:rsid w:val="00E12314"/>
    <w:rsid w:val="00E12A29"/>
    <w:rsid w:val="00E12C01"/>
    <w:rsid w:val="00E12E69"/>
    <w:rsid w:val="00E13FFD"/>
    <w:rsid w:val="00E1409A"/>
    <w:rsid w:val="00E14846"/>
    <w:rsid w:val="00E14872"/>
    <w:rsid w:val="00E14B91"/>
    <w:rsid w:val="00E14C2B"/>
    <w:rsid w:val="00E14E7E"/>
    <w:rsid w:val="00E15124"/>
    <w:rsid w:val="00E1525C"/>
    <w:rsid w:val="00E1533F"/>
    <w:rsid w:val="00E1544E"/>
    <w:rsid w:val="00E155A6"/>
    <w:rsid w:val="00E155FC"/>
    <w:rsid w:val="00E1594E"/>
    <w:rsid w:val="00E15A52"/>
    <w:rsid w:val="00E15C7A"/>
    <w:rsid w:val="00E15CF6"/>
    <w:rsid w:val="00E15D67"/>
    <w:rsid w:val="00E16111"/>
    <w:rsid w:val="00E16252"/>
    <w:rsid w:val="00E1639A"/>
    <w:rsid w:val="00E164BE"/>
    <w:rsid w:val="00E16A7B"/>
    <w:rsid w:val="00E16AC0"/>
    <w:rsid w:val="00E172CA"/>
    <w:rsid w:val="00E172CD"/>
    <w:rsid w:val="00E17A49"/>
    <w:rsid w:val="00E17B66"/>
    <w:rsid w:val="00E17DFA"/>
    <w:rsid w:val="00E17FDA"/>
    <w:rsid w:val="00E2013E"/>
    <w:rsid w:val="00E20309"/>
    <w:rsid w:val="00E20370"/>
    <w:rsid w:val="00E206BF"/>
    <w:rsid w:val="00E20779"/>
    <w:rsid w:val="00E20CA8"/>
    <w:rsid w:val="00E20F57"/>
    <w:rsid w:val="00E21525"/>
    <w:rsid w:val="00E216FB"/>
    <w:rsid w:val="00E2198B"/>
    <w:rsid w:val="00E219BA"/>
    <w:rsid w:val="00E21BB9"/>
    <w:rsid w:val="00E22062"/>
    <w:rsid w:val="00E22919"/>
    <w:rsid w:val="00E2315F"/>
    <w:rsid w:val="00E2340B"/>
    <w:rsid w:val="00E23517"/>
    <w:rsid w:val="00E2403E"/>
    <w:rsid w:val="00E24640"/>
    <w:rsid w:val="00E24677"/>
    <w:rsid w:val="00E24E79"/>
    <w:rsid w:val="00E25134"/>
    <w:rsid w:val="00E254FE"/>
    <w:rsid w:val="00E25819"/>
    <w:rsid w:val="00E2589E"/>
    <w:rsid w:val="00E258DC"/>
    <w:rsid w:val="00E25BEB"/>
    <w:rsid w:val="00E25C47"/>
    <w:rsid w:val="00E260A9"/>
    <w:rsid w:val="00E26408"/>
    <w:rsid w:val="00E265D9"/>
    <w:rsid w:val="00E27A9E"/>
    <w:rsid w:val="00E27CFF"/>
    <w:rsid w:val="00E30436"/>
    <w:rsid w:val="00E30459"/>
    <w:rsid w:val="00E30525"/>
    <w:rsid w:val="00E30593"/>
    <w:rsid w:val="00E309EF"/>
    <w:rsid w:val="00E30AB4"/>
    <w:rsid w:val="00E30B24"/>
    <w:rsid w:val="00E30D29"/>
    <w:rsid w:val="00E31744"/>
    <w:rsid w:val="00E31840"/>
    <w:rsid w:val="00E31977"/>
    <w:rsid w:val="00E31BDD"/>
    <w:rsid w:val="00E31C4A"/>
    <w:rsid w:val="00E31D75"/>
    <w:rsid w:val="00E31EFB"/>
    <w:rsid w:val="00E31FBD"/>
    <w:rsid w:val="00E3203B"/>
    <w:rsid w:val="00E32C56"/>
    <w:rsid w:val="00E32E5D"/>
    <w:rsid w:val="00E3353A"/>
    <w:rsid w:val="00E33F07"/>
    <w:rsid w:val="00E33F22"/>
    <w:rsid w:val="00E34813"/>
    <w:rsid w:val="00E34F2A"/>
    <w:rsid w:val="00E355C2"/>
    <w:rsid w:val="00E356CE"/>
    <w:rsid w:val="00E3586D"/>
    <w:rsid w:val="00E358F0"/>
    <w:rsid w:val="00E35CB8"/>
    <w:rsid w:val="00E35E22"/>
    <w:rsid w:val="00E36440"/>
    <w:rsid w:val="00E364E2"/>
    <w:rsid w:val="00E36F4B"/>
    <w:rsid w:val="00E37019"/>
    <w:rsid w:val="00E37264"/>
    <w:rsid w:val="00E376B6"/>
    <w:rsid w:val="00E37CF8"/>
    <w:rsid w:val="00E37D64"/>
    <w:rsid w:val="00E37E09"/>
    <w:rsid w:val="00E40525"/>
    <w:rsid w:val="00E4088D"/>
    <w:rsid w:val="00E40ACC"/>
    <w:rsid w:val="00E40CDC"/>
    <w:rsid w:val="00E40CE5"/>
    <w:rsid w:val="00E40E02"/>
    <w:rsid w:val="00E40E2A"/>
    <w:rsid w:val="00E41316"/>
    <w:rsid w:val="00E41367"/>
    <w:rsid w:val="00E41778"/>
    <w:rsid w:val="00E41B7E"/>
    <w:rsid w:val="00E422E6"/>
    <w:rsid w:val="00E422F2"/>
    <w:rsid w:val="00E4287B"/>
    <w:rsid w:val="00E437B1"/>
    <w:rsid w:val="00E43A30"/>
    <w:rsid w:val="00E43B3D"/>
    <w:rsid w:val="00E44450"/>
    <w:rsid w:val="00E44C40"/>
    <w:rsid w:val="00E452FB"/>
    <w:rsid w:val="00E457B3"/>
    <w:rsid w:val="00E45BEB"/>
    <w:rsid w:val="00E45D5C"/>
    <w:rsid w:val="00E45D88"/>
    <w:rsid w:val="00E461CC"/>
    <w:rsid w:val="00E466D2"/>
    <w:rsid w:val="00E468CE"/>
    <w:rsid w:val="00E4696D"/>
    <w:rsid w:val="00E4699D"/>
    <w:rsid w:val="00E46C08"/>
    <w:rsid w:val="00E46EF2"/>
    <w:rsid w:val="00E46F9F"/>
    <w:rsid w:val="00E47129"/>
    <w:rsid w:val="00E471CF"/>
    <w:rsid w:val="00E47442"/>
    <w:rsid w:val="00E4748A"/>
    <w:rsid w:val="00E47797"/>
    <w:rsid w:val="00E47974"/>
    <w:rsid w:val="00E47B0E"/>
    <w:rsid w:val="00E50B5C"/>
    <w:rsid w:val="00E50CF6"/>
    <w:rsid w:val="00E510CF"/>
    <w:rsid w:val="00E5124E"/>
    <w:rsid w:val="00E513D1"/>
    <w:rsid w:val="00E5191E"/>
    <w:rsid w:val="00E51C32"/>
    <w:rsid w:val="00E51D1A"/>
    <w:rsid w:val="00E51ED5"/>
    <w:rsid w:val="00E52323"/>
    <w:rsid w:val="00E5247A"/>
    <w:rsid w:val="00E5258F"/>
    <w:rsid w:val="00E5269C"/>
    <w:rsid w:val="00E527EF"/>
    <w:rsid w:val="00E53286"/>
    <w:rsid w:val="00E535C5"/>
    <w:rsid w:val="00E535C9"/>
    <w:rsid w:val="00E54458"/>
    <w:rsid w:val="00E5454D"/>
    <w:rsid w:val="00E54965"/>
    <w:rsid w:val="00E54FC8"/>
    <w:rsid w:val="00E550D1"/>
    <w:rsid w:val="00E55478"/>
    <w:rsid w:val="00E562D2"/>
    <w:rsid w:val="00E5637D"/>
    <w:rsid w:val="00E5691F"/>
    <w:rsid w:val="00E56E1C"/>
    <w:rsid w:val="00E56E9A"/>
    <w:rsid w:val="00E570E1"/>
    <w:rsid w:val="00E57222"/>
    <w:rsid w:val="00E5727D"/>
    <w:rsid w:val="00E573AE"/>
    <w:rsid w:val="00E57441"/>
    <w:rsid w:val="00E57514"/>
    <w:rsid w:val="00E57694"/>
    <w:rsid w:val="00E577A6"/>
    <w:rsid w:val="00E60343"/>
    <w:rsid w:val="00E605B2"/>
    <w:rsid w:val="00E60E3A"/>
    <w:rsid w:val="00E6103A"/>
    <w:rsid w:val="00E611AE"/>
    <w:rsid w:val="00E61377"/>
    <w:rsid w:val="00E61435"/>
    <w:rsid w:val="00E6177D"/>
    <w:rsid w:val="00E61F5C"/>
    <w:rsid w:val="00E62011"/>
    <w:rsid w:val="00E62042"/>
    <w:rsid w:val="00E627CF"/>
    <w:rsid w:val="00E62835"/>
    <w:rsid w:val="00E62ABB"/>
    <w:rsid w:val="00E62ACF"/>
    <w:rsid w:val="00E62C9B"/>
    <w:rsid w:val="00E62CD3"/>
    <w:rsid w:val="00E63530"/>
    <w:rsid w:val="00E638F2"/>
    <w:rsid w:val="00E640B0"/>
    <w:rsid w:val="00E64195"/>
    <w:rsid w:val="00E64512"/>
    <w:rsid w:val="00E6480E"/>
    <w:rsid w:val="00E64D26"/>
    <w:rsid w:val="00E64D38"/>
    <w:rsid w:val="00E64E27"/>
    <w:rsid w:val="00E65680"/>
    <w:rsid w:val="00E656FE"/>
    <w:rsid w:val="00E659FA"/>
    <w:rsid w:val="00E65C54"/>
    <w:rsid w:val="00E65F75"/>
    <w:rsid w:val="00E66132"/>
    <w:rsid w:val="00E66607"/>
    <w:rsid w:val="00E66AFE"/>
    <w:rsid w:val="00E66C00"/>
    <w:rsid w:val="00E66CA8"/>
    <w:rsid w:val="00E6743E"/>
    <w:rsid w:val="00E67527"/>
    <w:rsid w:val="00E67F3B"/>
    <w:rsid w:val="00E67FE3"/>
    <w:rsid w:val="00E7061A"/>
    <w:rsid w:val="00E70877"/>
    <w:rsid w:val="00E71411"/>
    <w:rsid w:val="00E71DA6"/>
    <w:rsid w:val="00E72044"/>
    <w:rsid w:val="00E7224C"/>
    <w:rsid w:val="00E724CE"/>
    <w:rsid w:val="00E730A1"/>
    <w:rsid w:val="00E7406E"/>
    <w:rsid w:val="00E74186"/>
    <w:rsid w:val="00E743D5"/>
    <w:rsid w:val="00E74542"/>
    <w:rsid w:val="00E748E1"/>
    <w:rsid w:val="00E74958"/>
    <w:rsid w:val="00E74A35"/>
    <w:rsid w:val="00E74A63"/>
    <w:rsid w:val="00E74E08"/>
    <w:rsid w:val="00E75141"/>
    <w:rsid w:val="00E7523D"/>
    <w:rsid w:val="00E752AD"/>
    <w:rsid w:val="00E7564D"/>
    <w:rsid w:val="00E75CD3"/>
    <w:rsid w:val="00E76597"/>
    <w:rsid w:val="00E765CA"/>
    <w:rsid w:val="00E76B3C"/>
    <w:rsid w:val="00E772CC"/>
    <w:rsid w:val="00E77645"/>
    <w:rsid w:val="00E77AAF"/>
    <w:rsid w:val="00E77AF4"/>
    <w:rsid w:val="00E77B10"/>
    <w:rsid w:val="00E77D35"/>
    <w:rsid w:val="00E8099B"/>
    <w:rsid w:val="00E81324"/>
    <w:rsid w:val="00E814C5"/>
    <w:rsid w:val="00E8174B"/>
    <w:rsid w:val="00E81D5F"/>
    <w:rsid w:val="00E81F7E"/>
    <w:rsid w:val="00E81FB2"/>
    <w:rsid w:val="00E82442"/>
    <w:rsid w:val="00E82663"/>
    <w:rsid w:val="00E827E0"/>
    <w:rsid w:val="00E82802"/>
    <w:rsid w:val="00E83697"/>
    <w:rsid w:val="00E836E3"/>
    <w:rsid w:val="00E83950"/>
    <w:rsid w:val="00E83961"/>
    <w:rsid w:val="00E83A94"/>
    <w:rsid w:val="00E83DAE"/>
    <w:rsid w:val="00E83DDF"/>
    <w:rsid w:val="00E841E1"/>
    <w:rsid w:val="00E84223"/>
    <w:rsid w:val="00E84244"/>
    <w:rsid w:val="00E84472"/>
    <w:rsid w:val="00E8454F"/>
    <w:rsid w:val="00E845DA"/>
    <w:rsid w:val="00E84A60"/>
    <w:rsid w:val="00E854E7"/>
    <w:rsid w:val="00E859B6"/>
    <w:rsid w:val="00E85A9D"/>
    <w:rsid w:val="00E85F7C"/>
    <w:rsid w:val="00E868A6"/>
    <w:rsid w:val="00E869B8"/>
    <w:rsid w:val="00E86C25"/>
    <w:rsid w:val="00E870E8"/>
    <w:rsid w:val="00E87284"/>
    <w:rsid w:val="00E87743"/>
    <w:rsid w:val="00E87757"/>
    <w:rsid w:val="00E90040"/>
    <w:rsid w:val="00E9012B"/>
    <w:rsid w:val="00E901F0"/>
    <w:rsid w:val="00E90332"/>
    <w:rsid w:val="00E90D47"/>
    <w:rsid w:val="00E9120A"/>
    <w:rsid w:val="00E91548"/>
    <w:rsid w:val="00E91610"/>
    <w:rsid w:val="00E9188F"/>
    <w:rsid w:val="00E91A08"/>
    <w:rsid w:val="00E91BFE"/>
    <w:rsid w:val="00E9253B"/>
    <w:rsid w:val="00E925FA"/>
    <w:rsid w:val="00E927C8"/>
    <w:rsid w:val="00E9291E"/>
    <w:rsid w:val="00E92A6F"/>
    <w:rsid w:val="00E92AE1"/>
    <w:rsid w:val="00E92CFF"/>
    <w:rsid w:val="00E93000"/>
    <w:rsid w:val="00E93005"/>
    <w:rsid w:val="00E9316D"/>
    <w:rsid w:val="00E9349F"/>
    <w:rsid w:val="00E93517"/>
    <w:rsid w:val="00E93883"/>
    <w:rsid w:val="00E9424D"/>
    <w:rsid w:val="00E9465F"/>
    <w:rsid w:val="00E94B97"/>
    <w:rsid w:val="00E94F2A"/>
    <w:rsid w:val="00E94FF2"/>
    <w:rsid w:val="00E951E4"/>
    <w:rsid w:val="00E9521C"/>
    <w:rsid w:val="00E955DD"/>
    <w:rsid w:val="00E95835"/>
    <w:rsid w:val="00E95BC3"/>
    <w:rsid w:val="00E95BF1"/>
    <w:rsid w:val="00E95D67"/>
    <w:rsid w:val="00E95F64"/>
    <w:rsid w:val="00E9606E"/>
    <w:rsid w:val="00E9629D"/>
    <w:rsid w:val="00E96364"/>
    <w:rsid w:val="00E9650B"/>
    <w:rsid w:val="00E96641"/>
    <w:rsid w:val="00E96665"/>
    <w:rsid w:val="00E969A7"/>
    <w:rsid w:val="00E96F8A"/>
    <w:rsid w:val="00E9705D"/>
    <w:rsid w:val="00E9719C"/>
    <w:rsid w:val="00E975B8"/>
    <w:rsid w:val="00E977A2"/>
    <w:rsid w:val="00E97B29"/>
    <w:rsid w:val="00EA002D"/>
    <w:rsid w:val="00EA0782"/>
    <w:rsid w:val="00EA0AAC"/>
    <w:rsid w:val="00EA0F14"/>
    <w:rsid w:val="00EA1131"/>
    <w:rsid w:val="00EA1137"/>
    <w:rsid w:val="00EA1162"/>
    <w:rsid w:val="00EA1538"/>
    <w:rsid w:val="00EA1580"/>
    <w:rsid w:val="00EA1907"/>
    <w:rsid w:val="00EA2126"/>
    <w:rsid w:val="00EA2129"/>
    <w:rsid w:val="00EA2185"/>
    <w:rsid w:val="00EA25AA"/>
    <w:rsid w:val="00EA27B6"/>
    <w:rsid w:val="00EA2A01"/>
    <w:rsid w:val="00EA2B71"/>
    <w:rsid w:val="00EA2EE6"/>
    <w:rsid w:val="00EA3649"/>
    <w:rsid w:val="00EA3C91"/>
    <w:rsid w:val="00EA3D90"/>
    <w:rsid w:val="00EA3E33"/>
    <w:rsid w:val="00EA4391"/>
    <w:rsid w:val="00EA4781"/>
    <w:rsid w:val="00EA4B7F"/>
    <w:rsid w:val="00EA5297"/>
    <w:rsid w:val="00EA55F4"/>
    <w:rsid w:val="00EA5FED"/>
    <w:rsid w:val="00EA6238"/>
    <w:rsid w:val="00EA62A7"/>
    <w:rsid w:val="00EA6443"/>
    <w:rsid w:val="00EA6614"/>
    <w:rsid w:val="00EA66C9"/>
    <w:rsid w:val="00EA6799"/>
    <w:rsid w:val="00EA75E0"/>
    <w:rsid w:val="00EA77D7"/>
    <w:rsid w:val="00EA79CC"/>
    <w:rsid w:val="00EA7BC7"/>
    <w:rsid w:val="00EB00B4"/>
    <w:rsid w:val="00EB08AC"/>
    <w:rsid w:val="00EB0992"/>
    <w:rsid w:val="00EB0C61"/>
    <w:rsid w:val="00EB0E14"/>
    <w:rsid w:val="00EB0F08"/>
    <w:rsid w:val="00EB10B9"/>
    <w:rsid w:val="00EB1E48"/>
    <w:rsid w:val="00EB2188"/>
    <w:rsid w:val="00EB2270"/>
    <w:rsid w:val="00EB2453"/>
    <w:rsid w:val="00EB256B"/>
    <w:rsid w:val="00EB2828"/>
    <w:rsid w:val="00EB29DD"/>
    <w:rsid w:val="00EB2B61"/>
    <w:rsid w:val="00EB2E7E"/>
    <w:rsid w:val="00EB3202"/>
    <w:rsid w:val="00EB3281"/>
    <w:rsid w:val="00EB3762"/>
    <w:rsid w:val="00EB388F"/>
    <w:rsid w:val="00EB3C03"/>
    <w:rsid w:val="00EB4166"/>
    <w:rsid w:val="00EB446D"/>
    <w:rsid w:val="00EB44DC"/>
    <w:rsid w:val="00EB4D1F"/>
    <w:rsid w:val="00EB552C"/>
    <w:rsid w:val="00EB556C"/>
    <w:rsid w:val="00EB5782"/>
    <w:rsid w:val="00EB582D"/>
    <w:rsid w:val="00EB5C34"/>
    <w:rsid w:val="00EB5CD2"/>
    <w:rsid w:val="00EB5D32"/>
    <w:rsid w:val="00EB5D89"/>
    <w:rsid w:val="00EB67D2"/>
    <w:rsid w:val="00EB67F6"/>
    <w:rsid w:val="00EB6A07"/>
    <w:rsid w:val="00EB6A20"/>
    <w:rsid w:val="00EB6C11"/>
    <w:rsid w:val="00EB6FFB"/>
    <w:rsid w:val="00EB7208"/>
    <w:rsid w:val="00EB7713"/>
    <w:rsid w:val="00EB7764"/>
    <w:rsid w:val="00EB7D3B"/>
    <w:rsid w:val="00EC013F"/>
    <w:rsid w:val="00EC019A"/>
    <w:rsid w:val="00EC03F1"/>
    <w:rsid w:val="00EC05B5"/>
    <w:rsid w:val="00EC0915"/>
    <w:rsid w:val="00EC0944"/>
    <w:rsid w:val="00EC0F48"/>
    <w:rsid w:val="00EC12C2"/>
    <w:rsid w:val="00EC1E9A"/>
    <w:rsid w:val="00EC1E9C"/>
    <w:rsid w:val="00EC22F4"/>
    <w:rsid w:val="00EC26C5"/>
    <w:rsid w:val="00EC293A"/>
    <w:rsid w:val="00EC2F99"/>
    <w:rsid w:val="00EC2FD2"/>
    <w:rsid w:val="00EC3D46"/>
    <w:rsid w:val="00EC48D0"/>
    <w:rsid w:val="00EC4A25"/>
    <w:rsid w:val="00EC4F15"/>
    <w:rsid w:val="00EC4F9F"/>
    <w:rsid w:val="00EC4FDC"/>
    <w:rsid w:val="00EC4FE6"/>
    <w:rsid w:val="00EC5091"/>
    <w:rsid w:val="00EC622D"/>
    <w:rsid w:val="00EC6286"/>
    <w:rsid w:val="00EC6333"/>
    <w:rsid w:val="00EC6442"/>
    <w:rsid w:val="00EC6CD3"/>
    <w:rsid w:val="00EC6FD2"/>
    <w:rsid w:val="00EC76AA"/>
    <w:rsid w:val="00EC77B7"/>
    <w:rsid w:val="00EC77E7"/>
    <w:rsid w:val="00EC7B8A"/>
    <w:rsid w:val="00ED00AB"/>
    <w:rsid w:val="00ED0117"/>
    <w:rsid w:val="00ED0231"/>
    <w:rsid w:val="00ED0253"/>
    <w:rsid w:val="00ED04FC"/>
    <w:rsid w:val="00ED0876"/>
    <w:rsid w:val="00ED0A18"/>
    <w:rsid w:val="00ED0EBF"/>
    <w:rsid w:val="00ED0F52"/>
    <w:rsid w:val="00ED1285"/>
    <w:rsid w:val="00ED1C7C"/>
    <w:rsid w:val="00ED1D1A"/>
    <w:rsid w:val="00ED2FB2"/>
    <w:rsid w:val="00ED412B"/>
    <w:rsid w:val="00ED42A0"/>
    <w:rsid w:val="00ED44CB"/>
    <w:rsid w:val="00ED5060"/>
    <w:rsid w:val="00ED511E"/>
    <w:rsid w:val="00ED5222"/>
    <w:rsid w:val="00ED524E"/>
    <w:rsid w:val="00ED527E"/>
    <w:rsid w:val="00ED52FE"/>
    <w:rsid w:val="00ED5338"/>
    <w:rsid w:val="00ED53A1"/>
    <w:rsid w:val="00ED57FE"/>
    <w:rsid w:val="00ED5A46"/>
    <w:rsid w:val="00ED5C89"/>
    <w:rsid w:val="00ED5EB2"/>
    <w:rsid w:val="00ED5F7E"/>
    <w:rsid w:val="00ED68D0"/>
    <w:rsid w:val="00ED71FE"/>
    <w:rsid w:val="00ED73F5"/>
    <w:rsid w:val="00ED7436"/>
    <w:rsid w:val="00ED7463"/>
    <w:rsid w:val="00ED7A80"/>
    <w:rsid w:val="00EE0097"/>
    <w:rsid w:val="00EE00F2"/>
    <w:rsid w:val="00EE08AC"/>
    <w:rsid w:val="00EE143D"/>
    <w:rsid w:val="00EE1586"/>
    <w:rsid w:val="00EE165B"/>
    <w:rsid w:val="00EE168D"/>
    <w:rsid w:val="00EE184D"/>
    <w:rsid w:val="00EE193E"/>
    <w:rsid w:val="00EE1AF4"/>
    <w:rsid w:val="00EE1ECD"/>
    <w:rsid w:val="00EE2144"/>
    <w:rsid w:val="00EE22A6"/>
    <w:rsid w:val="00EE23E0"/>
    <w:rsid w:val="00EE2410"/>
    <w:rsid w:val="00EE2877"/>
    <w:rsid w:val="00EE28B3"/>
    <w:rsid w:val="00EE28DC"/>
    <w:rsid w:val="00EE2A8B"/>
    <w:rsid w:val="00EE2E73"/>
    <w:rsid w:val="00EE3161"/>
    <w:rsid w:val="00EE317F"/>
    <w:rsid w:val="00EE318B"/>
    <w:rsid w:val="00EE3966"/>
    <w:rsid w:val="00EE3B0B"/>
    <w:rsid w:val="00EE4594"/>
    <w:rsid w:val="00EE5403"/>
    <w:rsid w:val="00EE5CC1"/>
    <w:rsid w:val="00EE6062"/>
    <w:rsid w:val="00EE60BE"/>
    <w:rsid w:val="00EE6175"/>
    <w:rsid w:val="00EE6414"/>
    <w:rsid w:val="00EE6838"/>
    <w:rsid w:val="00EE6ACE"/>
    <w:rsid w:val="00EE6E0D"/>
    <w:rsid w:val="00EE709E"/>
    <w:rsid w:val="00EE74C4"/>
    <w:rsid w:val="00EE783A"/>
    <w:rsid w:val="00EE78F3"/>
    <w:rsid w:val="00EE7FE7"/>
    <w:rsid w:val="00EF00B3"/>
    <w:rsid w:val="00EF03B5"/>
    <w:rsid w:val="00EF03D8"/>
    <w:rsid w:val="00EF091D"/>
    <w:rsid w:val="00EF0F9F"/>
    <w:rsid w:val="00EF106B"/>
    <w:rsid w:val="00EF118B"/>
    <w:rsid w:val="00EF11E9"/>
    <w:rsid w:val="00EF155C"/>
    <w:rsid w:val="00EF15C1"/>
    <w:rsid w:val="00EF192D"/>
    <w:rsid w:val="00EF1DDE"/>
    <w:rsid w:val="00EF2D6D"/>
    <w:rsid w:val="00EF3021"/>
    <w:rsid w:val="00EF3253"/>
    <w:rsid w:val="00EF3992"/>
    <w:rsid w:val="00EF3B98"/>
    <w:rsid w:val="00EF3C80"/>
    <w:rsid w:val="00EF3E78"/>
    <w:rsid w:val="00EF43AA"/>
    <w:rsid w:val="00EF454D"/>
    <w:rsid w:val="00EF4C17"/>
    <w:rsid w:val="00EF4F18"/>
    <w:rsid w:val="00EF540B"/>
    <w:rsid w:val="00EF5578"/>
    <w:rsid w:val="00EF574F"/>
    <w:rsid w:val="00EF5C5A"/>
    <w:rsid w:val="00EF5E3E"/>
    <w:rsid w:val="00EF5ECE"/>
    <w:rsid w:val="00EF612C"/>
    <w:rsid w:val="00EF6149"/>
    <w:rsid w:val="00EF61F1"/>
    <w:rsid w:val="00EF6558"/>
    <w:rsid w:val="00EF67B6"/>
    <w:rsid w:val="00EF6814"/>
    <w:rsid w:val="00EF6C36"/>
    <w:rsid w:val="00EF706E"/>
    <w:rsid w:val="00EF70CC"/>
    <w:rsid w:val="00EF70D6"/>
    <w:rsid w:val="00EF7175"/>
    <w:rsid w:val="00EF7BB1"/>
    <w:rsid w:val="00EF7E86"/>
    <w:rsid w:val="00F00104"/>
    <w:rsid w:val="00F003E7"/>
    <w:rsid w:val="00F006EC"/>
    <w:rsid w:val="00F00C06"/>
    <w:rsid w:val="00F0146B"/>
    <w:rsid w:val="00F01725"/>
    <w:rsid w:val="00F025A2"/>
    <w:rsid w:val="00F026A8"/>
    <w:rsid w:val="00F02805"/>
    <w:rsid w:val="00F036E9"/>
    <w:rsid w:val="00F03B99"/>
    <w:rsid w:val="00F03BFF"/>
    <w:rsid w:val="00F03D20"/>
    <w:rsid w:val="00F03D8D"/>
    <w:rsid w:val="00F03F07"/>
    <w:rsid w:val="00F0403A"/>
    <w:rsid w:val="00F0444A"/>
    <w:rsid w:val="00F04586"/>
    <w:rsid w:val="00F0462E"/>
    <w:rsid w:val="00F04695"/>
    <w:rsid w:val="00F049A2"/>
    <w:rsid w:val="00F04CB5"/>
    <w:rsid w:val="00F04E40"/>
    <w:rsid w:val="00F05168"/>
    <w:rsid w:val="00F0558B"/>
    <w:rsid w:val="00F05870"/>
    <w:rsid w:val="00F05A37"/>
    <w:rsid w:val="00F05B46"/>
    <w:rsid w:val="00F05DEE"/>
    <w:rsid w:val="00F05E77"/>
    <w:rsid w:val="00F063A1"/>
    <w:rsid w:val="00F0648F"/>
    <w:rsid w:val="00F064F7"/>
    <w:rsid w:val="00F065CF"/>
    <w:rsid w:val="00F06683"/>
    <w:rsid w:val="00F06FB8"/>
    <w:rsid w:val="00F07388"/>
    <w:rsid w:val="00F0749F"/>
    <w:rsid w:val="00F07C50"/>
    <w:rsid w:val="00F10278"/>
    <w:rsid w:val="00F10295"/>
    <w:rsid w:val="00F107F3"/>
    <w:rsid w:val="00F10860"/>
    <w:rsid w:val="00F109D3"/>
    <w:rsid w:val="00F109E2"/>
    <w:rsid w:val="00F116A3"/>
    <w:rsid w:val="00F11898"/>
    <w:rsid w:val="00F11BCE"/>
    <w:rsid w:val="00F11C8D"/>
    <w:rsid w:val="00F1243C"/>
    <w:rsid w:val="00F12C06"/>
    <w:rsid w:val="00F12E34"/>
    <w:rsid w:val="00F13264"/>
    <w:rsid w:val="00F1329E"/>
    <w:rsid w:val="00F13347"/>
    <w:rsid w:val="00F134B2"/>
    <w:rsid w:val="00F1358C"/>
    <w:rsid w:val="00F138AF"/>
    <w:rsid w:val="00F13A77"/>
    <w:rsid w:val="00F13AD1"/>
    <w:rsid w:val="00F13E85"/>
    <w:rsid w:val="00F143E1"/>
    <w:rsid w:val="00F14AA2"/>
    <w:rsid w:val="00F14AB7"/>
    <w:rsid w:val="00F14D26"/>
    <w:rsid w:val="00F14E4E"/>
    <w:rsid w:val="00F152EA"/>
    <w:rsid w:val="00F1532C"/>
    <w:rsid w:val="00F157F2"/>
    <w:rsid w:val="00F15830"/>
    <w:rsid w:val="00F1587F"/>
    <w:rsid w:val="00F15B27"/>
    <w:rsid w:val="00F15C30"/>
    <w:rsid w:val="00F16441"/>
    <w:rsid w:val="00F16491"/>
    <w:rsid w:val="00F164BD"/>
    <w:rsid w:val="00F17BA4"/>
    <w:rsid w:val="00F17D12"/>
    <w:rsid w:val="00F17EB4"/>
    <w:rsid w:val="00F20138"/>
    <w:rsid w:val="00F2026E"/>
    <w:rsid w:val="00F2040C"/>
    <w:rsid w:val="00F206BE"/>
    <w:rsid w:val="00F20A0D"/>
    <w:rsid w:val="00F20C8C"/>
    <w:rsid w:val="00F20CBD"/>
    <w:rsid w:val="00F20F74"/>
    <w:rsid w:val="00F20F8F"/>
    <w:rsid w:val="00F21114"/>
    <w:rsid w:val="00F21900"/>
    <w:rsid w:val="00F21C5B"/>
    <w:rsid w:val="00F21FA2"/>
    <w:rsid w:val="00F2210A"/>
    <w:rsid w:val="00F223BB"/>
    <w:rsid w:val="00F22C32"/>
    <w:rsid w:val="00F23405"/>
    <w:rsid w:val="00F238F8"/>
    <w:rsid w:val="00F23A32"/>
    <w:rsid w:val="00F23F02"/>
    <w:rsid w:val="00F23F52"/>
    <w:rsid w:val="00F241C8"/>
    <w:rsid w:val="00F24263"/>
    <w:rsid w:val="00F2436B"/>
    <w:rsid w:val="00F243E4"/>
    <w:rsid w:val="00F245FE"/>
    <w:rsid w:val="00F24AA7"/>
    <w:rsid w:val="00F24BD4"/>
    <w:rsid w:val="00F24CEA"/>
    <w:rsid w:val="00F2518B"/>
    <w:rsid w:val="00F251BB"/>
    <w:rsid w:val="00F253E9"/>
    <w:rsid w:val="00F2545E"/>
    <w:rsid w:val="00F2598A"/>
    <w:rsid w:val="00F25B30"/>
    <w:rsid w:val="00F25C15"/>
    <w:rsid w:val="00F25CB9"/>
    <w:rsid w:val="00F26070"/>
    <w:rsid w:val="00F260DC"/>
    <w:rsid w:val="00F26D2C"/>
    <w:rsid w:val="00F26FB5"/>
    <w:rsid w:val="00F272DD"/>
    <w:rsid w:val="00F27446"/>
    <w:rsid w:val="00F27A74"/>
    <w:rsid w:val="00F27D33"/>
    <w:rsid w:val="00F27FD5"/>
    <w:rsid w:val="00F302EB"/>
    <w:rsid w:val="00F306F7"/>
    <w:rsid w:val="00F3097A"/>
    <w:rsid w:val="00F30999"/>
    <w:rsid w:val="00F30AB3"/>
    <w:rsid w:val="00F30D19"/>
    <w:rsid w:val="00F31372"/>
    <w:rsid w:val="00F313C8"/>
    <w:rsid w:val="00F313D4"/>
    <w:rsid w:val="00F31418"/>
    <w:rsid w:val="00F31451"/>
    <w:rsid w:val="00F315A2"/>
    <w:rsid w:val="00F31851"/>
    <w:rsid w:val="00F31C81"/>
    <w:rsid w:val="00F31D6D"/>
    <w:rsid w:val="00F32011"/>
    <w:rsid w:val="00F32057"/>
    <w:rsid w:val="00F3222E"/>
    <w:rsid w:val="00F32D98"/>
    <w:rsid w:val="00F32F1A"/>
    <w:rsid w:val="00F33094"/>
    <w:rsid w:val="00F330F7"/>
    <w:rsid w:val="00F33414"/>
    <w:rsid w:val="00F3345A"/>
    <w:rsid w:val="00F33868"/>
    <w:rsid w:val="00F33B58"/>
    <w:rsid w:val="00F34276"/>
    <w:rsid w:val="00F34369"/>
    <w:rsid w:val="00F34924"/>
    <w:rsid w:val="00F349E6"/>
    <w:rsid w:val="00F34F17"/>
    <w:rsid w:val="00F35237"/>
    <w:rsid w:val="00F355C1"/>
    <w:rsid w:val="00F359AE"/>
    <w:rsid w:val="00F35B63"/>
    <w:rsid w:val="00F35E51"/>
    <w:rsid w:val="00F3604A"/>
    <w:rsid w:val="00F3638A"/>
    <w:rsid w:val="00F364EB"/>
    <w:rsid w:val="00F36ADA"/>
    <w:rsid w:val="00F36D8B"/>
    <w:rsid w:val="00F37190"/>
    <w:rsid w:val="00F37743"/>
    <w:rsid w:val="00F37888"/>
    <w:rsid w:val="00F3797E"/>
    <w:rsid w:val="00F37D05"/>
    <w:rsid w:val="00F37DF9"/>
    <w:rsid w:val="00F37E9A"/>
    <w:rsid w:val="00F37F10"/>
    <w:rsid w:val="00F408A4"/>
    <w:rsid w:val="00F40C2F"/>
    <w:rsid w:val="00F41595"/>
    <w:rsid w:val="00F4165F"/>
    <w:rsid w:val="00F4196E"/>
    <w:rsid w:val="00F41A7E"/>
    <w:rsid w:val="00F41C80"/>
    <w:rsid w:val="00F42215"/>
    <w:rsid w:val="00F42493"/>
    <w:rsid w:val="00F428D0"/>
    <w:rsid w:val="00F42C8B"/>
    <w:rsid w:val="00F4305C"/>
    <w:rsid w:val="00F4358A"/>
    <w:rsid w:val="00F43BC8"/>
    <w:rsid w:val="00F43E00"/>
    <w:rsid w:val="00F43F43"/>
    <w:rsid w:val="00F44211"/>
    <w:rsid w:val="00F44606"/>
    <w:rsid w:val="00F4519B"/>
    <w:rsid w:val="00F451F1"/>
    <w:rsid w:val="00F45860"/>
    <w:rsid w:val="00F45979"/>
    <w:rsid w:val="00F459B4"/>
    <w:rsid w:val="00F46179"/>
    <w:rsid w:val="00F4623A"/>
    <w:rsid w:val="00F4644F"/>
    <w:rsid w:val="00F46733"/>
    <w:rsid w:val="00F46888"/>
    <w:rsid w:val="00F46BBA"/>
    <w:rsid w:val="00F46C33"/>
    <w:rsid w:val="00F46E89"/>
    <w:rsid w:val="00F470A5"/>
    <w:rsid w:val="00F47B86"/>
    <w:rsid w:val="00F47C05"/>
    <w:rsid w:val="00F50007"/>
    <w:rsid w:val="00F50537"/>
    <w:rsid w:val="00F51067"/>
    <w:rsid w:val="00F511C8"/>
    <w:rsid w:val="00F5143C"/>
    <w:rsid w:val="00F5235C"/>
    <w:rsid w:val="00F5281C"/>
    <w:rsid w:val="00F528DB"/>
    <w:rsid w:val="00F52F06"/>
    <w:rsid w:val="00F5319A"/>
    <w:rsid w:val="00F53543"/>
    <w:rsid w:val="00F5364A"/>
    <w:rsid w:val="00F53A04"/>
    <w:rsid w:val="00F53A44"/>
    <w:rsid w:val="00F53C85"/>
    <w:rsid w:val="00F545A6"/>
    <w:rsid w:val="00F54898"/>
    <w:rsid w:val="00F54A31"/>
    <w:rsid w:val="00F54A3D"/>
    <w:rsid w:val="00F54CB0"/>
    <w:rsid w:val="00F54FE3"/>
    <w:rsid w:val="00F5547C"/>
    <w:rsid w:val="00F5643D"/>
    <w:rsid w:val="00F56B8A"/>
    <w:rsid w:val="00F57026"/>
    <w:rsid w:val="00F57044"/>
    <w:rsid w:val="00F574B8"/>
    <w:rsid w:val="00F57692"/>
    <w:rsid w:val="00F5782C"/>
    <w:rsid w:val="00F57900"/>
    <w:rsid w:val="00F579CD"/>
    <w:rsid w:val="00F60018"/>
    <w:rsid w:val="00F605D5"/>
    <w:rsid w:val="00F60643"/>
    <w:rsid w:val="00F60647"/>
    <w:rsid w:val="00F60A47"/>
    <w:rsid w:val="00F619C9"/>
    <w:rsid w:val="00F61D5D"/>
    <w:rsid w:val="00F62015"/>
    <w:rsid w:val="00F629F4"/>
    <w:rsid w:val="00F62BD8"/>
    <w:rsid w:val="00F634D3"/>
    <w:rsid w:val="00F63519"/>
    <w:rsid w:val="00F64034"/>
    <w:rsid w:val="00F650C2"/>
    <w:rsid w:val="00F653B8"/>
    <w:rsid w:val="00F6568B"/>
    <w:rsid w:val="00F65815"/>
    <w:rsid w:val="00F65C0E"/>
    <w:rsid w:val="00F65C76"/>
    <w:rsid w:val="00F65EFF"/>
    <w:rsid w:val="00F662EB"/>
    <w:rsid w:val="00F666DF"/>
    <w:rsid w:val="00F66733"/>
    <w:rsid w:val="00F66777"/>
    <w:rsid w:val="00F66855"/>
    <w:rsid w:val="00F6697A"/>
    <w:rsid w:val="00F66AA6"/>
    <w:rsid w:val="00F66D63"/>
    <w:rsid w:val="00F67304"/>
    <w:rsid w:val="00F675A7"/>
    <w:rsid w:val="00F67805"/>
    <w:rsid w:val="00F67B71"/>
    <w:rsid w:val="00F70469"/>
    <w:rsid w:val="00F706D2"/>
    <w:rsid w:val="00F707D4"/>
    <w:rsid w:val="00F708EA"/>
    <w:rsid w:val="00F70954"/>
    <w:rsid w:val="00F70A5B"/>
    <w:rsid w:val="00F70A5F"/>
    <w:rsid w:val="00F70BBD"/>
    <w:rsid w:val="00F70E22"/>
    <w:rsid w:val="00F71691"/>
    <w:rsid w:val="00F71AB1"/>
    <w:rsid w:val="00F71B89"/>
    <w:rsid w:val="00F71CFF"/>
    <w:rsid w:val="00F71E6B"/>
    <w:rsid w:val="00F72045"/>
    <w:rsid w:val="00F720D1"/>
    <w:rsid w:val="00F721C8"/>
    <w:rsid w:val="00F72286"/>
    <w:rsid w:val="00F725CC"/>
    <w:rsid w:val="00F72877"/>
    <w:rsid w:val="00F72965"/>
    <w:rsid w:val="00F72A3D"/>
    <w:rsid w:val="00F72C59"/>
    <w:rsid w:val="00F72CF5"/>
    <w:rsid w:val="00F72DD9"/>
    <w:rsid w:val="00F72E4C"/>
    <w:rsid w:val="00F72E8A"/>
    <w:rsid w:val="00F73270"/>
    <w:rsid w:val="00F7353C"/>
    <w:rsid w:val="00F7382C"/>
    <w:rsid w:val="00F73984"/>
    <w:rsid w:val="00F73A79"/>
    <w:rsid w:val="00F73B36"/>
    <w:rsid w:val="00F73EBB"/>
    <w:rsid w:val="00F73EE3"/>
    <w:rsid w:val="00F7413B"/>
    <w:rsid w:val="00F7421E"/>
    <w:rsid w:val="00F749DE"/>
    <w:rsid w:val="00F750F6"/>
    <w:rsid w:val="00F75532"/>
    <w:rsid w:val="00F759A5"/>
    <w:rsid w:val="00F75F0A"/>
    <w:rsid w:val="00F7641D"/>
    <w:rsid w:val="00F764F1"/>
    <w:rsid w:val="00F76574"/>
    <w:rsid w:val="00F7686C"/>
    <w:rsid w:val="00F76D0E"/>
    <w:rsid w:val="00F76F8F"/>
    <w:rsid w:val="00F77513"/>
    <w:rsid w:val="00F779FB"/>
    <w:rsid w:val="00F77A03"/>
    <w:rsid w:val="00F77D29"/>
    <w:rsid w:val="00F77EDA"/>
    <w:rsid w:val="00F802C0"/>
    <w:rsid w:val="00F8077E"/>
    <w:rsid w:val="00F80885"/>
    <w:rsid w:val="00F808E2"/>
    <w:rsid w:val="00F80DCF"/>
    <w:rsid w:val="00F81224"/>
    <w:rsid w:val="00F81388"/>
    <w:rsid w:val="00F8156B"/>
    <w:rsid w:val="00F81951"/>
    <w:rsid w:val="00F81A68"/>
    <w:rsid w:val="00F81A93"/>
    <w:rsid w:val="00F81FE1"/>
    <w:rsid w:val="00F82467"/>
    <w:rsid w:val="00F82BE0"/>
    <w:rsid w:val="00F82CA2"/>
    <w:rsid w:val="00F83C67"/>
    <w:rsid w:val="00F8433C"/>
    <w:rsid w:val="00F8435A"/>
    <w:rsid w:val="00F843A1"/>
    <w:rsid w:val="00F84505"/>
    <w:rsid w:val="00F847F2"/>
    <w:rsid w:val="00F8490D"/>
    <w:rsid w:val="00F8506C"/>
    <w:rsid w:val="00F853D5"/>
    <w:rsid w:val="00F854E8"/>
    <w:rsid w:val="00F855A7"/>
    <w:rsid w:val="00F85646"/>
    <w:rsid w:val="00F858E6"/>
    <w:rsid w:val="00F859A7"/>
    <w:rsid w:val="00F85A88"/>
    <w:rsid w:val="00F85B32"/>
    <w:rsid w:val="00F85F3D"/>
    <w:rsid w:val="00F863C5"/>
    <w:rsid w:val="00F866D7"/>
    <w:rsid w:val="00F8685D"/>
    <w:rsid w:val="00F86E7B"/>
    <w:rsid w:val="00F86F79"/>
    <w:rsid w:val="00F87048"/>
    <w:rsid w:val="00F870ED"/>
    <w:rsid w:val="00F87257"/>
    <w:rsid w:val="00F87609"/>
    <w:rsid w:val="00F8781E"/>
    <w:rsid w:val="00F87A10"/>
    <w:rsid w:val="00F87BC5"/>
    <w:rsid w:val="00F87C60"/>
    <w:rsid w:val="00F87CFE"/>
    <w:rsid w:val="00F90013"/>
    <w:rsid w:val="00F900A1"/>
    <w:rsid w:val="00F90167"/>
    <w:rsid w:val="00F901F5"/>
    <w:rsid w:val="00F9051C"/>
    <w:rsid w:val="00F9070E"/>
    <w:rsid w:val="00F9117B"/>
    <w:rsid w:val="00F91569"/>
    <w:rsid w:val="00F9176A"/>
    <w:rsid w:val="00F91AD7"/>
    <w:rsid w:val="00F91B27"/>
    <w:rsid w:val="00F920E4"/>
    <w:rsid w:val="00F92290"/>
    <w:rsid w:val="00F9254C"/>
    <w:rsid w:val="00F9260A"/>
    <w:rsid w:val="00F9296C"/>
    <w:rsid w:val="00F92B1E"/>
    <w:rsid w:val="00F92B34"/>
    <w:rsid w:val="00F92EB1"/>
    <w:rsid w:val="00F932AD"/>
    <w:rsid w:val="00F932C9"/>
    <w:rsid w:val="00F934FF"/>
    <w:rsid w:val="00F93BB6"/>
    <w:rsid w:val="00F941DF"/>
    <w:rsid w:val="00F943C6"/>
    <w:rsid w:val="00F945B9"/>
    <w:rsid w:val="00F94804"/>
    <w:rsid w:val="00F949C3"/>
    <w:rsid w:val="00F949F4"/>
    <w:rsid w:val="00F94B3B"/>
    <w:rsid w:val="00F94E31"/>
    <w:rsid w:val="00F94FB6"/>
    <w:rsid w:val="00F9535D"/>
    <w:rsid w:val="00F95800"/>
    <w:rsid w:val="00F95C9D"/>
    <w:rsid w:val="00F961BA"/>
    <w:rsid w:val="00F963EB"/>
    <w:rsid w:val="00F969E2"/>
    <w:rsid w:val="00F974EF"/>
    <w:rsid w:val="00F97587"/>
    <w:rsid w:val="00F9794D"/>
    <w:rsid w:val="00F97B88"/>
    <w:rsid w:val="00F97DD1"/>
    <w:rsid w:val="00FA0361"/>
    <w:rsid w:val="00FA05B6"/>
    <w:rsid w:val="00FA0674"/>
    <w:rsid w:val="00FA1075"/>
    <w:rsid w:val="00FA1266"/>
    <w:rsid w:val="00FA14A1"/>
    <w:rsid w:val="00FA1783"/>
    <w:rsid w:val="00FA179E"/>
    <w:rsid w:val="00FA17DD"/>
    <w:rsid w:val="00FA18C6"/>
    <w:rsid w:val="00FA1F6E"/>
    <w:rsid w:val="00FA2275"/>
    <w:rsid w:val="00FA2430"/>
    <w:rsid w:val="00FA2723"/>
    <w:rsid w:val="00FA2848"/>
    <w:rsid w:val="00FA2AFB"/>
    <w:rsid w:val="00FA2B91"/>
    <w:rsid w:val="00FA30B9"/>
    <w:rsid w:val="00FA3179"/>
    <w:rsid w:val="00FA3346"/>
    <w:rsid w:val="00FA36EA"/>
    <w:rsid w:val="00FA37F9"/>
    <w:rsid w:val="00FA3ABB"/>
    <w:rsid w:val="00FA3AC9"/>
    <w:rsid w:val="00FA3B0F"/>
    <w:rsid w:val="00FA3B80"/>
    <w:rsid w:val="00FA3C4E"/>
    <w:rsid w:val="00FA4199"/>
    <w:rsid w:val="00FA45B7"/>
    <w:rsid w:val="00FA4855"/>
    <w:rsid w:val="00FA4856"/>
    <w:rsid w:val="00FA4896"/>
    <w:rsid w:val="00FA49D6"/>
    <w:rsid w:val="00FA49DD"/>
    <w:rsid w:val="00FA56D0"/>
    <w:rsid w:val="00FA599A"/>
    <w:rsid w:val="00FA5EA9"/>
    <w:rsid w:val="00FA5F7F"/>
    <w:rsid w:val="00FA5F97"/>
    <w:rsid w:val="00FA60AC"/>
    <w:rsid w:val="00FA67CA"/>
    <w:rsid w:val="00FA6A56"/>
    <w:rsid w:val="00FA768A"/>
    <w:rsid w:val="00FA7C59"/>
    <w:rsid w:val="00FA7FDC"/>
    <w:rsid w:val="00FB00E8"/>
    <w:rsid w:val="00FB02CA"/>
    <w:rsid w:val="00FB041F"/>
    <w:rsid w:val="00FB0C05"/>
    <w:rsid w:val="00FB100E"/>
    <w:rsid w:val="00FB109C"/>
    <w:rsid w:val="00FB1446"/>
    <w:rsid w:val="00FB1943"/>
    <w:rsid w:val="00FB1A41"/>
    <w:rsid w:val="00FB1C5C"/>
    <w:rsid w:val="00FB1D05"/>
    <w:rsid w:val="00FB1EBE"/>
    <w:rsid w:val="00FB2454"/>
    <w:rsid w:val="00FB2843"/>
    <w:rsid w:val="00FB2A8E"/>
    <w:rsid w:val="00FB2AA6"/>
    <w:rsid w:val="00FB2E8C"/>
    <w:rsid w:val="00FB2F28"/>
    <w:rsid w:val="00FB2FE5"/>
    <w:rsid w:val="00FB3315"/>
    <w:rsid w:val="00FB341B"/>
    <w:rsid w:val="00FB356D"/>
    <w:rsid w:val="00FB36FA"/>
    <w:rsid w:val="00FB3BD6"/>
    <w:rsid w:val="00FB3F92"/>
    <w:rsid w:val="00FB4173"/>
    <w:rsid w:val="00FB43A4"/>
    <w:rsid w:val="00FB43ED"/>
    <w:rsid w:val="00FB443C"/>
    <w:rsid w:val="00FB46AC"/>
    <w:rsid w:val="00FB4742"/>
    <w:rsid w:val="00FB4791"/>
    <w:rsid w:val="00FB48FD"/>
    <w:rsid w:val="00FB4DF9"/>
    <w:rsid w:val="00FB5444"/>
    <w:rsid w:val="00FB57E8"/>
    <w:rsid w:val="00FB583F"/>
    <w:rsid w:val="00FB589F"/>
    <w:rsid w:val="00FB6214"/>
    <w:rsid w:val="00FB6352"/>
    <w:rsid w:val="00FB661B"/>
    <w:rsid w:val="00FB66A1"/>
    <w:rsid w:val="00FB678F"/>
    <w:rsid w:val="00FB67CE"/>
    <w:rsid w:val="00FB68DF"/>
    <w:rsid w:val="00FB745A"/>
    <w:rsid w:val="00FB75DF"/>
    <w:rsid w:val="00FB7876"/>
    <w:rsid w:val="00FB7E85"/>
    <w:rsid w:val="00FC051E"/>
    <w:rsid w:val="00FC07B4"/>
    <w:rsid w:val="00FC0B02"/>
    <w:rsid w:val="00FC1192"/>
    <w:rsid w:val="00FC128B"/>
    <w:rsid w:val="00FC13DC"/>
    <w:rsid w:val="00FC14CD"/>
    <w:rsid w:val="00FC16A7"/>
    <w:rsid w:val="00FC1787"/>
    <w:rsid w:val="00FC1833"/>
    <w:rsid w:val="00FC19C4"/>
    <w:rsid w:val="00FC1BAE"/>
    <w:rsid w:val="00FC1CA7"/>
    <w:rsid w:val="00FC26B4"/>
    <w:rsid w:val="00FC2D64"/>
    <w:rsid w:val="00FC31A8"/>
    <w:rsid w:val="00FC32A6"/>
    <w:rsid w:val="00FC380A"/>
    <w:rsid w:val="00FC3895"/>
    <w:rsid w:val="00FC3915"/>
    <w:rsid w:val="00FC3E3F"/>
    <w:rsid w:val="00FC41CB"/>
    <w:rsid w:val="00FC44AB"/>
    <w:rsid w:val="00FC453D"/>
    <w:rsid w:val="00FC4A9A"/>
    <w:rsid w:val="00FC4BD0"/>
    <w:rsid w:val="00FC4C0C"/>
    <w:rsid w:val="00FC4C4D"/>
    <w:rsid w:val="00FC4CE0"/>
    <w:rsid w:val="00FC4D8B"/>
    <w:rsid w:val="00FC4DD0"/>
    <w:rsid w:val="00FC5655"/>
    <w:rsid w:val="00FC57E2"/>
    <w:rsid w:val="00FC5A41"/>
    <w:rsid w:val="00FC5B79"/>
    <w:rsid w:val="00FC5C36"/>
    <w:rsid w:val="00FC62B4"/>
    <w:rsid w:val="00FC6306"/>
    <w:rsid w:val="00FC636B"/>
    <w:rsid w:val="00FC6452"/>
    <w:rsid w:val="00FC6775"/>
    <w:rsid w:val="00FC6870"/>
    <w:rsid w:val="00FC6C41"/>
    <w:rsid w:val="00FC6F39"/>
    <w:rsid w:val="00FC7586"/>
    <w:rsid w:val="00FC7C23"/>
    <w:rsid w:val="00FC7CB1"/>
    <w:rsid w:val="00FD00C8"/>
    <w:rsid w:val="00FD0181"/>
    <w:rsid w:val="00FD01EA"/>
    <w:rsid w:val="00FD0398"/>
    <w:rsid w:val="00FD09FE"/>
    <w:rsid w:val="00FD0BFD"/>
    <w:rsid w:val="00FD0C02"/>
    <w:rsid w:val="00FD0D9A"/>
    <w:rsid w:val="00FD0F2B"/>
    <w:rsid w:val="00FD1821"/>
    <w:rsid w:val="00FD2005"/>
    <w:rsid w:val="00FD2098"/>
    <w:rsid w:val="00FD2437"/>
    <w:rsid w:val="00FD3A20"/>
    <w:rsid w:val="00FD3AE7"/>
    <w:rsid w:val="00FD3B90"/>
    <w:rsid w:val="00FD3F63"/>
    <w:rsid w:val="00FD416B"/>
    <w:rsid w:val="00FD4257"/>
    <w:rsid w:val="00FD44B1"/>
    <w:rsid w:val="00FD4566"/>
    <w:rsid w:val="00FD483A"/>
    <w:rsid w:val="00FD4BC5"/>
    <w:rsid w:val="00FD4C5C"/>
    <w:rsid w:val="00FD4D88"/>
    <w:rsid w:val="00FD52E8"/>
    <w:rsid w:val="00FD60E1"/>
    <w:rsid w:val="00FD67CD"/>
    <w:rsid w:val="00FD708D"/>
    <w:rsid w:val="00FD70DD"/>
    <w:rsid w:val="00FD75C1"/>
    <w:rsid w:val="00FD7F9F"/>
    <w:rsid w:val="00FE05BF"/>
    <w:rsid w:val="00FE080F"/>
    <w:rsid w:val="00FE0A1D"/>
    <w:rsid w:val="00FE0A80"/>
    <w:rsid w:val="00FE0C9A"/>
    <w:rsid w:val="00FE0F5D"/>
    <w:rsid w:val="00FE106D"/>
    <w:rsid w:val="00FE1251"/>
    <w:rsid w:val="00FE137B"/>
    <w:rsid w:val="00FE13E7"/>
    <w:rsid w:val="00FE1550"/>
    <w:rsid w:val="00FE19CB"/>
    <w:rsid w:val="00FE19D3"/>
    <w:rsid w:val="00FE1DAB"/>
    <w:rsid w:val="00FE2415"/>
    <w:rsid w:val="00FE24D5"/>
    <w:rsid w:val="00FE251B"/>
    <w:rsid w:val="00FE26E2"/>
    <w:rsid w:val="00FE300C"/>
    <w:rsid w:val="00FE3519"/>
    <w:rsid w:val="00FE3762"/>
    <w:rsid w:val="00FE3B27"/>
    <w:rsid w:val="00FE3C3C"/>
    <w:rsid w:val="00FE3F1F"/>
    <w:rsid w:val="00FE3F50"/>
    <w:rsid w:val="00FE4638"/>
    <w:rsid w:val="00FE472A"/>
    <w:rsid w:val="00FE4A00"/>
    <w:rsid w:val="00FE4ABD"/>
    <w:rsid w:val="00FE4B66"/>
    <w:rsid w:val="00FE4D63"/>
    <w:rsid w:val="00FE4E4F"/>
    <w:rsid w:val="00FE515F"/>
    <w:rsid w:val="00FE57E2"/>
    <w:rsid w:val="00FE59A4"/>
    <w:rsid w:val="00FE5A7C"/>
    <w:rsid w:val="00FE5FED"/>
    <w:rsid w:val="00FE610F"/>
    <w:rsid w:val="00FE6241"/>
    <w:rsid w:val="00FE63B5"/>
    <w:rsid w:val="00FE671A"/>
    <w:rsid w:val="00FE6B17"/>
    <w:rsid w:val="00FE6F7E"/>
    <w:rsid w:val="00FE6FD7"/>
    <w:rsid w:val="00FE74D5"/>
    <w:rsid w:val="00FE7555"/>
    <w:rsid w:val="00FE7D59"/>
    <w:rsid w:val="00FE7E4C"/>
    <w:rsid w:val="00FF0A44"/>
    <w:rsid w:val="00FF0F1D"/>
    <w:rsid w:val="00FF0FCB"/>
    <w:rsid w:val="00FF15EA"/>
    <w:rsid w:val="00FF162E"/>
    <w:rsid w:val="00FF1A82"/>
    <w:rsid w:val="00FF21E6"/>
    <w:rsid w:val="00FF2286"/>
    <w:rsid w:val="00FF2B74"/>
    <w:rsid w:val="00FF3348"/>
    <w:rsid w:val="00FF340E"/>
    <w:rsid w:val="00FF377A"/>
    <w:rsid w:val="00FF37F5"/>
    <w:rsid w:val="00FF390D"/>
    <w:rsid w:val="00FF3AB4"/>
    <w:rsid w:val="00FF3B58"/>
    <w:rsid w:val="00FF3D91"/>
    <w:rsid w:val="00FF3DBC"/>
    <w:rsid w:val="00FF40E3"/>
    <w:rsid w:val="00FF456D"/>
    <w:rsid w:val="00FF4596"/>
    <w:rsid w:val="00FF477F"/>
    <w:rsid w:val="00FF549A"/>
    <w:rsid w:val="00FF54C5"/>
    <w:rsid w:val="00FF5767"/>
    <w:rsid w:val="00FF5F33"/>
    <w:rsid w:val="00FF6525"/>
    <w:rsid w:val="00FF69A1"/>
    <w:rsid w:val="00FF6E3B"/>
    <w:rsid w:val="00FF6EB3"/>
    <w:rsid w:val="00FF7382"/>
    <w:rsid w:val="0486FDF2"/>
    <w:rsid w:val="0B4651D9"/>
    <w:rsid w:val="1260938B"/>
    <w:rsid w:val="18F559FB"/>
    <w:rsid w:val="2B56197E"/>
    <w:rsid w:val="2C49952C"/>
    <w:rsid w:val="2D4D6E7C"/>
    <w:rsid w:val="2DE1DD23"/>
    <w:rsid w:val="2FAA7387"/>
    <w:rsid w:val="31679347"/>
    <w:rsid w:val="33550F7D"/>
    <w:rsid w:val="358FE61E"/>
    <w:rsid w:val="378A2519"/>
    <w:rsid w:val="37FC8074"/>
    <w:rsid w:val="398E6E27"/>
    <w:rsid w:val="42DADCF9"/>
    <w:rsid w:val="472E0BAC"/>
    <w:rsid w:val="47688409"/>
    <w:rsid w:val="47B1C731"/>
    <w:rsid w:val="4AA22965"/>
    <w:rsid w:val="4D14E4CB"/>
    <w:rsid w:val="4E01CC06"/>
    <w:rsid w:val="4ECFAE66"/>
    <w:rsid w:val="52932CBD"/>
    <w:rsid w:val="57BC6E95"/>
    <w:rsid w:val="587FA1A2"/>
    <w:rsid w:val="5A2F63CA"/>
    <w:rsid w:val="5B9F174E"/>
    <w:rsid w:val="5C4B4485"/>
    <w:rsid w:val="67FC51BA"/>
    <w:rsid w:val="68D228CD"/>
    <w:rsid w:val="6D2EF0DB"/>
    <w:rsid w:val="6D7FFCAF"/>
    <w:rsid w:val="6FDC4F6C"/>
    <w:rsid w:val="714E8B2D"/>
    <w:rsid w:val="721D4E86"/>
    <w:rsid w:val="7399E88B"/>
    <w:rsid w:val="73EC1BD1"/>
    <w:rsid w:val="745873D6"/>
    <w:rsid w:val="79C59E52"/>
    <w:rsid w:val="7A2B50C9"/>
    <w:rsid w:val="7CD845DF"/>
    <w:rsid w:val="7D105082"/>
    <w:rsid w:val="7D500B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427F980A-DA15-4EA8-8239-66AE02E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rsid w:val="00294CC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3019E5"/>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Bullets,- Bullets,Lista1,?? ??,?????,????,列出段落1,中等深浅网格 1 - 着色 21,목록 단락,リスト段落,列表段落,列出段落,¥¡¡¡¡ì¬º¥¹¥È¶ÎÂä,ÁÐ³ö¶ÎÂä,列表段落1,—ño’i—Ž,¥ê¥¹¥È¶ÎÂä,1st level - Bullet List Paragraph,List Paragraph1,Lettre d'introduction,Paragrafo elenco,P,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925FA"/>
    <w:rPr>
      <w:sz w:val="16"/>
      <w:szCs w:val="16"/>
    </w:rPr>
  </w:style>
  <w:style w:type="table" w:styleId="TableGrid">
    <w:name w:val="Table Grid"/>
    <w:aliases w:val="TableGrid,网格型"/>
    <w:basedOn w:val="TableNormal"/>
    <w:qFormat/>
    <w:rsid w:val="00E92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925FA"/>
    <w:pPr>
      <w:spacing w:before="100" w:beforeAutospacing="1" w:after="100" w:afterAutospacing="1"/>
      <w:ind w:left="720"/>
    </w:pPr>
    <w:rPr>
      <w:sz w:val="24"/>
      <w:szCs w:val="24"/>
      <w:lang w:val="de-DE" w:eastAsia="de-DE"/>
    </w:rPr>
  </w:style>
  <w:style w:type="character" w:customStyle="1" w:styleId="cf11">
    <w:name w:val="cf11"/>
    <w:basedOn w:val="DefaultParagraphFont"/>
    <w:rsid w:val="00E925FA"/>
    <w:rPr>
      <w:rFonts w:ascii="Segoe UI" w:hAnsi="Segoe UI" w:cs="Segoe UI" w:hint="default"/>
      <w:sz w:val="18"/>
      <w:szCs w:val="18"/>
    </w:rPr>
  </w:style>
  <w:style w:type="character" w:customStyle="1" w:styleId="cf01">
    <w:name w:val="cf01"/>
    <w:basedOn w:val="DefaultParagraphFont"/>
    <w:rsid w:val="00E925FA"/>
    <w:rPr>
      <w:rFonts w:ascii="Segoe UI" w:hAnsi="Segoe UI" w:cs="Segoe UI" w:hint="default"/>
      <w:sz w:val="18"/>
      <w:szCs w:val="18"/>
    </w:rPr>
  </w:style>
  <w:style w:type="character" w:customStyle="1" w:styleId="ListParagraphChar">
    <w:name w:val="List Paragraph Char"/>
    <w:aliases w:val="Bullets Char,- Bullets Char,Lista1 Char,?? ?? Char,????? Char,???? Char,列出段落1 Char,中等深浅网格 1 - 着色 21 Char,목록 단락 Char,リスト段落 Char,列表段落 Char,列出段落 Char,¥¡¡¡¡ì¬º¥¹¥È¶ÎÂä Char,ÁÐ³ö¶ÎÂä Char,列表段落1 Char,—ño’i—Ž Char,¥ê¥¹¥È¶ÎÂä Char,P Char"/>
    <w:link w:val="ListParagraph"/>
    <w:uiPriority w:val="34"/>
    <w:qFormat/>
    <w:locked/>
    <w:rsid w:val="00E925FA"/>
    <w:rPr>
      <w:lang w:eastAsia="en-US"/>
    </w:rPr>
  </w:style>
  <w:style w:type="paragraph" w:styleId="Revision">
    <w:name w:val="Revision"/>
    <w:hidden/>
    <w:uiPriority w:val="99"/>
    <w:semiHidden/>
    <w:rsid w:val="006923EA"/>
    <w:rPr>
      <w:lang w:eastAsia="en-US"/>
    </w:rPr>
  </w:style>
  <w:style w:type="paragraph" w:customStyle="1" w:styleId="Doc-text2">
    <w:name w:val="Doc-text2"/>
    <w:basedOn w:val="Normal"/>
    <w:link w:val="Doc-text2Char"/>
    <w:qFormat/>
    <w:rsid w:val="00B905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588"/>
    <w:rPr>
      <w:rFonts w:ascii="Arial" w:eastAsia="MS Mincho" w:hAnsi="Arial"/>
      <w:szCs w:val="24"/>
    </w:rPr>
  </w:style>
  <w:style w:type="character" w:styleId="Mention">
    <w:name w:val="Mention"/>
    <w:basedOn w:val="DefaultParagraphFont"/>
    <w:uiPriority w:val="99"/>
    <w:unhideWhenUsed/>
    <w:rsid w:val="006F7978"/>
    <w:rPr>
      <w:color w:val="2B579A"/>
      <w:shd w:val="clear" w:color="auto" w:fill="E1DFDD"/>
    </w:rPr>
  </w:style>
  <w:style w:type="character" w:customStyle="1" w:styleId="THChar">
    <w:name w:val="TH Char"/>
    <w:link w:val="TH"/>
    <w:qFormat/>
    <w:rsid w:val="00E1544E"/>
    <w:rPr>
      <w:rFonts w:ascii="Arial" w:hAnsi="Arial"/>
      <w:b/>
      <w:lang w:eastAsia="en-US"/>
    </w:rPr>
  </w:style>
  <w:style w:type="character" w:customStyle="1" w:styleId="B10">
    <w:name w:val="B1 (文字)"/>
    <w:link w:val="B1"/>
    <w:qFormat/>
    <w:rsid w:val="00E1544E"/>
    <w:rPr>
      <w:lang w:eastAsia="en-US"/>
    </w:rPr>
  </w:style>
  <w:style w:type="character" w:customStyle="1" w:styleId="B2Char">
    <w:name w:val="B2 Char"/>
    <w:link w:val="B2"/>
    <w:qFormat/>
    <w:rsid w:val="00E1544E"/>
    <w:rPr>
      <w:lang w:eastAsia="en-US"/>
    </w:rPr>
  </w:style>
  <w:style w:type="character" w:customStyle="1" w:styleId="TFChar">
    <w:name w:val="TF Char"/>
    <w:link w:val="TF"/>
    <w:qFormat/>
    <w:rsid w:val="00E1544E"/>
    <w:rPr>
      <w:rFonts w:ascii="Arial" w:hAnsi="Arial"/>
      <w:b/>
      <w:lang w:eastAsia="en-US"/>
    </w:rPr>
  </w:style>
  <w:style w:type="character" w:customStyle="1" w:styleId="normaltextrun">
    <w:name w:val="normaltextrun"/>
    <w:basedOn w:val="DefaultParagraphFont"/>
    <w:rsid w:val="00A11168"/>
  </w:style>
  <w:style w:type="paragraph" w:customStyle="1" w:styleId="Agreement">
    <w:name w:val="Agreement"/>
    <w:basedOn w:val="Normal"/>
    <w:next w:val="Doc-text2"/>
    <w:uiPriority w:val="99"/>
    <w:qFormat/>
    <w:rsid w:val="00A16170"/>
    <w:pPr>
      <w:numPr>
        <w:numId w:val="38"/>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rsid w:val="00917BB5"/>
    <w:rPr>
      <w:color w:val="FF0000"/>
      <w:lang w:eastAsia="en-US"/>
    </w:rPr>
  </w:style>
  <w:style w:type="character" w:customStyle="1" w:styleId="NOZchn">
    <w:name w:val="NO Zchn"/>
    <w:link w:val="NO"/>
    <w:rsid w:val="003019E5"/>
    <w:rPr>
      <w:lang w:eastAsia="en-US"/>
    </w:rPr>
  </w:style>
  <w:style w:type="character" w:customStyle="1" w:styleId="B1Zchn">
    <w:name w:val="B1 Zchn"/>
    <w:qFormat/>
    <w:rsid w:val="003019E5"/>
    <w:rPr>
      <w:rFonts w:eastAsia="Times New Roman"/>
      <w:lang w:eastAsia="zh-CN"/>
    </w:rPr>
  </w:style>
  <w:style w:type="character" w:customStyle="1" w:styleId="Heading2Char">
    <w:name w:val="Heading 2 Char"/>
    <w:basedOn w:val="DefaultParagraphFont"/>
    <w:link w:val="Heading2"/>
    <w:rsid w:val="006F483C"/>
    <w:rPr>
      <w:rFonts w:ascii="Arial" w:hAnsi="Arial"/>
      <w:sz w:val="32"/>
      <w:lang w:eastAsia="en-US"/>
    </w:rPr>
  </w:style>
  <w:style w:type="character" w:customStyle="1" w:styleId="Heading1Char">
    <w:name w:val="Heading 1 Char"/>
    <w:basedOn w:val="DefaultParagraphFont"/>
    <w:link w:val="Heading1"/>
    <w:rsid w:val="00E41778"/>
    <w:rPr>
      <w:rFonts w:ascii="Arial" w:hAnsi="Arial"/>
      <w:sz w:val="36"/>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6A3F83"/>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5504">
      <w:bodyDiv w:val="1"/>
      <w:marLeft w:val="0"/>
      <w:marRight w:val="0"/>
      <w:marTop w:val="0"/>
      <w:marBottom w:val="0"/>
      <w:divBdr>
        <w:top w:val="none" w:sz="0" w:space="0" w:color="auto"/>
        <w:left w:val="none" w:sz="0" w:space="0" w:color="auto"/>
        <w:bottom w:val="none" w:sz="0" w:space="0" w:color="auto"/>
        <w:right w:val="none" w:sz="0" w:space="0" w:color="auto"/>
      </w:divBdr>
    </w:div>
    <w:div w:id="115832210">
      <w:bodyDiv w:val="1"/>
      <w:marLeft w:val="0"/>
      <w:marRight w:val="0"/>
      <w:marTop w:val="0"/>
      <w:marBottom w:val="0"/>
      <w:divBdr>
        <w:top w:val="none" w:sz="0" w:space="0" w:color="auto"/>
        <w:left w:val="none" w:sz="0" w:space="0" w:color="auto"/>
        <w:bottom w:val="none" w:sz="0" w:space="0" w:color="auto"/>
        <w:right w:val="none" w:sz="0" w:space="0" w:color="auto"/>
      </w:divBdr>
    </w:div>
    <w:div w:id="138613278">
      <w:bodyDiv w:val="1"/>
      <w:marLeft w:val="0"/>
      <w:marRight w:val="0"/>
      <w:marTop w:val="0"/>
      <w:marBottom w:val="0"/>
      <w:divBdr>
        <w:top w:val="none" w:sz="0" w:space="0" w:color="auto"/>
        <w:left w:val="none" w:sz="0" w:space="0" w:color="auto"/>
        <w:bottom w:val="none" w:sz="0" w:space="0" w:color="auto"/>
        <w:right w:val="none" w:sz="0" w:space="0" w:color="auto"/>
      </w:divBdr>
    </w:div>
    <w:div w:id="167522548">
      <w:bodyDiv w:val="1"/>
      <w:marLeft w:val="0"/>
      <w:marRight w:val="0"/>
      <w:marTop w:val="0"/>
      <w:marBottom w:val="0"/>
      <w:divBdr>
        <w:top w:val="none" w:sz="0" w:space="0" w:color="auto"/>
        <w:left w:val="none" w:sz="0" w:space="0" w:color="auto"/>
        <w:bottom w:val="none" w:sz="0" w:space="0" w:color="auto"/>
        <w:right w:val="none" w:sz="0" w:space="0" w:color="auto"/>
      </w:divBdr>
      <w:divsChild>
        <w:div w:id="855002928">
          <w:marLeft w:val="547"/>
          <w:marRight w:val="0"/>
          <w:marTop w:val="60"/>
          <w:marBottom w:val="0"/>
          <w:divBdr>
            <w:top w:val="none" w:sz="0" w:space="0" w:color="auto"/>
            <w:left w:val="none" w:sz="0" w:space="0" w:color="auto"/>
            <w:bottom w:val="none" w:sz="0" w:space="0" w:color="auto"/>
            <w:right w:val="none" w:sz="0" w:space="0" w:color="auto"/>
          </w:divBdr>
        </w:div>
        <w:div w:id="948780343">
          <w:marLeft w:val="547"/>
          <w:marRight w:val="0"/>
          <w:marTop w:val="60"/>
          <w:marBottom w:val="0"/>
          <w:divBdr>
            <w:top w:val="none" w:sz="0" w:space="0" w:color="auto"/>
            <w:left w:val="none" w:sz="0" w:space="0" w:color="auto"/>
            <w:bottom w:val="none" w:sz="0" w:space="0" w:color="auto"/>
            <w:right w:val="none" w:sz="0" w:space="0" w:color="auto"/>
          </w:divBdr>
        </w:div>
        <w:div w:id="1692996117">
          <w:marLeft w:val="547"/>
          <w:marRight w:val="0"/>
          <w:marTop w:val="60"/>
          <w:marBottom w:val="0"/>
          <w:divBdr>
            <w:top w:val="none" w:sz="0" w:space="0" w:color="auto"/>
            <w:left w:val="none" w:sz="0" w:space="0" w:color="auto"/>
            <w:bottom w:val="none" w:sz="0" w:space="0" w:color="auto"/>
            <w:right w:val="none" w:sz="0" w:space="0" w:color="auto"/>
          </w:divBdr>
        </w:div>
      </w:divsChild>
    </w:div>
    <w:div w:id="212927586">
      <w:bodyDiv w:val="1"/>
      <w:marLeft w:val="0"/>
      <w:marRight w:val="0"/>
      <w:marTop w:val="0"/>
      <w:marBottom w:val="0"/>
      <w:divBdr>
        <w:top w:val="none" w:sz="0" w:space="0" w:color="auto"/>
        <w:left w:val="none" w:sz="0" w:space="0" w:color="auto"/>
        <w:bottom w:val="none" w:sz="0" w:space="0" w:color="auto"/>
        <w:right w:val="none" w:sz="0" w:space="0" w:color="auto"/>
      </w:divBdr>
    </w:div>
    <w:div w:id="554319852">
      <w:bodyDiv w:val="1"/>
      <w:marLeft w:val="0"/>
      <w:marRight w:val="0"/>
      <w:marTop w:val="0"/>
      <w:marBottom w:val="0"/>
      <w:divBdr>
        <w:top w:val="none" w:sz="0" w:space="0" w:color="auto"/>
        <w:left w:val="none" w:sz="0" w:space="0" w:color="auto"/>
        <w:bottom w:val="none" w:sz="0" w:space="0" w:color="auto"/>
        <w:right w:val="none" w:sz="0" w:space="0" w:color="auto"/>
      </w:divBdr>
      <w:divsChild>
        <w:div w:id="426972799">
          <w:marLeft w:val="1800"/>
          <w:marRight w:val="0"/>
          <w:marTop w:val="0"/>
          <w:marBottom w:val="0"/>
          <w:divBdr>
            <w:top w:val="none" w:sz="0" w:space="0" w:color="auto"/>
            <w:left w:val="none" w:sz="0" w:space="0" w:color="auto"/>
            <w:bottom w:val="none" w:sz="0" w:space="0" w:color="auto"/>
            <w:right w:val="none" w:sz="0" w:space="0" w:color="auto"/>
          </w:divBdr>
        </w:div>
        <w:div w:id="522979976">
          <w:marLeft w:val="547"/>
          <w:marRight w:val="0"/>
          <w:marTop w:val="0"/>
          <w:marBottom w:val="0"/>
          <w:divBdr>
            <w:top w:val="none" w:sz="0" w:space="0" w:color="auto"/>
            <w:left w:val="none" w:sz="0" w:space="0" w:color="auto"/>
            <w:bottom w:val="none" w:sz="0" w:space="0" w:color="auto"/>
            <w:right w:val="none" w:sz="0" w:space="0" w:color="auto"/>
          </w:divBdr>
        </w:div>
        <w:div w:id="880095892">
          <w:marLeft w:val="1166"/>
          <w:marRight w:val="0"/>
          <w:marTop w:val="0"/>
          <w:marBottom w:val="0"/>
          <w:divBdr>
            <w:top w:val="none" w:sz="0" w:space="0" w:color="auto"/>
            <w:left w:val="none" w:sz="0" w:space="0" w:color="auto"/>
            <w:bottom w:val="none" w:sz="0" w:space="0" w:color="auto"/>
            <w:right w:val="none" w:sz="0" w:space="0" w:color="auto"/>
          </w:divBdr>
        </w:div>
        <w:div w:id="904417138">
          <w:marLeft w:val="1800"/>
          <w:marRight w:val="0"/>
          <w:marTop w:val="0"/>
          <w:marBottom w:val="0"/>
          <w:divBdr>
            <w:top w:val="none" w:sz="0" w:space="0" w:color="auto"/>
            <w:left w:val="none" w:sz="0" w:space="0" w:color="auto"/>
            <w:bottom w:val="none" w:sz="0" w:space="0" w:color="auto"/>
            <w:right w:val="none" w:sz="0" w:space="0" w:color="auto"/>
          </w:divBdr>
        </w:div>
        <w:div w:id="918172532">
          <w:marLeft w:val="3240"/>
          <w:marRight w:val="0"/>
          <w:marTop w:val="0"/>
          <w:marBottom w:val="0"/>
          <w:divBdr>
            <w:top w:val="none" w:sz="0" w:space="0" w:color="auto"/>
            <w:left w:val="none" w:sz="0" w:space="0" w:color="auto"/>
            <w:bottom w:val="none" w:sz="0" w:space="0" w:color="auto"/>
            <w:right w:val="none" w:sz="0" w:space="0" w:color="auto"/>
          </w:divBdr>
        </w:div>
        <w:div w:id="961421002">
          <w:marLeft w:val="1800"/>
          <w:marRight w:val="0"/>
          <w:marTop w:val="0"/>
          <w:marBottom w:val="0"/>
          <w:divBdr>
            <w:top w:val="none" w:sz="0" w:space="0" w:color="auto"/>
            <w:left w:val="none" w:sz="0" w:space="0" w:color="auto"/>
            <w:bottom w:val="none" w:sz="0" w:space="0" w:color="auto"/>
            <w:right w:val="none" w:sz="0" w:space="0" w:color="auto"/>
          </w:divBdr>
        </w:div>
        <w:div w:id="1085299046">
          <w:marLeft w:val="1166"/>
          <w:marRight w:val="0"/>
          <w:marTop w:val="0"/>
          <w:marBottom w:val="0"/>
          <w:divBdr>
            <w:top w:val="none" w:sz="0" w:space="0" w:color="auto"/>
            <w:left w:val="none" w:sz="0" w:space="0" w:color="auto"/>
            <w:bottom w:val="none" w:sz="0" w:space="0" w:color="auto"/>
            <w:right w:val="none" w:sz="0" w:space="0" w:color="auto"/>
          </w:divBdr>
        </w:div>
        <w:div w:id="1086076397">
          <w:marLeft w:val="2520"/>
          <w:marRight w:val="0"/>
          <w:marTop w:val="0"/>
          <w:marBottom w:val="0"/>
          <w:divBdr>
            <w:top w:val="none" w:sz="0" w:space="0" w:color="auto"/>
            <w:left w:val="none" w:sz="0" w:space="0" w:color="auto"/>
            <w:bottom w:val="none" w:sz="0" w:space="0" w:color="auto"/>
            <w:right w:val="none" w:sz="0" w:space="0" w:color="auto"/>
          </w:divBdr>
        </w:div>
        <w:div w:id="1092818584">
          <w:marLeft w:val="2520"/>
          <w:marRight w:val="0"/>
          <w:marTop w:val="0"/>
          <w:marBottom w:val="0"/>
          <w:divBdr>
            <w:top w:val="none" w:sz="0" w:space="0" w:color="auto"/>
            <w:left w:val="none" w:sz="0" w:space="0" w:color="auto"/>
            <w:bottom w:val="none" w:sz="0" w:space="0" w:color="auto"/>
            <w:right w:val="none" w:sz="0" w:space="0" w:color="auto"/>
          </w:divBdr>
        </w:div>
        <w:div w:id="1159351200">
          <w:marLeft w:val="1800"/>
          <w:marRight w:val="0"/>
          <w:marTop w:val="0"/>
          <w:marBottom w:val="0"/>
          <w:divBdr>
            <w:top w:val="none" w:sz="0" w:space="0" w:color="auto"/>
            <w:left w:val="none" w:sz="0" w:space="0" w:color="auto"/>
            <w:bottom w:val="none" w:sz="0" w:space="0" w:color="auto"/>
            <w:right w:val="none" w:sz="0" w:space="0" w:color="auto"/>
          </w:divBdr>
        </w:div>
        <w:div w:id="1237400971">
          <w:marLeft w:val="547"/>
          <w:marRight w:val="0"/>
          <w:marTop w:val="0"/>
          <w:marBottom w:val="0"/>
          <w:divBdr>
            <w:top w:val="none" w:sz="0" w:space="0" w:color="auto"/>
            <w:left w:val="none" w:sz="0" w:space="0" w:color="auto"/>
            <w:bottom w:val="none" w:sz="0" w:space="0" w:color="auto"/>
            <w:right w:val="none" w:sz="0" w:space="0" w:color="auto"/>
          </w:divBdr>
        </w:div>
        <w:div w:id="1413620367">
          <w:marLeft w:val="2520"/>
          <w:marRight w:val="0"/>
          <w:marTop w:val="0"/>
          <w:marBottom w:val="0"/>
          <w:divBdr>
            <w:top w:val="none" w:sz="0" w:space="0" w:color="auto"/>
            <w:left w:val="none" w:sz="0" w:space="0" w:color="auto"/>
            <w:bottom w:val="none" w:sz="0" w:space="0" w:color="auto"/>
            <w:right w:val="none" w:sz="0" w:space="0" w:color="auto"/>
          </w:divBdr>
        </w:div>
        <w:div w:id="1473214719">
          <w:marLeft w:val="1166"/>
          <w:marRight w:val="0"/>
          <w:marTop w:val="0"/>
          <w:marBottom w:val="0"/>
          <w:divBdr>
            <w:top w:val="none" w:sz="0" w:space="0" w:color="auto"/>
            <w:left w:val="none" w:sz="0" w:space="0" w:color="auto"/>
            <w:bottom w:val="none" w:sz="0" w:space="0" w:color="auto"/>
            <w:right w:val="none" w:sz="0" w:space="0" w:color="auto"/>
          </w:divBdr>
        </w:div>
        <w:div w:id="1554922698">
          <w:marLeft w:val="1800"/>
          <w:marRight w:val="0"/>
          <w:marTop w:val="0"/>
          <w:marBottom w:val="0"/>
          <w:divBdr>
            <w:top w:val="none" w:sz="0" w:space="0" w:color="auto"/>
            <w:left w:val="none" w:sz="0" w:space="0" w:color="auto"/>
            <w:bottom w:val="none" w:sz="0" w:space="0" w:color="auto"/>
            <w:right w:val="none" w:sz="0" w:space="0" w:color="auto"/>
          </w:divBdr>
        </w:div>
        <w:div w:id="1830511424">
          <w:marLeft w:val="547"/>
          <w:marRight w:val="0"/>
          <w:marTop w:val="0"/>
          <w:marBottom w:val="0"/>
          <w:divBdr>
            <w:top w:val="none" w:sz="0" w:space="0" w:color="auto"/>
            <w:left w:val="none" w:sz="0" w:space="0" w:color="auto"/>
            <w:bottom w:val="none" w:sz="0" w:space="0" w:color="auto"/>
            <w:right w:val="none" w:sz="0" w:space="0" w:color="auto"/>
          </w:divBdr>
        </w:div>
        <w:div w:id="1869103624">
          <w:marLeft w:val="2520"/>
          <w:marRight w:val="0"/>
          <w:marTop w:val="0"/>
          <w:marBottom w:val="0"/>
          <w:divBdr>
            <w:top w:val="none" w:sz="0" w:space="0" w:color="auto"/>
            <w:left w:val="none" w:sz="0" w:space="0" w:color="auto"/>
            <w:bottom w:val="none" w:sz="0" w:space="0" w:color="auto"/>
            <w:right w:val="none" w:sz="0" w:space="0" w:color="auto"/>
          </w:divBdr>
        </w:div>
        <w:div w:id="2019307039">
          <w:marLeft w:val="1166"/>
          <w:marRight w:val="0"/>
          <w:marTop w:val="0"/>
          <w:marBottom w:val="0"/>
          <w:divBdr>
            <w:top w:val="none" w:sz="0" w:space="0" w:color="auto"/>
            <w:left w:val="none" w:sz="0" w:space="0" w:color="auto"/>
            <w:bottom w:val="none" w:sz="0" w:space="0" w:color="auto"/>
            <w:right w:val="none" w:sz="0" w:space="0" w:color="auto"/>
          </w:divBdr>
        </w:div>
        <w:div w:id="2078476324">
          <w:marLeft w:val="3240"/>
          <w:marRight w:val="0"/>
          <w:marTop w:val="0"/>
          <w:marBottom w:val="0"/>
          <w:divBdr>
            <w:top w:val="none" w:sz="0" w:space="0" w:color="auto"/>
            <w:left w:val="none" w:sz="0" w:space="0" w:color="auto"/>
            <w:bottom w:val="none" w:sz="0" w:space="0" w:color="auto"/>
            <w:right w:val="none" w:sz="0" w:space="0" w:color="auto"/>
          </w:divBdr>
        </w:div>
      </w:divsChild>
    </w:div>
    <w:div w:id="597174634">
      <w:bodyDiv w:val="1"/>
      <w:marLeft w:val="0"/>
      <w:marRight w:val="0"/>
      <w:marTop w:val="0"/>
      <w:marBottom w:val="0"/>
      <w:divBdr>
        <w:top w:val="none" w:sz="0" w:space="0" w:color="auto"/>
        <w:left w:val="none" w:sz="0" w:space="0" w:color="auto"/>
        <w:bottom w:val="none" w:sz="0" w:space="0" w:color="auto"/>
        <w:right w:val="none" w:sz="0" w:space="0" w:color="auto"/>
      </w:divBdr>
      <w:divsChild>
        <w:div w:id="33623495">
          <w:marLeft w:val="0"/>
          <w:marRight w:val="0"/>
          <w:marTop w:val="0"/>
          <w:marBottom w:val="0"/>
          <w:divBdr>
            <w:top w:val="none" w:sz="0" w:space="0" w:color="auto"/>
            <w:left w:val="none" w:sz="0" w:space="0" w:color="auto"/>
            <w:bottom w:val="none" w:sz="0" w:space="0" w:color="auto"/>
            <w:right w:val="none" w:sz="0" w:space="0" w:color="auto"/>
          </w:divBdr>
        </w:div>
        <w:div w:id="258489205">
          <w:marLeft w:val="0"/>
          <w:marRight w:val="0"/>
          <w:marTop w:val="0"/>
          <w:marBottom w:val="0"/>
          <w:divBdr>
            <w:top w:val="none" w:sz="0" w:space="0" w:color="auto"/>
            <w:left w:val="none" w:sz="0" w:space="0" w:color="auto"/>
            <w:bottom w:val="none" w:sz="0" w:space="0" w:color="auto"/>
            <w:right w:val="none" w:sz="0" w:space="0" w:color="auto"/>
          </w:divBdr>
        </w:div>
        <w:div w:id="946616491">
          <w:marLeft w:val="0"/>
          <w:marRight w:val="0"/>
          <w:marTop w:val="0"/>
          <w:marBottom w:val="0"/>
          <w:divBdr>
            <w:top w:val="none" w:sz="0" w:space="0" w:color="auto"/>
            <w:left w:val="none" w:sz="0" w:space="0" w:color="auto"/>
            <w:bottom w:val="none" w:sz="0" w:space="0" w:color="auto"/>
            <w:right w:val="none" w:sz="0" w:space="0" w:color="auto"/>
          </w:divBdr>
        </w:div>
        <w:div w:id="1250584251">
          <w:marLeft w:val="0"/>
          <w:marRight w:val="0"/>
          <w:marTop w:val="0"/>
          <w:marBottom w:val="0"/>
          <w:divBdr>
            <w:top w:val="none" w:sz="0" w:space="0" w:color="auto"/>
            <w:left w:val="none" w:sz="0" w:space="0" w:color="auto"/>
            <w:bottom w:val="none" w:sz="0" w:space="0" w:color="auto"/>
            <w:right w:val="none" w:sz="0" w:space="0" w:color="auto"/>
          </w:divBdr>
        </w:div>
        <w:div w:id="1966960305">
          <w:marLeft w:val="0"/>
          <w:marRight w:val="0"/>
          <w:marTop w:val="0"/>
          <w:marBottom w:val="0"/>
          <w:divBdr>
            <w:top w:val="none" w:sz="0" w:space="0" w:color="auto"/>
            <w:left w:val="none" w:sz="0" w:space="0" w:color="auto"/>
            <w:bottom w:val="none" w:sz="0" w:space="0" w:color="auto"/>
            <w:right w:val="none" w:sz="0" w:space="0" w:color="auto"/>
          </w:divBdr>
        </w:div>
        <w:div w:id="2043092364">
          <w:marLeft w:val="0"/>
          <w:marRight w:val="0"/>
          <w:marTop w:val="0"/>
          <w:marBottom w:val="0"/>
          <w:divBdr>
            <w:top w:val="none" w:sz="0" w:space="0" w:color="auto"/>
            <w:left w:val="none" w:sz="0" w:space="0" w:color="auto"/>
            <w:bottom w:val="none" w:sz="0" w:space="0" w:color="auto"/>
            <w:right w:val="none" w:sz="0" w:space="0" w:color="auto"/>
          </w:divBdr>
        </w:div>
      </w:divsChild>
    </w:div>
    <w:div w:id="664825782">
      <w:bodyDiv w:val="1"/>
      <w:marLeft w:val="0"/>
      <w:marRight w:val="0"/>
      <w:marTop w:val="0"/>
      <w:marBottom w:val="0"/>
      <w:divBdr>
        <w:top w:val="none" w:sz="0" w:space="0" w:color="auto"/>
        <w:left w:val="none" w:sz="0" w:space="0" w:color="auto"/>
        <w:bottom w:val="none" w:sz="0" w:space="0" w:color="auto"/>
        <w:right w:val="none" w:sz="0" w:space="0" w:color="auto"/>
      </w:divBdr>
      <w:divsChild>
        <w:div w:id="1177041128">
          <w:marLeft w:val="547"/>
          <w:marRight w:val="0"/>
          <w:marTop w:val="60"/>
          <w:marBottom w:val="0"/>
          <w:divBdr>
            <w:top w:val="none" w:sz="0" w:space="0" w:color="auto"/>
            <w:left w:val="none" w:sz="0" w:space="0" w:color="auto"/>
            <w:bottom w:val="none" w:sz="0" w:space="0" w:color="auto"/>
            <w:right w:val="none" w:sz="0" w:space="0" w:color="auto"/>
          </w:divBdr>
        </w:div>
        <w:div w:id="1274939371">
          <w:marLeft w:val="547"/>
          <w:marRight w:val="0"/>
          <w:marTop w:val="60"/>
          <w:marBottom w:val="0"/>
          <w:divBdr>
            <w:top w:val="none" w:sz="0" w:space="0" w:color="auto"/>
            <w:left w:val="none" w:sz="0" w:space="0" w:color="auto"/>
            <w:bottom w:val="none" w:sz="0" w:space="0" w:color="auto"/>
            <w:right w:val="none" w:sz="0" w:space="0" w:color="auto"/>
          </w:divBdr>
        </w:div>
      </w:divsChild>
    </w:div>
    <w:div w:id="704210071">
      <w:bodyDiv w:val="1"/>
      <w:marLeft w:val="0"/>
      <w:marRight w:val="0"/>
      <w:marTop w:val="0"/>
      <w:marBottom w:val="0"/>
      <w:divBdr>
        <w:top w:val="none" w:sz="0" w:space="0" w:color="auto"/>
        <w:left w:val="none" w:sz="0" w:space="0" w:color="auto"/>
        <w:bottom w:val="none" w:sz="0" w:space="0" w:color="auto"/>
        <w:right w:val="none" w:sz="0" w:space="0" w:color="auto"/>
      </w:divBdr>
    </w:div>
    <w:div w:id="729307715">
      <w:bodyDiv w:val="1"/>
      <w:marLeft w:val="0"/>
      <w:marRight w:val="0"/>
      <w:marTop w:val="0"/>
      <w:marBottom w:val="0"/>
      <w:divBdr>
        <w:top w:val="none" w:sz="0" w:space="0" w:color="auto"/>
        <w:left w:val="none" w:sz="0" w:space="0" w:color="auto"/>
        <w:bottom w:val="none" w:sz="0" w:space="0" w:color="auto"/>
        <w:right w:val="none" w:sz="0" w:space="0" w:color="auto"/>
      </w:divBdr>
      <w:divsChild>
        <w:div w:id="66611931">
          <w:marLeft w:val="1800"/>
          <w:marRight w:val="0"/>
          <w:marTop w:val="0"/>
          <w:marBottom w:val="0"/>
          <w:divBdr>
            <w:top w:val="none" w:sz="0" w:space="0" w:color="auto"/>
            <w:left w:val="none" w:sz="0" w:space="0" w:color="auto"/>
            <w:bottom w:val="none" w:sz="0" w:space="0" w:color="auto"/>
            <w:right w:val="none" w:sz="0" w:space="0" w:color="auto"/>
          </w:divBdr>
        </w:div>
        <w:div w:id="150876947">
          <w:marLeft w:val="547"/>
          <w:marRight w:val="0"/>
          <w:marTop w:val="0"/>
          <w:marBottom w:val="0"/>
          <w:divBdr>
            <w:top w:val="none" w:sz="0" w:space="0" w:color="auto"/>
            <w:left w:val="none" w:sz="0" w:space="0" w:color="auto"/>
            <w:bottom w:val="none" w:sz="0" w:space="0" w:color="auto"/>
            <w:right w:val="none" w:sz="0" w:space="0" w:color="auto"/>
          </w:divBdr>
        </w:div>
        <w:div w:id="205527103">
          <w:marLeft w:val="547"/>
          <w:marRight w:val="0"/>
          <w:marTop w:val="0"/>
          <w:marBottom w:val="0"/>
          <w:divBdr>
            <w:top w:val="none" w:sz="0" w:space="0" w:color="auto"/>
            <w:left w:val="none" w:sz="0" w:space="0" w:color="auto"/>
            <w:bottom w:val="none" w:sz="0" w:space="0" w:color="auto"/>
            <w:right w:val="none" w:sz="0" w:space="0" w:color="auto"/>
          </w:divBdr>
        </w:div>
        <w:div w:id="477722735">
          <w:marLeft w:val="547"/>
          <w:marRight w:val="0"/>
          <w:marTop w:val="0"/>
          <w:marBottom w:val="0"/>
          <w:divBdr>
            <w:top w:val="none" w:sz="0" w:space="0" w:color="auto"/>
            <w:left w:val="none" w:sz="0" w:space="0" w:color="auto"/>
            <w:bottom w:val="none" w:sz="0" w:space="0" w:color="auto"/>
            <w:right w:val="none" w:sz="0" w:space="0" w:color="auto"/>
          </w:divBdr>
        </w:div>
        <w:div w:id="1004209640">
          <w:marLeft w:val="547"/>
          <w:marRight w:val="0"/>
          <w:marTop w:val="0"/>
          <w:marBottom w:val="0"/>
          <w:divBdr>
            <w:top w:val="none" w:sz="0" w:space="0" w:color="auto"/>
            <w:left w:val="none" w:sz="0" w:space="0" w:color="auto"/>
            <w:bottom w:val="none" w:sz="0" w:space="0" w:color="auto"/>
            <w:right w:val="none" w:sz="0" w:space="0" w:color="auto"/>
          </w:divBdr>
        </w:div>
        <w:div w:id="1240019460">
          <w:marLeft w:val="1800"/>
          <w:marRight w:val="0"/>
          <w:marTop w:val="0"/>
          <w:marBottom w:val="0"/>
          <w:divBdr>
            <w:top w:val="none" w:sz="0" w:space="0" w:color="auto"/>
            <w:left w:val="none" w:sz="0" w:space="0" w:color="auto"/>
            <w:bottom w:val="none" w:sz="0" w:space="0" w:color="auto"/>
            <w:right w:val="none" w:sz="0" w:space="0" w:color="auto"/>
          </w:divBdr>
        </w:div>
        <w:div w:id="2059477667">
          <w:marLeft w:val="547"/>
          <w:marRight w:val="0"/>
          <w:marTop w:val="0"/>
          <w:marBottom w:val="0"/>
          <w:divBdr>
            <w:top w:val="none" w:sz="0" w:space="0" w:color="auto"/>
            <w:left w:val="none" w:sz="0" w:space="0" w:color="auto"/>
            <w:bottom w:val="none" w:sz="0" w:space="0" w:color="auto"/>
            <w:right w:val="none" w:sz="0" w:space="0" w:color="auto"/>
          </w:divBdr>
        </w:div>
      </w:divsChild>
    </w:div>
    <w:div w:id="845636152">
      <w:bodyDiv w:val="1"/>
      <w:marLeft w:val="0"/>
      <w:marRight w:val="0"/>
      <w:marTop w:val="0"/>
      <w:marBottom w:val="0"/>
      <w:divBdr>
        <w:top w:val="none" w:sz="0" w:space="0" w:color="auto"/>
        <w:left w:val="none" w:sz="0" w:space="0" w:color="auto"/>
        <w:bottom w:val="none" w:sz="0" w:space="0" w:color="auto"/>
        <w:right w:val="none" w:sz="0" w:space="0" w:color="auto"/>
      </w:divBdr>
    </w:div>
    <w:div w:id="850530585">
      <w:bodyDiv w:val="1"/>
      <w:marLeft w:val="0"/>
      <w:marRight w:val="0"/>
      <w:marTop w:val="0"/>
      <w:marBottom w:val="0"/>
      <w:divBdr>
        <w:top w:val="none" w:sz="0" w:space="0" w:color="auto"/>
        <w:left w:val="none" w:sz="0" w:space="0" w:color="auto"/>
        <w:bottom w:val="none" w:sz="0" w:space="0" w:color="auto"/>
        <w:right w:val="none" w:sz="0" w:space="0" w:color="auto"/>
      </w:divBdr>
      <w:divsChild>
        <w:div w:id="95177608">
          <w:marLeft w:val="1166"/>
          <w:marRight w:val="0"/>
          <w:marTop w:val="0"/>
          <w:marBottom w:val="0"/>
          <w:divBdr>
            <w:top w:val="none" w:sz="0" w:space="0" w:color="auto"/>
            <w:left w:val="none" w:sz="0" w:space="0" w:color="auto"/>
            <w:bottom w:val="none" w:sz="0" w:space="0" w:color="auto"/>
            <w:right w:val="none" w:sz="0" w:space="0" w:color="auto"/>
          </w:divBdr>
        </w:div>
        <w:div w:id="103574309">
          <w:marLeft w:val="1166"/>
          <w:marRight w:val="0"/>
          <w:marTop w:val="0"/>
          <w:marBottom w:val="0"/>
          <w:divBdr>
            <w:top w:val="none" w:sz="0" w:space="0" w:color="auto"/>
            <w:left w:val="none" w:sz="0" w:space="0" w:color="auto"/>
            <w:bottom w:val="none" w:sz="0" w:space="0" w:color="auto"/>
            <w:right w:val="none" w:sz="0" w:space="0" w:color="auto"/>
          </w:divBdr>
        </w:div>
        <w:div w:id="198901996">
          <w:marLeft w:val="1166"/>
          <w:marRight w:val="0"/>
          <w:marTop w:val="0"/>
          <w:marBottom w:val="0"/>
          <w:divBdr>
            <w:top w:val="none" w:sz="0" w:space="0" w:color="auto"/>
            <w:left w:val="none" w:sz="0" w:space="0" w:color="auto"/>
            <w:bottom w:val="none" w:sz="0" w:space="0" w:color="auto"/>
            <w:right w:val="none" w:sz="0" w:space="0" w:color="auto"/>
          </w:divBdr>
        </w:div>
        <w:div w:id="531650733">
          <w:marLeft w:val="1166"/>
          <w:marRight w:val="0"/>
          <w:marTop w:val="0"/>
          <w:marBottom w:val="0"/>
          <w:divBdr>
            <w:top w:val="none" w:sz="0" w:space="0" w:color="auto"/>
            <w:left w:val="none" w:sz="0" w:space="0" w:color="auto"/>
            <w:bottom w:val="none" w:sz="0" w:space="0" w:color="auto"/>
            <w:right w:val="none" w:sz="0" w:space="0" w:color="auto"/>
          </w:divBdr>
        </w:div>
        <w:div w:id="704061195">
          <w:marLeft w:val="1166"/>
          <w:marRight w:val="0"/>
          <w:marTop w:val="0"/>
          <w:marBottom w:val="0"/>
          <w:divBdr>
            <w:top w:val="none" w:sz="0" w:space="0" w:color="auto"/>
            <w:left w:val="none" w:sz="0" w:space="0" w:color="auto"/>
            <w:bottom w:val="none" w:sz="0" w:space="0" w:color="auto"/>
            <w:right w:val="none" w:sz="0" w:space="0" w:color="auto"/>
          </w:divBdr>
        </w:div>
        <w:div w:id="834614594">
          <w:marLeft w:val="547"/>
          <w:marRight w:val="0"/>
          <w:marTop w:val="0"/>
          <w:marBottom w:val="0"/>
          <w:divBdr>
            <w:top w:val="none" w:sz="0" w:space="0" w:color="auto"/>
            <w:left w:val="none" w:sz="0" w:space="0" w:color="auto"/>
            <w:bottom w:val="none" w:sz="0" w:space="0" w:color="auto"/>
            <w:right w:val="none" w:sz="0" w:space="0" w:color="auto"/>
          </w:divBdr>
        </w:div>
        <w:div w:id="1529875871">
          <w:marLeft w:val="547"/>
          <w:marRight w:val="0"/>
          <w:marTop w:val="0"/>
          <w:marBottom w:val="0"/>
          <w:divBdr>
            <w:top w:val="none" w:sz="0" w:space="0" w:color="auto"/>
            <w:left w:val="none" w:sz="0" w:space="0" w:color="auto"/>
            <w:bottom w:val="none" w:sz="0" w:space="0" w:color="auto"/>
            <w:right w:val="none" w:sz="0" w:space="0" w:color="auto"/>
          </w:divBdr>
        </w:div>
        <w:div w:id="1782913641">
          <w:marLeft w:val="547"/>
          <w:marRight w:val="0"/>
          <w:marTop w:val="0"/>
          <w:marBottom w:val="0"/>
          <w:divBdr>
            <w:top w:val="none" w:sz="0" w:space="0" w:color="auto"/>
            <w:left w:val="none" w:sz="0" w:space="0" w:color="auto"/>
            <w:bottom w:val="none" w:sz="0" w:space="0" w:color="auto"/>
            <w:right w:val="none" w:sz="0" w:space="0" w:color="auto"/>
          </w:divBdr>
        </w:div>
        <w:div w:id="1932932935">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4412723">
      <w:bodyDiv w:val="1"/>
      <w:marLeft w:val="0"/>
      <w:marRight w:val="0"/>
      <w:marTop w:val="0"/>
      <w:marBottom w:val="0"/>
      <w:divBdr>
        <w:top w:val="none" w:sz="0" w:space="0" w:color="auto"/>
        <w:left w:val="none" w:sz="0" w:space="0" w:color="auto"/>
        <w:bottom w:val="none" w:sz="0" w:space="0" w:color="auto"/>
        <w:right w:val="none" w:sz="0" w:space="0" w:color="auto"/>
      </w:divBdr>
      <w:divsChild>
        <w:div w:id="821235796">
          <w:marLeft w:val="1166"/>
          <w:marRight w:val="0"/>
          <w:marTop w:val="0"/>
          <w:marBottom w:val="0"/>
          <w:divBdr>
            <w:top w:val="none" w:sz="0" w:space="0" w:color="auto"/>
            <w:left w:val="none" w:sz="0" w:space="0" w:color="auto"/>
            <w:bottom w:val="none" w:sz="0" w:space="0" w:color="auto"/>
            <w:right w:val="none" w:sz="0" w:space="0" w:color="auto"/>
          </w:divBdr>
        </w:div>
        <w:div w:id="1133451392">
          <w:marLeft w:val="1166"/>
          <w:marRight w:val="0"/>
          <w:marTop w:val="0"/>
          <w:marBottom w:val="0"/>
          <w:divBdr>
            <w:top w:val="none" w:sz="0" w:space="0" w:color="auto"/>
            <w:left w:val="none" w:sz="0" w:space="0" w:color="auto"/>
            <w:bottom w:val="none" w:sz="0" w:space="0" w:color="auto"/>
            <w:right w:val="none" w:sz="0" w:space="0" w:color="auto"/>
          </w:divBdr>
        </w:div>
        <w:div w:id="1208833220">
          <w:marLeft w:val="547"/>
          <w:marRight w:val="0"/>
          <w:marTop w:val="0"/>
          <w:marBottom w:val="0"/>
          <w:divBdr>
            <w:top w:val="none" w:sz="0" w:space="0" w:color="auto"/>
            <w:left w:val="none" w:sz="0" w:space="0" w:color="auto"/>
            <w:bottom w:val="none" w:sz="0" w:space="0" w:color="auto"/>
            <w:right w:val="none" w:sz="0" w:space="0" w:color="auto"/>
          </w:divBdr>
        </w:div>
        <w:div w:id="2090615509">
          <w:marLeft w:val="1166"/>
          <w:marRight w:val="0"/>
          <w:marTop w:val="0"/>
          <w:marBottom w:val="0"/>
          <w:divBdr>
            <w:top w:val="none" w:sz="0" w:space="0" w:color="auto"/>
            <w:left w:val="none" w:sz="0" w:space="0" w:color="auto"/>
            <w:bottom w:val="none" w:sz="0" w:space="0" w:color="auto"/>
            <w:right w:val="none" w:sz="0" w:space="0" w:color="auto"/>
          </w:divBdr>
        </w:div>
        <w:div w:id="2113478269">
          <w:marLeft w:val="1800"/>
          <w:marRight w:val="0"/>
          <w:marTop w:val="0"/>
          <w:marBottom w:val="0"/>
          <w:divBdr>
            <w:top w:val="none" w:sz="0" w:space="0" w:color="auto"/>
            <w:left w:val="none" w:sz="0" w:space="0" w:color="auto"/>
            <w:bottom w:val="none" w:sz="0" w:space="0" w:color="auto"/>
            <w:right w:val="none" w:sz="0" w:space="0" w:color="auto"/>
          </w:divBdr>
        </w:div>
        <w:div w:id="2145199481">
          <w:marLeft w:val="1166"/>
          <w:marRight w:val="0"/>
          <w:marTop w:val="0"/>
          <w:marBottom w:val="0"/>
          <w:divBdr>
            <w:top w:val="none" w:sz="0" w:space="0" w:color="auto"/>
            <w:left w:val="none" w:sz="0" w:space="0" w:color="auto"/>
            <w:bottom w:val="none" w:sz="0" w:space="0" w:color="auto"/>
            <w:right w:val="none" w:sz="0" w:space="0" w:color="auto"/>
          </w:divBdr>
        </w:div>
      </w:divsChild>
    </w:div>
    <w:div w:id="973483575">
      <w:bodyDiv w:val="1"/>
      <w:marLeft w:val="0"/>
      <w:marRight w:val="0"/>
      <w:marTop w:val="0"/>
      <w:marBottom w:val="0"/>
      <w:divBdr>
        <w:top w:val="none" w:sz="0" w:space="0" w:color="auto"/>
        <w:left w:val="none" w:sz="0" w:space="0" w:color="auto"/>
        <w:bottom w:val="none" w:sz="0" w:space="0" w:color="auto"/>
        <w:right w:val="none" w:sz="0" w:space="0" w:color="auto"/>
      </w:divBdr>
      <w:divsChild>
        <w:div w:id="258225247">
          <w:marLeft w:val="0"/>
          <w:marRight w:val="0"/>
          <w:marTop w:val="0"/>
          <w:marBottom w:val="0"/>
          <w:divBdr>
            <w:top w:val="none" w:sz="0" w:space="0" w:color="auto"/>
            <w:left w:val="none" w:sz="0" w:space="0" w:color="auto"/>
            <w:bottom w:val="none" w:sz="0" w:space="0" w:color="auto"/>
            <w:right w:val="none" w:sz="0" w:space="0" w:color="auto"/>
          </w:divBdr>
        </w:div>
        <w:div w:id="759956717">
          <w:marLeft w:val="0"/>
          <w:marRight w:val="0"/>
          <w:marTop w:val="0"/>
          <w:marBottom w:val="0"/>
          <w:divBdr>
            <w:top w:val="none" w:sz="0" w:space="0" w:color="auto"/>
            <w:left w:val="none" w:sz="0" w:space="0" w:color="auto"/>
            <w:bottom w:val="none" w:sz="0" w:space="0" w:color="auto"/>
            <w:right w:val="none" w:sz="0" w:space="0" w:color="auto"/>
          </w:divBdr>
        </w:div>
        <w:div w:id="2089770666">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2363058">
      <w:bodyDiv w:val="1"/>
      <w:marLeft w:val="0"/>
      <w:marRight w:val="0"/>
      <w:marTop w:val="0"/>
      <w:marBottom w:val="0"/>
      <w:divBdr>
        <w:top w:val="none" w:sz="0" w:space="0" w:color="auto"/>
        <w:left w:val="none" w:sz="0" w:space="0" w:color="auto"/>
        <w:bottom w:val="none" w:sz="0" w:space="0" w:color="auto"/>
        <w:right w:val="none" w:sz="0" w:space="0" w:color="auto"/>
      </w:divBdr>
      <w:divsChild>
        <w:div w:id="767820321">
          <w:marLeft w:val="547"/>
          <w:marRight w:val="0"/>
          <w:marTop w:val="60"/>
          <w:marBottom w:val="0"/>
          <w:divBdr>
            <w:top w:val="none" w:sz="0" w:space="0" w:color="auto"/>
            <w:left w:val="none" w:sz="0" w:space="0" w:color="auto"/>
            <w:bottom w:val="none" w:sz="0" w:space="0" w:color="auto"/>
            <w:right w:val="none" w:sz="0" w:space="0" w:color="auto"/>
          </w:divBdr>
        </w:div>
      </w:divsChild>
    </w:div>
    <w:div w:id="1193377572">
      <w:bodyDiv w:val="1"/>
      <w:marLeft w:val="0"/>
      <w:marRight w:val="0"/>
      <w:marTop w:val="0"/>
      <w:marBottom w:val="0"/>
      <w:divBdr>
        <w:top w:val="none" w:sz="0" w:space="0" w:color="auto"/>
        <w:left w:val="none" w:sz="0" w:space="0" w:color="auto"/>
        <w:bottom w:val="none" w:sz="0" w:space="0" w:color="auto"/>
        <w:right w:val="none" w:sz="0" w:space="0" w:color="auto"/>
      </w:divBdr>
      <w:divsChild>
        <w:div w:id="29033920">
          <w:marLeft w:val="3240"/>
          <w:marRight w:val="0"/>
          <w:marTop w:val="0"/>
          <w:marBottom w:val="0"/>
          <w:divBdr>
            <w:top w:val="none" w:sz="0" w:space="0" w:color="auto"/>
            <w:left w:val="none" w:sz="0" w:space="0" w:color="auto"/>
            <w:bottom w:val="none" w:sz="0" w:space="0" w:color="auto"/>
            <w:right w:val="none" w:sz="0" w:space="0" w:color="auto"/>
          </w:divBdr>
        </w:div>
        <w:div w:id="339699360">
          <w:marLeft w:val="2520"/>
          <w:marRight w:val="0"/>
          <w:marTop w:val="0"/>
          <w:marBottom w:val="0"/>
          <w:divBdr>
            <w:top w:val="none" w:sz="0" w:space="0" w:color="auto"/>
            <w:left w:val="none" w:sz="0" w:space="0" w:color="auto"/>
            <w:bottom w:val="none" w:sz="0" w:space="0" w:color="auto"/>
            <w:right w:val="none" w:sz="0" w:space="0" w:color="auto"/>
          </w:divBdr>
        </w:div>
        <w:div w:id="365571422">
          <w:marLeft w:val="2520"/>
          <w:marRight w:val="0"/>
          <w:marTop w:val="0"/>
          <w:marBottom w:val="0"/>
          <w:divBdr>
            <w:top w:val="none" w:sz="0" w:space="0" w:color="auto"/>
            <w:left w:val="none" w:sz="0" w:space="0" w:color="auto"/>
            <w:bottom w:val="none" w:sz="0" w:space="0" w:color="auto"/>
            <w:right w:val="none" w:sz="0" w:space="0" w:color="auto"/>
          </w:divBdr>
        </w:div>
        <w:div w:id="395520717">
          <w:marLeft w:val="1166"/>
          <w:marRight w:val="0"/>
          <w:marTop w:val="0"/>
          <w:marBottom w:val="0"/>
          <w:divBdr>
            <w:top w:val="none" w:sz="0" w:space="0" w:color="auto"/>
            <w:left w:val="none" w:sz="0" w:space="0" w:color="auto"/>
            <w:bottom w:val="none" w:sz="0" w:space="0" w:color="auto"/>
            <w:right w:val="none" w:sz="0" w:space="0" w:color="auto"/>
          </w:divBdr>
        </w:div>
        <w:div w:id="615408702">
          <w:marLeft w:val="2520"/>
          <w:marRight w:val="0"/>
          <w:marTop w:val="0"/>
          <w:marBottom w:val="0"/>
          <w:divBdr>
            <w:top w:val="none" w:sz="0" w:space="0" w:color="auto"/>
            <w:left w:val="none" w:sz="0" w:space="0" w:color="auto"/>
            <w:bottom w:val="none" w:sz="0" w:space="0" w:color="auto"/>
            <w:right w:val="none" w:sz="0" w:space="0" w:color="auto"/>
          </w:divBdr>
        </w:div>
        <w:div w:id="686829866">
          <w:marLeft w:val="2520"/>
          <w:marRight w:val="0"/>
          <w:marTop w:val="0"/>
          <w:marBottom w:val="0"/>
          <w:divBdr>
            <w:top w:val="none" w:sz="0" w:space="0" w:color="auto"/>
            <w:left w:val="none" w:sz="0" w:space="0" w:color="auto"/>
            <w:bottom w:val="none" w:sz="0" w:space="0" w:color="auto"/>
            <w:right w:val="none" w:sz="0" w:space="0" w:color="auto"/>
          </w:divBdr>
        </w:div>
        <w:div w:id="775833947">
          <w:marLeft w:val="1166"/>
          <w:marRight w:val="0"/>
          <w:marTop w:val="0"/>
          <w:marBottom w:val="0"/>
          <w:divBdr>
            <w:top w:val="none" w:sz="0" w:space="0" w:color="auto"/>
            <w:left w:val="none" w:sz="0" w:space="0" w:color="auto"/>
            <w:bottom w:val="none" w:sz="0" w:space="0" w:color="auto"/>
            <w:right w:val="none" w:sz="0" w:space="0" w:color="auto"/>
          </w:divBdr>
        </w:div>
        <w:div w:id="1102341821">
          <w:marLeft w:val="1800"/>
          <w:marRight w:val="0"/>
          <w:marTop w:val="0"/>
          <w:marBottom w:val="0"/>
          <w:divBdr>
            <w:top w:val="none" w:sz="0" w:space="0" w:color="auto"/>
            <w:left w:val="none" w:sz="0" w:space="0" w:color="auto"/>
            <w:bottom w:val="none" w:sz="0" w:space="0" w:color="auto"/>
            <w:right w:val="none" w:sz="0" w:space="0" w:color="auto"/>
          </w:divBdr>
        </w:div>
        <w:div w:id="1137256585">
          <w:marLeft w:val="1166"/>
          <w:marRight w:val="0"/>
          <w:marTop w:val="0"/>
          <w:marBottom w:val="0"/>
          <w:divBdr>
            <w:top w:val="none" w:sz="0" w:space="0" w:color="auto"/>
            <w:left w:val="none" w:sz="0" w:space="0" w:color="auto"/>
            <w:bottom w:val="none" w:sz="0" w:space="0" w:color="auto"/>
            <w:right w:val="none" w:sz="0" w:space="0" w:color="auto"/>
          </w:divBdr>
        </w:div>
        <w:div w:id="1213346232">
          <w:marLeft w:val="1800"/>
          <w:marRight w:val="0"/>
          <w:marTop w:val="0"/>
          <w:marBottom w:val="0"/>
          <w:divBdr>
            <w:top w:val="none" w:sz="0" w:space="0" w:color="auto"/>
            <w:left w:val="none" w:sz="0" w:space="0" w:color="auto"/>
            <w:bottom w:val="none" w:sz="0" w:space="0" w:color="auto"/>
            <w:right w:val="none" w:sz="0" w:space="0" w:color="auto"/>
          </w:divBdr>
        </w:div>
        <w:div w:id="1218935728">
          <w:marLeft w:val="2520"/>
          <w:marRight w:val="0"/>
          <w:marTop w:val="0"/>
          <w:marBottom w:val="0"/>
          <w:divBdr>
            <w:top w:val="none" w:sz="0" w:space="0" w:color="auto"/>
            <w:left w:val="none" w:sz="0" w:space="0" w:color="auto"/>
            <w:bottom w:val="none" w:sz="0" w:space="0" w:color="auto"/>
            <w:right w:val="none" w:sz="0" w:space="0" w:color="auto"/>
          </w:divBdr>
        </w:div>
        <w:div w:id="1575316279">
          <w:marLeft w:val="547"/>
          <w:marRight w:val="0"/>
          <w:marTop w:val="0"/>
          <w:marBottom w:val="0"/>
          <w:divBdr>
            <w:top w:val="none" w:sz="0" w:space="0" w:color="auto"/>
            <w:left w:val="none" w:sz="0" w:space="0" w:color="auto"/>
            <w:bottom w:val="none" w:sz="0" w:space="0" w:color="auto"/>
            <w:right w:val="none" w:sz="0" w:space="0" w:color="auto"/>
          </w:divBdr>
        </w:div>
        <w:div w:id="1657563167">
          <w:marLeft w:val="2520"/>
          <w:marRight w:val="0"/>
          <w:marTop w:val="0"/>
          <w:marBottom w:val="0"/>
          <w:divBdr>
            <w:top w:val="none" w:sz="0" w:space="0" w:color="auto"/>
            <w:left w:val="none" w:sz="0" w:space="0" w:color="auto"/>
            <w:bottom w:val="none" w:sz="0" w:space="0" w:color="auto"/>
            <w:right w:val="none" w:sz="0" w:space="0" w:color="auto"/>
          </w:divBdr>
        </w:div>
        <w:div w:id="1730111610">
          <w:marLeft w:val="547"/>
          <w:marRight w:val="0"/>
          <w:marTop w:val="0"/>
          <w:marBottom w:val="0"/>
          <w:divBdr>
            <w:top w:val="none" w:sz="0" w:space="0" w:color="auto"/>
            <w:left w:val="none" w:sz="0" w:space="0" w:color="auto"/>
            <w:bottom w:val="none" w:sz="0" w:space="0" w:color="auto"/>
            <w:right w:val="none" w:sz="0" w:space="0" w:color="auto"/>
          </w:divBdr>
        </w:div>
        <w:div w:id="1964460159">
          <w:marLeft w:val="547"/>
          <w:marRight w:val="0"/>
          <w:marTop w:val="0"/>
          <w:marBottom w:val="0"/>
          <w:divBdr>
            <w:top w:val="none" w:sz="0" w:space="0" w:color="auto"/>
            <w:left w:val="none" w:sz="0" w:space="0" w:color="auto"/>
            <w:bottom w:val="none" w:sz="0" w:space="0" w:color="auto"/>
            <w:right w:val="none" w:sz="0" w:space="0" w:color="auto"/>
          </w:divBdr>
        </w:div>
        <w:div w:id="1991857817">
          <w:marLeft w:val="3240"/>
          <w:marRight w:val="0"/>
          <w:marTop w:val="0"/>
          <w:marBottom w:val="0"/>
          <w:divBdr>
            <w:top w:val="none" w:sz="0" w:space="0" w:color="auto"/>
            <w:left w:val="none" w:sz="0" w:space="0" w:color="auto"/>
            <w:bottom w:val="none" w:sz="0" w:space="0" w:color="auto"/>
            <w:right w:val="none" w:sz="0" w:space="0" w:color="auto"/>
          </w:divBdr>
        </w:div>
        <w:div w:id="2067293819">
          <w:marLeft w:val="180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477483">
      <w:bodyDiv w:val="1"/>
      <w:marLeft w:val="0"/>
      <w:marRight w:val="0"/>
      <w:marTop w:val="0"/>
      <w:marBottom w:val="0"/>
      <w:divBdr>
        <w:top w:val="none" w:sz="0" w:space="0" w:color="auto"/>
        <w:left w:val="none" w:sz="0" w:space="0" w:color="auto"/>
        <w:bottom w:val="none" w:sz="0" w:space="0" w:color="auto"/>
        <w:right w:val="none" w:sz="0" w:space="0" w:color="auto"/>
      </w:divBdr>
      <w:divsChild>
        <w:div w:id="1448618125">
          <w:marLeft w:val="547"/>
          <w:marRight w:val="0"/>
          <w:marTop w:val="60"/>
          <w:marBottom w:val="0"/>
          <w:divBdr>
            <w:top w:val="none" w:sz="0" w:space="0" w:color="auto"/>
            <w:left w:val="none" w:sz="0" w:space="0" w:color="auto"/>
            <w:bottom w:val="none" w:sz="0" w:space="0" w:color="auto"/>
            <w:right w:val="none" w:sz="0" w:space="0" w:color="auto"/>
          </w:divBdr>
        </w:div>
      </w:divsChild>
    </w:div>
    <w:div w:id="1383627925">
      <w:bodyDiv w:val="1"/>
      <w:marLeft w:val="0"/>
      <w:marRight w:val="0"/>
      <w:marTop w:val="0"/>
      <w:marBottom w:val="0"/>
      <w:divBdr>
        <w:top w:val="none" w:sz="0" w:space="0" w:color="auto"/>
        <w:left w:val="none" w:sz="0" w:space="0" w:color="auto"/>
        <w:bottom w:val="none" w:sz="0" w:space="0" w:color="auto"/>
        <w:right w:val="none" w:sz="0" w:space="0" w:color="auto"/>
      </w:divBdr>
      <w:divsChild>
        <w:div w:id="23217993">
          <w:marLeft w:val="0"/>
          <w:marRight w:val="0"/>
          <w:marTop w:val="0"/>
          <w:marBottom w:val="0"/>
          <w:divBdr>
            <w:top w:val="none" w:sz="0" w:space="0" w:color="auto"/>
            <w:left w:val="none" w:sz="0" w:space="0" w:color="auto"/>
            <w:bottom w:val="none" w:sz="0" w:space="0" w:color="auto"/>
            <w:right w:val="none" w:sz="0" w:space="0" w:color="auto"/>
          </w:divBdr>
        </w:div>
        <w:div w:id="402290588">
          <w:marLeft w:val="0"/>
          <w:marRight w:val="0"/>
          <w:marTop w:val="0"/>
          <w:marBottom w:val="0"/>
          <w:divBdr>
            <w:top w:val="none" w:sz="0" w:space="0" w:color="auto"/>
            <w:left w:val="none" w:sz="0" w:space="0" w:color="auto"/>
            <w:bottom w:val="none" w:sz="0" w:space="0" w:color="auto"/>
            <w:right w:val="none" w:sz="0" w:space="0" w:color="auto"/>
          </w:divBdr>
        </w:div>
        <w:div w:id="1454009842">
          <w:marLeft w:val="0"/>
          <w:marRight w:val="0"/>
          <w:marTop w:val="0"/>
          <w:marBottom w:val="0"/>
          <w:divBdr>
            <w:top w:val="none" w:sz="0" w:space="0" w:color="auto"/>
            <w:left w:val="none" w:sz="0" w:space="0" w:color="auto"/>
            <w:bottom w:val="none" w:sz="0" w:space="0" w:color="auto"/>
            <w:right w:val="none" w:sz="0" w:space="0" w:color="auto"/>
          </w:divBdr>
        </w:div>
        <w:div w:id="1494371924">
          <w:marLeft w:val="0"/>
          <w:marRight w:val="0"/>
          <w:marTop w:val="0"/>
          <w:marBottom w:val="0"/>
          <w:divBdr>
            <w:top w:val="none" w:sz="0" w:space="0" w:color="auto"/>
            <w:left w:val="none" w:sz="0" w:space="0" w:color="auto"/>
            <w:bottom w:val="none" w:sz="0" w:space="0" w:color="auto"/>
            <w:right w:val="none" w:sz="0" w:space="0" w:color="auto"/>
          </w:divBdr>
        </w:div>
      </w:divsChild>
    </w:div>
    <w:div w:id="1399211460">
      <w:bodyDiv w:val="1"/>
      <w:marLeft w:val="0"/>
      <w:marRight w:val="0"/>
      <w:marTop w:val="0"/>
      <w:marBottom w:val="0"/>
      <w:divBdr>
        <w:top w:val="none" w:sz="0" w:space="0" w:color="auto"/>
        <w:left w:val="none" w:sz="0" w:space="0" w:color="auto"/>
        <w:bottom w:val="none" w:sz="0" w:space="0" w:color="auto"/>
        <w:right w:val="none" w:sz="0" w:space="0" w:color="auto"/>
      </w:divBdr>
      <w:divsChild>
        <w:div w:id="91972291">
          <w:marLeft w:val="1800"/>
          <w:marRight w:val="0"/>
          <w:marTop w:val="0"/>
          <w:marBottom w:val="0"/>
          <w:divBdr>
            <w:top w:val="none" w:sz="0" w:space="0" w:color="auto"/>
            <w:left w:val="none" w:sz="0" w:space="0" w:color="auto"/>
            <w:bottom w:val="none" w:sz="0" w:space="0" w:color="auto"/>
            <w:right w:val="none" w:sz="0" w:space="0" w:color="auto"/>
          </w:divBdr>
        </w:div>
        <w:div w:id="125632702">
          <w:marLeft w:val="547"/>
          <w:marRight w:val="0"/>
          <w:marTop w:val="0"/>
          <w:marBottom w:val="0"/>
          <w:divBdr>
            <w:top w:val="none" w:sz="0" w:space="0" w:color="auto"/>
            <w:left w:val="none" w:sz="0" w:space="0" w:color="auto"/>
            <w:bottom w:val="none" w:sz="0" w:space="0" w:color="auto"/>
            <w:right w:val="none" w:sz="0" w:space="0" w:color="auto"/>
          </w:divBdr>
        </w:div>
        <w:div w:id="382952201">
          <w:marLeft w:val="547"/>
          <w:marRight w:val="0"/>
          <w:marTop w:val="0"/>
          <w:marBottom w:val="0"/>
          <w:divBdr>
            <w:top w:val="none" w:sz="0" w:space="0" w:color="auto"/>
            <w:left w:val="none" w:sz="0" w:space="0" w:color="auto"/>
            <w:bottom w:val="none" w:sz="0" w:space="0" w:color="auto"/>
            <w:right w:val="none" w:sz="0" w:space="0" w:color="auto"/>
          </w:divBdr>
        </w:div>
        <w:div w:id="389815411">
          <w:marLeft w:val="1800"/>
          <w:marRight w:val="0"/>
          <w:marTop w:val="0"/>
          <w:marBottom w:val="0"/>
          <w:divBdr>
            <w:top w:val="none" w:sz="0" w:space="0" w:color="auto"/>
            <w:left w:val="none" w:sz="0" w:space="0" w:color="auto"/>
            <w:bottom w:val="none" w:sz="0" w:space="0" w:color="auto"/>
            <w:right w:val="none" w:sz="0" w:space="0" w:color="auto"/>
          </w:divBdr>
        </w:div>
        <w:div w:id="1046638392">
          <w:marLeft w:val="547"/>
          <w:marRight w:val="0"/>
          <w:marTop w:val="0"/>
          <w:marBottom w:val="0"/>
          <w:divBdr>
            <w:top w:val="none" w:sz="0" w:space="0" w:color="auto"/>
            <w:left w:val="none" w:sz="0" w:space="0" w:color="auto"/>
            <w:bottom w:val="none" w:sz="0" w:space="0" w:color="auto"/>
            <w:right w:val="none" w:sz="0" w:space="0" w:color="auto"/>
          </w:divBdr>
        </w:div>
        <w:div w:id="1626696308">
          <w:marLeft w:val="547"/>
          <w:marRight w:val="0"/>
          <w:marTop w:val="0"/>
          <w:marBottom w:val="0"/>
          <w:divBdr>
            <w:top w:val="none" w:sz="0" w:space="0" w:color="auto"/>
            <w:left w:val="none" w:sz="0" w:space="0" w:color="auto"/>
            <w:bottom w:val="none" w:sz="0" w:space="0" w:color="auto"/>
            <w:right w:val="none" w:sz="0" w:space="0" w:color="auto"/>
          </w:divBdr>
        </w:div>
        <w:div w:id="1876850555">
          <w:marLeft w:val="547"/>
          <w:marRight w:val="0"/>
          <w:marTop w:val="0"/>
          <w:marBottom w:val="0"/>
          <w:divBdr>
            <w:top w:val="none" w:sz="0" w:space="0" w:color="auto"/>
            <w:left w:val="none" w:sz="0" w:space="0" w:color="auto"/>
            <w:bottom w:val="none" w:sz="0" w:space="0" w:color="auto"/>
            <w:right w:val="none" w:sz="0" w:space="0" w:color="auto"/>
          </w:divBdr>
        </w:div>
      </w:divsChild>
    </w:div>
    <w:div w:id="1559390419">
      <w:bodyDiv w:val="1"/>
      <w:marLeft w:val="0"/>
      <w:marRight w:val="0"/>
      <w:marTop w:val="0"/>
      <w:marBottom w:val="0"/>
      <w:divBdr>
        <w:top w:val="none" w:sz="0" w:space="0" w:color="auto"/>
        <w:left w:val="none" w:sz="0" w:space="0" w:color="auto"/>
        <w:bottom w:val="none" w:sz="0" w:space="0" w:color="auto"/>
        <w:right w:val="none" w:sz="0" w:space="0" w:color="auto"/>
      </w:divBdr>
      <w:divsChild>
        <w:div w:id="1363747178">
          <w:marLeft w:val="0"/>
          <w:marRight w:val="0"/>
          <w:marTop w:val="0"/>
          <w:marBottom w:val="0"/>
          <w:divBdr>
            <w:top w:val="none" w:sz="0" w:space="0" w:color="auto"/>
            <w:left w:val="none" w:sz="0" w:space="0" w:color="auto"/>
            <w:bottom w:val="none" w:sz="0" w:space="0" w:color="auto"/>
            <w:right w:val="none" w:sz="0" w:space="0" w:color="auto"/>
          </w:divBdr>
        </w:div>
        <w:div w:id="1583416549">
          <w:marLeft w:val="0"/>
          <w:marRight w:val="0"/>
          <w:marTop w:val="0"/>
          <w:marBottom w:val="0"/>
          <w:divBdr>
            <w:top w:val="none" w:sz="0" w:space="0" w:color="auto"/>
            <w:left w:val="none" w:sz="0" w:space="0" w:color="auto"/>
            <w:bottom w:val="none" w:sz="0" w:space="0" w:color="auto"/>
            <w:right w:val="none" w:sz="0" w:space="0" w:color="auto"/>
          </w:divBdr>
        </w:div>
        <w:div w:id="1793016822">
          <w:marLeft w:val="0"/>
          <w:marRight w:val="0"/>
          <w:marTop w:val="0"/>
          <w:marBottom w:val="0"/>
          <w:divBdr>
            <w:top w:val="none" w:sz="0" w:space="0" w:color="auto"/>
            <w:left w:val="none" w:sz="0" w:space="0" w:color="auto"/>
            <w:bottom w:val="none" w:sz="0" w:space="0" w:color="auto"/>
            <w:right w:val="none" w:sz="0" w:space="0" w:color="auto"/>
          </w:divBdr>
        </w:div>
      </w:divsChild>
    </w:div>
    <w:div w:id="1580823494">
      <w:bodyDiv w:val="1"/>
      <w:marLeft w:val="0"/>
      <w:marRight w:val="0"/>
      <w:marTop w:val="0"/>
      <w:marBottom w:val="0"/>
      <w:divBdr>
        <w:top w:val="none" w:sz="0" w:space="0" w:color="auto"/>
        <w:left w:val="none" w:sz="0" w:space="0" w:color="auto"/>
        <w:bottom w:val="none" w:sz="0" w:space="0" w:color="auto"/>
        <w:right w:val="none" w:sz="0" w:space="0" w:color="auto"/>
      </w:divBdr>
      <w:divsChild>
        <w:div w:id="434597388">
          <w:marLeft w:val="0"/>
          <w:marRight w:val="0"/>
          <w:marTop w:val="0"/>
          <w:marBottom w:val="0"/>
          <w:divBdr>
            <w:top w:val="none" w:sz="0" w:space="0" w:color="auto"/>
            <w:left w:val="none" w:sz="0" w:space="0" w:color="auto"/>
            <w:bottom w:val="none" w:sz="0" w:space="0" w:color="auto"/>
            <w:right w:val="none" w:sz="0" w:space="0" w:color="auto"/>
          </w:divBdr>
        </w:div>
        <w:div w:id="453985998">
          <w:marLeft w:val="0"/>
          <w:marRight w:val="0"/>
          <w:marTop w:val="0"/>
          <w:marBottom w:val="0"/>
          <w:divBdr>
            <w:top w:val="none" w:sz="0" w:space="0" w:color="auto"/>
            <w:left w:val="none" w:sz="0" w:space="0" w:color="auto"/>
            <w:bottom w:val="none" w:sz="0" w:space="0" w:color="auto"/>
            <w:right w:val="none" w:sz="0" w:space="0" w:color="auto"/>
          </w:divBdr>
        </w:div>
        <w:div w:id="514199235">
          <w:marLeft w:val="0"/>
          <w:marRight w:val="0"/>
          <w:marTop w:val="0"/>
          <w:marBottom w:val="0"/>
          <w:divBdr>
            <w:top w:val="none" w:sz="0" w:space="0" w:color="auto"/>
            <w:left w:val="none" w:sz="0" w:space="0" w:color="auto"/>
            <w:bottom w:val="none" w:sz="0" w:space="0" w:color="auto"/>
            <w:right w:val="none" w:sz="0" w:space="0" w:color="auto"/>
          </w:divBdr>
        </w:div>
        <w:div w:id="1051926844">
          <w:marLeft w:val="0"/>
          <w:marRight w:val="0"/>
          <w:marTop w:val="0"/>
          <w:marBottom w:val="0"/>
          <w:divBdr>
            <w:top w:val="none" w:sz="0" w:space="0" w:color="auto"/>
            <w:left w:val="none" w:sz="0" w:space="0" w:color="auto"/>
            <w:bottom w:val="none" w:sz="0" w:space="0" w:color="auto"/>
            <w:right w:val="none" w:sz="0" w:space="0" w:color="auto"/>
          </w:divBdr>
        </w:div>
        <w:div w:id="1676107236">
          <w:marLeft w:val="0"/>
          <w:marRight w:val="0"/>
          <w:marTop w:val="0"/>
          <w:marBottom w:val="0"/>
          <w:divBdr>
            <w:top w:val="none" w:sz="0" w:space="0" w:color="auto"/>
            <w:left w:val="none" w:sz="0" w:space="0" w:color="auto"/>
            <w:bottom w:val="none" w:sz="0" w:space="0" w:color="auto"/>
            <w:right w:val="none" w:sz="0" w:space="0" w:color="auto"/>
          </w:divBdr>
        </w:div>
        <w:div w:id="1938054381">
          <w:marLeft w:val="0"/>
          <w:marRight w:val="0"/>
          <w:marTop w:val="0"/>
          <w:marBottom w:val="0"/>
          <w:divBdr>
            <w:top w:val="none" w:sz="0" w:space="0" w:color="auto"/>
            <w:left w:val="none" w:sz="0" w:space="0" w:color="auto"/>
            <w:bottom w:val="none" w:sz="0" w:space="0" w:color="auto"/>
            <w:right w:val="none" w:sz="0" w:space="0" w:color="auto"/>
          </w:divBdr>
        </w:div>
      </w:divsChild>
    </w:div>
    <w:div w:id="1718773239">
      <w:bodyDiv w:val="1"/>
      <w:marLeft w:val="0"/>
      <w:marRight w:val="0"/>
      <w:marTop w:val="0"/>
      <w:marBottom w:val="0"/>
      <w:divBdr>
        <w:top w:val="none" w:sz="0" w:space="0" w:color="auto"/>
        <w:left w:val="none" w:sz="0" w:space="0" w:color="auto"/>
        <w:bottom w:val="none" w:sz="0" w:space="0" w:color="auto"/>
        <w:right w:val="none" w:sz="0" w:space="0" w:color="auto"/>
      </w:divBdr>
    </w:div>
    <w:div w:id="1798334327">
      <w:bodyDiv w:val="1"/>
      <w:marLeft w:val="0"/>
      <w:marRight w:val="0"/>
      <w:marTop w:val="0"/>
      <w:marBottom w:val="0"/>
      <w:divBdr>
        <w:top w:val="none" w:sz="0" w:space="0" w:color="auto"/>
        <w:left w:val="none" w:sz="0" w:space="0" w:color="auto"/>
        <w:bottom w:val="none" w:sz="0" w:space="0" w:color="auto"/>
        <w:right w:val="none" w:sz="0" w:space="0" w:color="auto"/>
      </w:divBdr>
    </w:div>
    <w:div w:id="1822694226">
      <w:bodyDiv w:val="1"/>
      <w:marLeft w:val="0"/>
      <w:marRight w:val="0"/>
      <w:marTop w:val="0"/>
      <w:marBottom w:val="0"/>
      <w:divBdr>
        <w:top w:val="none" w:sz="0" w:space="0" w:color="auto"/>
        <w:left w:val="none" w:sz="0" w:space="0" w:color="auto"/>
        <w:bottom w:val="none" w:sz="0" w:space="0" w:color="auto"/>
        <w:right w:val="none" w:sz="0" w:space="0" w:color="auto"/>
      </w:divBdr>
      <w:divsChild>
        <w:div w:id="12808896">
          <w:marLeft w:val="547"/>
          <w:marRight w:val="0"/>
          <w:marTop w:val="0"/>
          <w:marBottom w:val="0"/>
          <w:divBdr>
            <w:top w:val="none" w:sz="0" w:space="0" w:color="auto"/>
            <w:left w:val="none" w:sz="0" w:space="0" w:color="auto"/>
            <w:bottom w:val="none" w:sz="0" w:space="0" w:color="auto"/>
            <w:right w:val="none" w:sz="0" w:space="0" w:color="auto"/>
          </w:divBdr>
        </w:div>
        <w:div w:id="1996253658">
          <w:marLeft w:val="547"/>
          <w:marRight w:val="0"/>
          <w:marTop w:val="0"/>
          <w:marBottom w:val="180"/>
          <w:divBdr>
            <w:top w:val="none" w:sz="0" w:space="0" w:color="auto"/>
            <w:left w:val="none" w:sz="0" w:space="0" w:color="auto"/>
            <w:bottom w:val="none" w:sz="0" w:space="0" w:color="auto"/>
            <w:right w:val="none" w:sz="0" w:space="0" w:color="auto"/>
          </w:divBdr>
        </w:div>
        <w:div w:id="2070224549">
          <w:marLeft w:val="547"/>
          <w:marRight w:val="0"/>
          <w:marTop w:val="0"/>
          <w:marBottom w:val="0"/>
          <w:divBdr>
            <w:top w:val="none" w:sz="0" w:space="0" w:color="auto"/>
            <w:left w:val="none" w:sz="0" w:space="0" w:color="auto"/>
            <w:bottom w:val="none" w:sz="0" w:space="0" w:color="auto"/>
            <w:right w:val="none" w:sz="0" w:space="0" w:color="auto"/>
          </w:divBdr>
        </w:div>
      </w:divsChild>
    </w:div>
    <w:div w:id="1877573430">
      <w:bodyDiv w:val="1"/>
      <w:marLeft w:val="0"/>
      <w:marRight w:val="0"/>
      <w:marTop w:val="0"/>
      <w:marBottom w:val="0"/>
      <w:divBdr>
        <w:top w:val="none" w:sz="0" w:space="0" w:color="auto"/>
        <w:left w:val="none" w:sz="0" w:space="0" w:color="auto"/>
        <w:bottom w:val="none" w:sz="0" w:space="0" w:color="auto"/>
        <w:right w:val="none" w:sz="0" w:space="0" w:color="auto"/>
      </w:divBdr>
    </w:div>
    <w:div w:id="1923903620">
      <w:bodyDiv w:val="1"/>
      <w:marLeft w:val="0"/>
      <w:marRight w:val="0"/>
      <w:marTop w:val="0"/>
      <w:marBottom w:val="0"/>
      <w:divBdr>
        <w:top w:val="none" w:sz="0" w:space="0" w:color="auto"/>
        <w:left w:val="none" w:sz="0" w:space="0" w:color="auto"/>
        <w:bottom w:val="none" w:sz="0" w:space="0" w:color="auto"/>
        <w:right w:val="none" w:sz="0" w:space="0" w:color="auto"/>
      </w:divBdr>
      <w:divsChild>
        <w:div w:id="1217470896">
          <w:marLeft w:val="0"/>
          <w:marRight w:val="0"/>
          <w:marTop w:val="0"/>
          <w:marBottom w:val="0"/>
          <w:divBdr>
            <w:top w:val="none" w:sz="0" w:space="0" w:color="auto"/>
            <w:left w:val="none" w:sz="0" w:space="0" w:color="auto"/>
            <w:bottom w:val="none" w:sz="0" w:space="0" w:color="auto"/>
            <w:right w:val="none" w:sz="0" w:space="0" w:color="auto"/>
          </w:divBdr>
        </w:div>
        <w:div w:id="1358002557">
          <w:marLeft w:val="0"/>
          <w:marRight w:val="0"/>
          <w:marTop w:val="0"/>
          <w:marBottom w:val="0"/>
          <w:divBdr>
            <w:top w:val="none" w:sz="0" w:space="0" w:color="auto"/>
            <w:left w:val="none" w:sz="0" w:space="0" w:color="auto"/>
            <w:bottom w:val="none" w:sz="0" w:space="0" w:color="auto"/>
            <w:right w:val="none" w:sz="0" w:space="0" w:color="auto"/>
          </w:divBdr>
        </w:div>
        <w:div w:id="1811556414">
          <w:marLeft w:val="0"/>
          <w:marRight w:val="0"/>
          <w:marTop w:val="0"/>
          <w:marBottom w:val="0"/>
          <w:divBdr>
            <w:top w:val="none" w:sz="0" w:space="0" w:color="auto"/>
            <w:left w:val="none" w:sz="0" w:space="0" w:color="auto"/>
            <w:bottom w:val="none" w:sz="0" w:space="0" w:color="auto"/>
            <w:right w:val="none" w:sz="0" w:space="0" w:color="auto"/>
          </w:divBdr>
        </w:div>
        <w:div w:id="1958633631">
          <w:marLeft w:val="0"/>
          <w:marRight w:val="0"/>
          <w:marTop w:val="0"/>
          <w:marBottom w:val="0"/>
          <w:divBdr>
            <w:top w:val="none" w:sz="0" w:space="0" w:color="auto"/>
            <w:left w:val="none" w:sz="0" w:space="0" w:color="auto"/>
            <w:bottom w:val="none" w:sz="0" w:space="0" w:color="auto"/>
            <w:right w:val="none" w:sz="0" w:space="0" w:color="auto"/>
          </w:divBdr>
        </w:div>
      </w:divsChild>
    </w:div>
    <w:div w:id="1980181698">
      <w:bodyDiv w:val="1"/>
      <w:marLeft w:val="0"/>
      <w:marRight w:val="0"/>
      <w:marTop w:val="0"/>
      <w:marBottom w:val="0"/>
      <w:divBdr>
        <w:top w:val="none" w:sz="0" w:space="0" w:color="auto"/>
        <w:left w:val="none" w:sz="0" w:space="0" w:color="auto"/>
        <w:bottom w:val="none" w:sz="0" w:space="0" w:color="auto"/>
        <w:right w:val="none" w:sz="0" w:space="0" w:color="auto"/>
      </w:divBdr>
      <w:divsChild>
        <w:div w:id="19742695">
          <w:marLeft w:val="1800"/>
          <w:marRight w:val="0"/>
          <w:marTop w:val="0"/>
          <w:marBottom w:val="0"/>
          <w:divBdr>
            <w:top w:val="none" w:sz="0" w:space="0" w:color="auto"/>
            <w:left w:val="none" w:sz="0" w:space="0" w:color="auto"/>
            <w:bottom w:val="none" w:sz="0" w:space="0" w:color="auto"/>
            <w:right w:val="none" w:sz="0" w:space="0" w:color="auto"/>
          </w:divBdr>
        </w:div>
        <w:div w:id="276451621">
          <w:marLeft w:val="547"/>
          <w:marRight w:val="0"/>
          <w:marTop w:val="0"/>
          <w:marBottom w:val="0"/>
          <w:divBdr>
            <w:top w:val="none" w:sz="0" w:space="0" w:color="auto"/>
            <w:left w:val="none" w:sz="0" w:space="0" w:color="auto"/>
            <w:bottom w:val="none" w:sz="0" w:space="0" w:color="auto"/>
            <w:right w:val="none" w:sz="0" w:space="0" w:color="auto"/>
          </w:divBdr>
        </w:div>
        <w:div w:id="417094463">
          <w:marLeft w:val="547"/>
          <w:marRight w:val="0"/>
          <w:marTop w:val="0"/>
          <w:marBottom w:val="0"/>
          <w:divBdr>
            <w:top w:val="none" w:sz="0" w:space="0" w:color="auto"/>
            <w:left w:val="none" w:sz="0" w:space="0" w:color="auto"/>
            <w:bottom w:val="none" w:sz="0" w:space="0" w:color="auto"/>
            <w:right w:val="none" w:sz="0" w:space="0" w:color="auto"/>
          </w:divBdr>
        </w:div>
        <w:div w:id="824316689">
          <w:marLeft w:val="547"/>
          <w:marRight w:val="0"/>
          <w:marTop w:val="0"/>
          <w:marBottom w:val="0"/>
          <w:divBdr>
            <w:top w:val="none" w:sz="0" w:space="0" w:color="auto"/>
            <w:left w:val="none" w:sz="0" w:space="0" w:color="auto"/>
            <w:bottom w:val="none" w:sz="0" w:space="0" w:color="auto"/>
            <w:right w:val="none" w:sz="0" w:space="0" w:color="auto"/>
          </w:divBdr>
        </w:div>
        <w:div w:id="1601373933">
          <w:marLeft w:val="547"/>
          <w:marRight w:val="0"/>
          <w:marTop w:val="0"/>
          <w:marBottom w:val="0"/>
          <w:divBdr>
            <w:top w:val="none" w:sz="0" w:space="0" w:color="auto"/>
            <w:left w:val="none" w:sz="0" w:space="0" w:color="auto"/>
            <w:bottom w:val="none" w:sz="0" w:space="0" w:color="auto"/>
            <w:right w:val="none" w:sz="0" w:space="0" w:color="auto"/>
          </w:divBdr>
        </w:div>
        <w:div w:id="1859272451">
          <w:marLeft w:val="547"/>
          <w:marRight w:val="0"/>
          <w:marTop w:val="0"/>
          <w:marBottom w:val="0"/>
          <w:divBdr>
            <w:top w:val="none" w:sz="0" w:space="0" w:color="auto"/>
            <w:left w:val="none" w:sz="0" w:space="0" w:color="auto"/>
            <w:bottom w:val="none" w:sz="0" w:space="0" w:color="auto"/>
            <w:right w:val="none" w:sz="0" w:space="0" w:color="auto"/>
          </w:divBdr>
        </w:div>
        <w:div w:id="1901480328">
          <w:marLeft w:val="1800"/>
          <w:marRight w:val="0"/>
          <w:marTop w:val="0"/>
          <w:marBottom w:val="0"/>
          <w:divBdr>
            <w:top w:val="none" w:sz="0" w:space="0" w:color="auto"/>
            <w:left w:val="none" w:sz="0" w:space="0" w:color="auto"/>
            <w:bottom w:val="none" w:sz="0" w:space="0" w:color="auto"/>
            <w:right w:val="none" w:sz="0" w:space="0" w:color="auto"/>
          </w:divBdr>
        </w:div>
      </w:divsChild>
    </w:div>
    <w:div w:id="205272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29bis%5D/%5BPOST129bis%5D%5B016%5D%5BAI%20PHY%5D%2038.331%20Running%20CR%20(Ericsson)/RRC%20open%20issues%20AIML%20PHY_v00_Rapp.docx" TargetMode="External"/><Relationship Id="rId18" Type="http://schemas.openxmlformats.org/officeDocument/2006/relationships/image" Target="media/image2.w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Email_Discussions/RAN2/%5BRAN2%23129bis%5D/%5BPOST129bis%5D%5B016%5D%5BAI%20PHY%5D%2038.331%20Running%20CR%20(Ericsson)/RRC%20open%20issues%20AIML%20PHY_v00_Rapp.doc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1_RL1/TSGR1_120b/Inbox/drafts/9(NR_R19)/RRC/Collection%20of%20RRC%20parameters" TargetMode="External"/><Relationship Id="rId20" Type="http://schemas.openxmlformats.org/officeDocument/2006/relationships/hyperlink" Target="https://www.3gpp.org/ftp/Email_Discussions/RAN2/%5BRAN2%23129bis%5D/%5BPOST129bis%5D%5B013%5D%5BAI%20PHY%5D%2038.300%20Running%20CR%20(Vivo)/R2-25xxxxx_Introduction%20of%20AI%20for%20Air%20interface%20feature%20in%2038300_v10_Rapp.docx"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RBI5PAMIO524-1616901215-46735</_dlc_DocId>
    <_dlc_DocIdUrl xmlns="71c5aaf6-e6ce-465b-b873-5148d2a4c105">
      <Url>https://nokia.sharepoint.com/sites/gxp/_layouts/15/DocIdRedir.aspx?ID=RBI5PAMIO524-1616901215-46735</Url>
      <Description>RBI5PAMIO524-1616901215-46735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5C4064-2EC3-406D-AF16-AD1EED2B2D92}">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1082</TotalTime>
  <Pages>11</Pages>
  <Words>5264</Words>
  <Characters>30008</Characters>
  <Application>Microsoft Office Word</Application>
  <DocSecurity>0</DocSecurity>
  <Lines>250</Lines>
  <Paragraphs>70</Paragraphs>
  <ScaleCrop>false</ScaleCrop>
  <Manager/>
  <Company>Nokia</Company>
  <LinksUpToDate>false</LinksUpToDate>
  <CharactersWithSpaces>35202</CharactersWithSpaces>
  <SharedDoc>false</SharedDoc>
  <HyperlinkBase/>
  <HLinks>
    <vt:vector size="24" baseType="variant">
      <vt:variant>
        <vt:i4>6750252</vt:i4>
      </vt:variant>
      <vt:variant>
        <vt:i4>15</vt:i4>
      </vt:variant>
      <vt:variant>
        <vt:i4>0</vt:i4>
      </vt:variant>
      <vt:variant>
        <vt:i4>5</vt:i4>
      </vt:variant>
      <vt:variant>
        <vt:lpwstr>https://www.3gpp.org/ftp/Email_Discussions/RAN2/%5BRAN2%23129bis%5D/%5BPOST129bis%5D%5B013%5D%5BAI PHY%5D 38.300 Running CR (Vivo)/R2-25xxxxx_Introduction of AI for Air interface feature in 38300_v10_Rapp.docx</vt:lpwstr>
      </vt:variant>
      <vt:variant>
        <vt:lpwstr/>
      </vt:variant>
      <vt:variant>
        <vt:i4>5046380</vt:i4>
      </vt:variant>
      <vt:variant>
        <vt:i4>9</vt:i4>
      </vt:variant>
      <vt:variant>
        <vt:i4>0</vt:i4>
      </vt:variant>
      <vt:variant>
        <vt:i4>5</vt:i4>
      </vt:variant>
      <vt:variant>
        <vt:lpwstr>https://www.3gpp.org/ftp/Email_Discussions/RAN2/%5BRAN2%23129bis%5D/%5BPOST129bis%5D%5B016%5D%5BAI PHY%5D 38.331 Running CR (Ericsson)/RRC open issues AIML PHY_v00_Rapp.docx</vt:lpwstr>
      </vt:variant>
      <vt:variant>
        <vt:lpwstr/>
      </vt:variant>
      <vt:variant>
        <vt:i4>4194312</vt:i4>
      </vt:variant>
      <vt:variant>
        <vt:i4>6</vt:i4>
      </vt:variant>
      <vt:variant>
        <vt:i4>0</vt:i4>
      </vt:variant>
      <vt:variant>
        <vt:i4>5</vt:i4>
      </vt:variant>
      <vt:variant>
        <vt:lpwstr>https://www.3gpp.org/ftp/tsg_ran/WG1_RL1/TSGR1_120b/Inbox/drafts/9(NR_R19)/RRC/Collection of RRC parameters</vt:lpwstr>
      </vt:variant>
      <vt:variant>
        <vt:lpwstr/>
      </vt:variant>
      <vt:variant>
        <vt:i4>5046380</vt:i4>
      </vt:variant>
      <vt:variant>
        <vt:i4>0</vt:i4>
      </vt:variant>
      <vt:variant>
        <vt:i4>0</vt:i4>
      </vt:variant>
      <vt:variant>
        <vt:i4>5</vt:i4>
      </vt:variant>
      <vt:variant>
        <vt:lpwstr>https://www.3gpp.org/ftp/Email_Discussions/RAN2/%5BRAN2%23129bis%5D/%5BPOST129bis%5D%5B016%5D%5BAI PHY%5D 38.331 Running CR (Ericsson)/RRC open issues AIML PHY_v00_Rapp.docx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573</cp:revision>
  <dcterms:created xsi:type="dcterms:W3CDTF">2025-03-29T19:27:00Z</dcterms:created>
  <dcterms:modified xsi:type="dcterms:W3CDTF">2025-05-09T00:35:00Z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78aae211-259f-416d-aa74-161188490deb</vt:lpwstr>
  </property>
</Properties>
</file>