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A5EA206" w:rsidR="00537809" w:rsidRPr="00451A30" w:rsidRDefault="7B6EE33C" w:rsidP="375A7C58">
      <w:pPr>
        <w:pStyle w:val="Header"/>
        <w:tabs>
          <w:tab w:val="right" w:pos="9639"/>
        </w:tabs>
        <w:rPr>
          <w:noProof w:val="0"/>
          <w:sz w:val="24"/>
          <w:szCs w:val="24"/>
        </w:rPr>
      </w:pPr>
      <w:r w:rsidRPr="375A7C58">
        <w:rPr>
          <w:noProof w:val="0"/>
          <w:sz w:val="24"/>
          <w:szCs w:val="24"/>
        </w:rPr>
        <w:t>3GPP TSG-RAN WG2 Meeting #12</w:t>
      </w:r>
      <w:r w:rsidR="77CF5720" w:rsidRPr="375A7C58">
        <w:rPr>
          <w:noProof w:val="0"/>
          <w:sz w:val="24"/>
          <w:szCs w:val="24"/>
        </w:rPr>
        <w:t>6</w:t>
      </w:r>
      <w:r w:rsidR="00537809">
        <w:tab/>
      </w:r>
      <w:r w:rsidRPr="375A7C58">
        <w:rPr>
          <w:noProof w:val="0"/>
          <w:sz w:val="24"/>
          <w:szCs w:val="24"/>
        </w:rPr>
        <w:t>R2-2</w:t>
      </w:r>
      <w:r w:rsidR="0B268ADF" w:rsidRPr="375A7C58">
        <w:rPr>
          <w:noProof w:val="0"/>
          <w:sz w:val="24"/>
          <w:szCs w:val="24"/>
        </w:rPr>
        <w:t>40</w:t>
      </w:r>
      <w:r w:rsidR="1AE0150B" w:rsidRPr="375A7C58">
        <w:rPr>
          <w:noProof w:val="0"/>
          <w:sz w:val="24"/>
          <w:szCs w:val="24"/>
        </w:rPr>
        <w:t>5204</w:t>
      </w:r>
    </w:p>
    <w:p w14:paraId="3723E1D3" w14:textId="1D4A13C3" w:rsidR="005432D9" w:rsidRPr="00451A30" w:rsidRDefault="003E1950" w:rsidP="005432D9">
      <w:pPr>
        <w:pStyle w:val="Header"/>
        <w:tabs>
          <w:tab w:val="right" w:pos="9639"/>
        </w:tabs>
        <w:rPr>
          <w:rFonts w:eastAsia="SimSun"/>
          <w:bCs/>
          <w:sz w:val="24"/>
          <w:szCs w:val="24"/>
          <w:lang w:eastAsia="zh-CN"/>
        </w:rPr>
      </w:pPr>
      <w:r>
        <w:rPr>
          <w:rFonts w:eastAsia="SimSun"/>
          <w:bCs/>
          <w:sz w:val="24"/>
          <w:szCs w:val="24"/>
          <w:lang w:eastAsia="zh-CN"/>
        </w:rPr>
        <w:t xml:space="preserve">Fukuoka, Japan, 20-24 May </w:t>
      </w:r>
      <w:r w:rsidR="005432D9" w:rsidRPr="00451A30">
        <w:rPr>
          <w:rFonts w:eastAsia="SimSun"/>
          <w:bCs/>
          <w:sz w:val="24"/>
          <w:szCs w:val="24"/>
          <w:lang w:eastAsia="zh-CN"/>
        </w:rPr>
        <w:t>2024</w:t>
      </w:r>
      <w:r w:rsidR="005432D9" w:rsidRPr="00451A30">
        <w:rPr>
          <w:rFonts w:eastAsia="SimSun"/>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3DD505F6" w:rsidR="00446C3A" w:rsidRPr="00451A30" w:rsidRDefault="00446C3A" w:rsidP="00446C3A">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C11333">
        <w:rPr>
          <w:rFonts w:cs="Arial"/>
          <w:b/>
          <w:bCs/>
          <w:sz w:val="24"/>
          <w:lang w:eastAsia="ja-JP"/>
        </w:rPr>
        <w:t>8.8.4</w:t>
      </w:r>
    </w:p>
    <w:p w14:paraId="73188B46" w14:textId="479B57CC" w:rsidR="00446C3A" w:rsidRPr="00451A30" w:rsidRDefault="00446C3A" w:rsidP="00446C3A">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r>
      <w:r w:rsidR="008B6D79">
        <w:rPr>
          <w:rFonts w:ascii="Arial" w:hAnsi="Arial" w:cs="Arial"/>
          <w:b/>
          <w:bCs/>
          <w:sz w:val="24"/>
        </w:rPr>
        <w:t>Toyota ITC</w:t>
      </w:r>
    </w:p>
    <w:p w14:paraId="553D264F" w14:textId="2BDE941F"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8B6D79">
        <w:rPr>
          <w:rFonts w:ascii="Arial" w:hAnsi="Arial" w:cs="Arial"/>
          <w:b/>
          <w:bCs/>
          <w:sz w:val="24"/>
        </w:rPr>
        <w:t>Discussions on MBS in Rel-19 NTN</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4FBEA473" w14:textId="6C745EFD" w:rsidR="002277FE" w:rsidRPr="00451A30" w:rsidRDefault="00527668" w:rsidP="009339CB">
      <w:r>
        <w:t xml:space="preserve">A </w:t>
      </w:r>
      <w:r w:rsidR="002277FE" w:rsidRPr="00451A30">
        <w:t xml:space="preserve">Rel-19 </w:t>
      </w:r>
      <w:r>
        <w:t>W</w:t>
      </w:r>
      <w:r w:rsidR="002277FE" w:rsidRPr="00451A30">
        <w:t xml:space="preserve">ork </w:t>
      </w:r>
      <w:r>
        <w:t>I</w:t>
      </w:r>
      <w:r w:rsidR="002277FE" w:rsidRPr="00451A30">
        <w:t xml:space="preserve">tem </w:t>
      </w:r>
      <w:r>
        <w:t xml:space="preserve">for </w:t>
      </w:r>
      <w:r w:rsidR="002277FE" w:rsidRPr="00451A30">
        <w:t>defining Phase 3 enhancements to Non-Terrestrial Networks (NTN)</w:t>
      </w:r>
      <w:r>
        <w:t xml:space="preserve"> was approved at RAN#102, and then revised at RAN#103 [1]</w:t>
      </w:r>
      <w:r w:rsidR="002277FE" w:rsidRPr="00451A30">
        <w:t>.</w:t>
      </w:r>
      <w:r w:rsidR="00B95459">
        <w:t xml:space="preserve"> </w:t>
      </w:r>
      <w:r>
        <w:t xml:space="preserve">One of the associated </w:t>
      </w:r>
      <w:r w:rsidR="002277FE" w:rsidRPr="00451A30">
        <w:t xml:space="preserve">objectives </w:t>
      </w:r>
      <w:r>
        <w:t>w</w:t>
      </w:r>
      <w:r w:rsidR="00A5227E">
        <w:t>as</w:t>
      </w:r>
      <w:r>
        <w:t xml:space="preserve"> </w:t>
      </w:r>
      <w:r w:rsidR="002277FE" w:rsidRPr="00451A30">
        <w:t>the following:</w:t>
      </w:r>
    </w:p>
    <w:tbl>
      <w:tblPr>
        <w:tblStyle w:val="TableGrid"/>
        <w:tblW w:w="0" w:type="auto"/>
        <w:tblLook w:val="04A0" w:firstRow="1" w:lastRow="0" w:firstColumn="1" w:lastColumn="0" w:noHBand="0" w:noVBand="1"/>
      </w:tblPr>
      <w:tblGrid>
        <w:gridCol w:w="9631"/>
      </w:tblGrid>
      <w:tr w:rsidR="002277FE" w:rsidRPr="00451A30" w14:paraId="1036470E" w14:textId="77777777" w:rsidTr="002277FE">
        <w:tc>
          <w:tcPr>
            <w:tcW w:w="9631" w:type="dxa"/>
          </w:tcPr>
          <w:p w14:paraId="75A9AC27" w14:textId="77777777" w:rsidR="002277FE" w:rsidRPr="00451A30" w:rsidRDefault="002277FE" w:rsidP="002277FE">
            <w:pPr>
              <w:numPr>
                <w:ilvl w:val="0"/>
                <w:numId w:val="19"/>
              </w:numPr>
              <w:overflowPunct w:val="0"/>
              <w:autoSpaceDE w:val="0"/>
              <w:autoSpaceDN w:val="0"/>
              <w:adjustRightInd w:val="0"/>
              <w:spacing w:after="0" w:line="276" w:lineRule="auto"/>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14:paraId="093E4EE7" w14:textId="77777777" w:rsidR="002277FE" w:rsidRPr="00451A30" w:rsidRDefault="002277FE" w:rsidP="002277FE">
            <w:pPr>
              <w:pStyle w:val="ListParagraph"/>
              <w:widowControl w:val="0"/>
              <w:numPr>
                <w:ilvl w:val="0"/>
                <w:numId w:val="20"/>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14:paraId="2FC413BF" w14:textId="4F3832B0" w:rsidR="002277FE" w:rsidRPr="00451A30" w:rsidRDefault="002277FE" w:rsidP="009339CB">
            <w:pPr>
              <w:pStyle w:val="ListParagraph"/>
              <w:widowControl w:val="0"/>
              <w:numPr>
                <w:ilvl w:val="0"/>
                <w:numId w:val="20"/>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14:paraId="00B67B6E" w14:textId="77777777" w:rsidR="00527668" w:rsidRDefault="00527668" w:rsidP="009339CB"/>
    <w:p w14:paraId="1E902BDB" w14:textId="44E072F5" w:rsidR="00527668" w:rsidRDefault="00527668" w:rsidP="009339CB">
      <w:r>
        <w:t>For NR NTN, MBS provides advantages compared to TN in terms of coverage and potential resource optimization.</w:t>
      </w:r>
    </w:p>
    <w:p w14:paraId="2DA465A2" w14:textId="1EFAB7F1" w:rsidR="00527668" w:rsidRDefault="00527668" w:rsidP="009339CB">
      <w:r>
        <w:t xml:space="preserve">This document </w:t>
      </w:r>
      <w:r w:rsidR="00AF41C0">
        <w:t xml:space="preserve">provides some thoughts </w:t>
      </w:r>
      <w:r w:rsidR="00716162">
        <w:t xml:space="preserve">and proposals </w:t>
      </w:r>
      <w:r w:rsidR="00026C00">
        <w:t>on MBS in NTN Rel-19.</w:t>
      </w:r>
    </w:p>
    <w:p w14:paraId="419F2F6C" w14:textId="68BC1D21" w:rsidR="00527668" w:rsidRDefault="00527668" w:rsidP="009339CB"/>
    <w:p w14:paraId="7D484B6E" w14:textId="2858E747" w:rsidR="009339CB" w:rsidRPr="00451A30" w:rsidRDefault="009339CB" w:rsidP="009339CB">
      <w:pPr>
        <w:pStyle w:val="Heading1"/>
      </w:pPr>
      <w:r w:rsidRPr="00451A30">
        <w:t>2</w:t>
      </w:r>
      <w:r w:rsidRPr="00451A30">
        <w:tab/>
      </w:r>
      <w:r w:rsidR="00FF6146" w:rsidRPr="00451A30">
        <w:t>Discussion</w:t>
      </w:r>
    </w:p>
    <w:p w14:paraId="47F5C518" w14:textId="77777777" w:rsidR="00026C00" w:rsidRDefault="00026C00" w:rsidP="009339CB">
      <w:pPr>
        <w:pStyle w:val="Heading2"/>
      </w:pPr>
    </w:p>
    <w:p w14:paraId="65549C1B" w14:textId="6A403B59" w:rsidR="00026C00" w:rsidRPr="00451A30" w:rsidRDefault="00026C00" w:rsidP="00026C00">
      <w:pPr>
        <w:pStyle w:val="Heading2"/>
      </w:pPr>
      <w:r w:rsidRPr="00451A30">
        <w:t>2.1</w:t>
      </w:r>
      <w:r w:rsidRPr="00451A30">
        <w:tab/>
      </w:r>
      <w:r w:rsidR="002349A0">
        <w:t>Ubiquitous coverage for e.g. digital radio</w:t>
      </w:r>
    </w:p>
    <w:p w14:paraId="51B2AE2A" w14:textId="76998E5C" w:rsidR="00DC207C" w:rsidRDefault="00DC207C" w:rsidP="00DC207C">
      <w:r>
        <w:t>Digital radio is one of the services that could make use of MBS Rel-19 NTN.</w:t>
      </w:r>
      <w:r w:rsidR="005B6CF8">
        <w:t xml:space="preserve"> This </w:t>
      </w:r>
      <w:r w:rsidR="002349A0">
        <w:t>brings</w:t>
      </w:r>
      <w:r w:rsidR="004161E8">
        <w:t xml:space="preserve"> the need</w:t>
      </w:r>
      <w:r w:rsidR="002349A0">
        <w:t xml:space="preserve"> for ubiquitous coverage with low data rates.</w:t>
      </w:r>
      <w:r w:rsidR="004161E8">
        <w:t xml:space="preserve"> </w:t>
      </w:r>
    </w:p>
    <w:p w14:paraId="4F78D630" w14:textId="6D32C5E6" w:rsidR="00026C00" w:rsidRDefault="002349A0" w:rsidP="002349A0">
      <w:pPr>
        <w:jc w:val="both"/>
      </w:pPr>
      <w:r w:rsidRPr="00764142">
        <w:rPr>
          <w:b/>
          <w:bCs/>
        </w:rPr>
        <w:t xml:space="preserve">Observation 1: </w:t>
      </w:r>
      <w:r>
        <w:rPr>
          <w:b/>
          <w:bCs/>
        </w:rPr>
        <w:t>One use case for MBS Rel-19 NTN is ubiquitous coverage with low data rates, e.g. to fulfil digital radio.</w:t>
      </w:r>
    </w:p>
    <w:p w14:paraId="30472152" w14:textId="77777777" w:rsidR="00026C00" w:rsidRDefault="00026C00" w:rsidP="009339CB">
      <w:pPr>
        <w:pStyle w:val="Heading2"/>
      </w:pPr>
    </w:p>
    <w:p w14:paraId="3A777112" w14:textId="69F31B6C" w:rsidR="002349A0" w:rsidRPr="00451A30" w:rsidRDefault="002349A0" w:rsidP="002349A0">
      <w:pPr>
        <w:pStyle w:val="Heading2"/>
      </w:pPr>
      <w:r w:rsidRPr="00451A30">
        <w:t>2.</w:t>
      </w:r>
      <w:r>
        <w:t>2</w:t>
      </w:r>
      <w:r w:rsidRPr="00451A30">
        <w:tab/>
      </w:r>
      <w:r w:rsidR="00187DC2">
        <w:t>Service continuity</w:t>
      </w:r>
    </w:p>
    <w:p w14:paraId="0A692957" w14:textId="77777777" w:rsidR="008B0571" w:rsidRDefault="00780021" w:rsidP="002349A0">
      <w:r>
        <w:t xml:space="preserve">Service continuity is an important requirement for MBS Rel-19 NTN. This includes ensuring that the service remains available </w:t>
      </w:r>
      <w:r w:rsidR="008B0571">
        <w:t>when the visible satellite changes.</w:t>
      </w:r>
    </w:p>
    <w:p w14:paraId="77BAC89C" w14:textId="6B247E74" w:rsidR="008B0571" w:rsidRDefault="008B0571" w:rsidP="002349A0">
      <w:r>
        <w:t xml:space="preserve">In addition, at RAN2-125bis meeting, the following was agreed in 4 </w:t>
      </w:r>
      <w:r w:rsidR="00CF02E6">
        <w:t>b</w:t>
      </w:r>
      <w:r>
        <w:t>elow</w:t>
      </w:r>
      <w:r w:rsidR="006F2DF0">
        <w:t xml:space="preserve"> (other agreements were removed for concision)</w:t>
      </w:r>
      <w:r>
        <w:t>:</w:t>
      </w:r>
    </w:p>
    <w:p w14:paraId="6B53B09B" w14:textId="6237486A" w:rsidR="008B0571" w:rsidRPr="00A066A8" w:rsidRDefault="008B0571" w:rsidP="008B0571">
      <w:pPr>
        <w:pStyle w:val="Doc-text2"/>
        <w:pBdr>
          <w:top w:val="single" w:sz="4" w:space="1" w:color="auto"/>
          <w:left w:val="single" w:sz="4" w:space="4" w:color="auto"/>
          <w:bottom w:val="single" w:sz="4" w:space="1" w:color="auto"/>
          <w:right w:val="single" w:sz="4" w:space="4" w:color="auto"/>
        </w:pBdr>
      </w:pPr>
      <w:r>
        <w:t>RAN2-125bis a</w:t>
      </w:r>
      <w:r w:rsidRPr="00A066A8">
        <w:t>greements:</w:t>
      </w:r>
    </w:p>
    <w:p w14:paraId="04AB2079" w14:textId="4CCDF155" w:rsidR="008B0571" w:rsidRPr="00A066A8" w:rsidRDefault="00A3237B" w:rsidP="00A3237B">
      <w:pPr>
        <w:pStyle w:val="Doc-text2"/>
        <w:numPr>
          <w:ilvl w:val="1"/>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 (…)</w:t>
      </w:r>
    </w:p>
    <w:p w14:paraId="0908D6E2" w14:textId="0DFCCBDE" w:rsidR="008B0571" w:rsidRPr="00A066A8" w:rsidRDefault="00A3237B" w:rsidP="00A3237B">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sv-SE"/>
        </w:rPr>
      </w:pPr>
      <w:r>
        <w:rPr>
          <w:highlight w:val="yellow"/>
          <w:lang w:val="sv-SE"/>
        </w:rPr>
        <w:t xml:space="preserve">4. </w:t>
      </w:r>
      <w:r w:rsidR="008B0571" w:rsidRPr="008B0571">
        <w:rPr>
          <w:highlight w:val="yellow"/>
          <w:lang w:val="sv-SE"/>
        </w:rPr>
        <w:t>The intended service area can cover the area of more than one NTN cells</w:t>
      </w:r>
      <w:r w:rsidR="008B0571" w:rsidRPr="00A066A8">
        <w:rPr>
          <w:lang w:val="sv-SE"/>
        </w:rPr>
        <w:t xml:space="preserve"> (or portions thereof)</w:t>
      </w:r>
    </w:p>
    <w:p w14:paraId="7EC5A3CF" w14:textId="1AAD7F38" w:rsidR="008B0571" w:rsidRPr="00A066A8" w:rsidRDefault="00A3237B" w:rsidP="000B1893">
      <w:pPr>
        <w:pStyle w:val="Doc-text2"/>
        <w:numPr>
          <w:ilvl w:val="1"/>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237B">
        <w:rPr>
          <w:lang w:val="sv-SE"/>
        </w:rPr>
        <w:t>(...)</w:t>
      </w:r>
    </w:p>
    <w:p w14:paraId="7F2A4431" w14:textId="77777777" w:rsidR="008B0571" w:rsidRPr="00A066A8" w:rsidRDefault="008B0571" w:rsidP="008B0571">
      <w:pPr>
        <w:pStyle w:val="Comments"/>
      </w:pPr>
    </w:p>
    <w:p w14:paraId="1386FFB8" w14:textId="0EA23235" w:rsidR="008B0571" w:rsidRPr="00D25ABB" w:rsidRDefault="008B0571" w:rsidP="008B0571">
      <w:pPr>
        <w:pStyle w:val="Comments"/>
        <w:rPr>
          <w:rFonts w:ascii="Times New Roman" w:hAnsi="Times New Roman"/>
          <w:i w:val="0"/>
          <w:iCs/>
          <w:sz w:val="20"/>
        </w:rPr>
      </w:pPr>
      <w:r w:rsidRPr="00D25ABB">
        <w:rPr>
          <w:rFonts w:ascii="Times New Roman" w:hAnsi="Times New Roman"/>
          <w:i w:val="0"/>
          <w:iCs/>
          <w:sz w:val="20"/>
        </w:rPr>
        <w:lastRenderedPageBreak/>
        <w:t xml:space="preserve">Therefore, it is important to </w:t>
      </w:r>
      <w:r w:rsidR="006377E8" w:rsidRPr="00D25ABB">
        <w:rPr>
          <w:rFonts w:ascii="Times New Roman" w:hAnsi="Times New Roman"/>
          <w:i w:val="0"/>
          <w:iCs/>
          <w:sz w:val="20"/>
        </w:rPr>
        <w:t xml:space="preserve">also consider service continuity </w:t>
      </w:r>
      <w:r w:rsidR="004C6F23" w:rsidRPr="00D25ABB">
        <w:rPr>
          <w:rFonts w:ascii="Times New Roman" w:hAnsi="Times New Roman"/>
          <w:i w:val="0"/>
          <w:iCs/>
          <w:sz w:val="20"/>
        </w:rPr>
        <w:t xml:space="preserve">where the UE changes </w:t>
      </w:r>
      <w:r w:rsidR="00924773" w:rsidRPr="00D25ABB">
        <w:rPr>
          <w:rFonts w:ascii="Times New Roman" w:hAnsi="Times New Roman"/>
          <w:i w:val="0"/>
          <w:iCs/>
          <w:sz w:val="20"/>
        </w:rPr>
        <w:t>cell within the service area.</w:t>
      </w:r>
    </w:p>
    <w:p w14:paraId="3598343D" w14:textId="77777777" w:rsidR="00924773" w:rsidRDefault="00924773" w:rsidP="008B0571">
      <w:pPr>
        <w:pStyle w:val="Comments"/>
        <w:rPr>
          <w:i w:val="0"/>
          <w:iCs/>
        </w:rPr>
      </w:pPr>
    </w:p>
    <w:p w14:paraId="745B0EE7" w14:textId="77777777" w:rsidR="00924773" w:rsidRPr="008B0571" w:rsidRDefault="00924773" w:rsidP="008B0571">
      <w:pPr>
        <w:pStyle w:val="Comments"/>
        <w:rPr>
          <w:i w:val="0"/>
          <w:iCs/>
        </w:rPr>
      </w:pPr>
    </w:p>
    <w:p w14:paraId="7DDA5675" w14:textId="67395759" w:rsidR="00924773" w:rsidRPr="00924773" w:rsidRDefault="002349A0" w:rsidP="00924773">
      <w:pPr>
        <w:rPr>
          <w:b/>
          <w:bCs/>
        </w:rPr>
      </w:pPr>
      <w:r w:rsidRPr="00924773">
        <w:rPr>
          <w:b/>
          <w:bCs/>
        </w:rPr>
        <w:t xml:space="preserve">Observation </w:t>
      </w:r>
      <w:r w:rsidR="00187DC2" w:rsidRPr="00924773">
        <w:rPr>
          <w:b/>
          <w:bCs/>
        </w:rPr>
        <w:t>2</w:t>
      </w:r>
      <w:r w:rsidRPr="00924773">
        <w:rPr>
          <w:b/>
          <w:bCs/>
        </w:rPr>
        <w:t xml:space="preserve">: </w:t>
      </w:r>
      <w:r w:rsidR="00924773" w:rsidRPr="00924773">
        <w:rPr>
          <w:b/>
          <w:bCs/>
        </w:rPr>
        <w:t>Service continuity is an important requirement for MBS Rel-19 NTN. This includes ensuring that the service remains available when the visible satellite changes</w:t>
      </w:r>
      <w:r w:rsidR="00924773">
        <w:rPr>
          <w:b/>
          <w:bCs/>
        </w:rPr>
        <w:t xml:space="preserve"> </w:t>
      </w:r>
      <w:proofErr w:type="gramStart"/>
      <w:r w:rsidR="00924773">
        <w:rPr>
          <w:b/>
          <w:bCs/>
        </w:rPr>
        <w:t>and also</w:t>
      </w:r>
      <w:proofErr w:type="gramEnd"/>
      <w:r w:rsidR="00924773">
        <w:rPr>
          <w:b/>
          <w:bCs/>
        </w:rPr>
        <w:t xml:space="preserve"> ensuring service continuity when the UE changes cell within the service area</w:t>
      </w:r>
      <w:r w:rsidR="00924773" w:rsidRPr="00924773">
        <w:rPr>
          <w:b/>
          <w:bCs/>
        </w:rPr>
        <w:t>.</w:t>
      </w:r>
    </w:p>
    <w:p w14:paraId="2317376A" w14:textId="3C33B433" w:rsidR="002349A0" w:rsidRDefault="002349A0" w:rsidP="002349A0">
      <w:pPr>
        <w:jc w:val="both"/>
      </w:pPr>
    </w:p>
    <w:p w14:paraId="1A198E28" w14:textId="020D14E4" w:rsidR="00A567A2" w:rsidRDefault="00D25ABB" w:rsidP="000E1C95">
      <w:pPr>
        <w:jc w:val="both"/>
        <w:rPr>
          <w:bCs/>
          <w:lang w:val="en-US" w:eastAsia="sv-SE"/>
        </w:rPr>
      </w:pPr>
      <w:r>
        <w:t xml:space="preserve">At the RAN2-125bis meeting, some companies mentioned that </w:t>
      </w:r>
      <w:r w:rsidR="000E1C95" w:rsidRPr="000E1C95">
        <w:rPr>
          <w:bCs/>
          <w:lang w:val="en-US" w:eastAsia="sv-SE"/>
        </w:rPr>
        <w:t>Satellite movement in NSGO deployments could cause the cell(s) serving a service area to constantly change</w:t>
      </w:r>
      <w:r w:rsidR="008F3533">
        <w:rPr>
          <w:bCs/>
          <w:lang w:val="en-US" w:eastAsia="sv-SE"/>
        </w:rPr>
        <w:t>, for example in [2].</w:t>
      </w:r>
      <w:r w:rsidR="00C43C2B">
        <w:rPr>
          <w:bCs/>
          <w:lang w:val="en-US" w:eastAsia="sv-SE"/>
        </w:rPr>
        <w:t xml:space="preserve"> </w:t>
      </w:r>
      <w:r w:rsidR="00A3237B">
        <w:rPr>
          <w:bCs/>
          <w:lang w:val="en-US" w:eastAsia="sv-SE"/>
        </w:rPr>
        <w:t xml:space="preserve">This appears to be validated by the RAN2-125bis agreement 1 </w:t>
      </w:r>
      <w:r w:rsidR="00A567A2">
        <w:rPr>
          <w:bCs/>
          <w:lang w:val="en-US" w:eastAsia="sv-SE"/>
        </w:rPr>
        <w:t>b</w:t>
      </w:r>
      <w:r w:rsidR="00A3237B">
        <w:rPr>
          <w:bCs/>
          <w:lang w:val="en-US" w:eastAsia="sv-SE"/>
        </w:rPr>
        <w:t>elow, where it was agreed to not restrict the work to any satellite constellation type</w:t>
      </w:r>
      <w:r w:rsidR="00A567A2">
        <w:rPr>
          <w:bCs/>
          <w:lang w:val="en-US" w:eastAsia="sv-SE"/>
        </w:rPr>
        <w:t>:</w:t>
      </w:r>
    </w:p>
    <w:p w14:paraId="4012D243" w14:textId="12CFFEAA" w:rsidR="00CD4F24" w:rsidRPr="00A066A8" w:rsidRDefault="00CB3ED0" w:rsidP="00CD4F24">
      <w:pPr>
        <w:pStyle w:val="Doc-text2"/>
        <w:pBdr>
          <w:top w:val="single" w:sz="4" w:space="1" w:color="auto"/>
          <w:left w:val="single" w:sz="4" w:space="4" w:color="auto"/>
          <w:bottom w:val="single" w:sz="4" w:space="1" w:color="auto"/>
          <w:right w:val="single" w:sz="4" w:space="4" w:color="auto"/>
        </w:pBdr>
      </w:pPr>
      <w:r>
        <w:t>RAN2-125bis a</w:t>
      </w:r>
      <w:r w:rsidR="00CD4F24" w:rsidRPr="00A066A8">
        <w:t>greements:</w:t>
      </w:r>
    </w:p>
    <w:p w14:paraId="2D193A8B" w14:textId="77777777" w:rsidR="00CD4F24" w:rsidRPr="00A066A8" w:rsidRDefault="00CD4F24" w:rsidP="00CD4F2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D4F24">
        <w:rPr>
          <w:highlight w:val="yellow"/>
        </w:rPr>
        <w:t>For MBS broadcast service we don’t restrict the work to any satellite constellation type</w:t>
      </w:r>
    </w:p>
    <w:p w14:paraId="5DB5BBFF" w14:textId="2BAC0A1F" w:rsidR="00CD4F24" w:rsidRPr="00A066A8" w:rsidRDefault="00CD4F24" w:rsidP="00CD4F24">
      <w:pPr>
        <w:pStyle w:val="Doc-text2"/>
        <w:numPr>
          <w:ilvl w:val="1"/>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w:t>
      </w:r>
    </w:p>
    <w:p w14:paraId="1FFA1296" w14:textId="77777777" w:rsidR="00CD4F24" w:rsidRPr="00A066A8" w:rsidRDefault="00CD4F24" w:rsidP="00CD4F24">
      <w:pPr>
        <w:pStyle w:val="Comments"/>
      </w:pPr>
    </w:p>
    <w:p w14:paraId="38CCAEDE" w14:textId="77777777" w:rsidR="00E44132" w:rsidRDefault="00CD4F24" w:rsidP="000E1C95">
      <w:pPr>
        <w:jc w:val="both"/>
      </w:pPr>
      <w:r>
        <w:rPr>
          <w:bCs/>
          <w:lang w:val="en-US" w:eastAsia="sv-SE"/>
        </w:rPr>
        <w:t xml:space="preserve">In addition, it was mentioned </w:t>
      </w:r>
      <w:r w:rsidR="00C956C0">
        <w:rPr>
          <w:bCs/>
          <w:lang w:val="en-US" w:eastAsia="sv-SE"/>
        </w:rPr>
        <w:t xml:space="preserve">at RAN2-125-bis </w:t>
      </w:r>
      <w:r>
        <w:rPr>
          <w:bCs/>
          <w:lang w:val="en-US" w:eastAsia="sv-SE"/>
        </w:rPr>
        <w:t>that</w:t>
      </w:r>
      <w:r w:rsidR="00C956C0">
        <w:rPr>
          <w:bCs/>
          <w:lang w:val="en-US" w:eastAsia="sv-SE"/>
        </w:rPr>
        <w:t xml:space="preserve"> if there is a need to support earth-moving cells where a </w:t>
      </w:r>
      <w:proofErr w:type="spellStart"/>
      <w:r w:rsidR="00C956C0">
        <w:rPr>
          <w:bCs/>
          <w:lang w:val="en-US" w:eastAsia="sv-SE"/>
        </w:rPr>
        <w:t>gNB</w:t>
      </w:r>
      <w:proofErr w:type="spellEnd"/>
      <w:r w:rsidR="00C956C0">
        <w:rPr>
          <w:bCs/>
          <w:lang w:val="en-US" w:eastAsia="sv-SE"/>
        </w:rPr>
        <w:t xml:space="preserve"> coming into an MBS service area dynamically receives/releases Broadcast Session, there would be a need to define network </w:t>
      </w:r>
      <w:proofErr w:type="spellStart"/>
      <w:r w:rsidR="00C956C0">
        <w:rPr>
          <w:bCs/>
          <w:lang w:val="en-US" w:eastAsia="sv-SE"/>
        </w:rPr>
        <w:t>signalling</w:t>
      </w:r>
      <w:proofErr w:type="spellEnd"/>
      <w:r w:rsidR="00C956C0">
        <w:rPr>
          <w:bCs/>
          <w:lang w:val="en-US" w:eastAsia="sv-SE"/>
        </w:rPr>
        <w:t xml:space="preserve"> for the </w:t>
      </w:r>
      <w:r w:rsidR="00C956C0">
        <w:t>cell identifiers associated with the MBS service area to change over time</w:t>
      </w:r>
      <w:r w:rsidR="00E44132">
        <w:t>, with associated RAN3 signalling impact</w:t>
      </w:r>
      <w:r w:rsidR="00C956C0">
        <w:t>.</w:t>
      </w:r>
      <w:r w:rsidR="00E44132">
        <w:t xml:space="preserve"> See for example [3].</w:t>
      </w:r>
    </w:p>
    <w:p w14:paraId="5D4128E8" w14:textId="72CC13E1" w:rsidR="00A3237B" w:rsidRDefault="69BBF14B" w:rsidP="000E1C95">
      <w:pPr>
        <w:jc w:val="both"/>
      </w:pPr>
      <w:r>
        <w:t>The position of the satellite is known in advance. Therefore, t</w:t>
      </w:r>
      <w:r w:rsidR="1A63A5BD">
        <w:t xml:space="preserve">o avoid S1 or X2 </w:t>
      </w:r>
      <w:r>
        <w:t>over-</w:t>
      </w:r>
      <w:r w:rsidR="1A63A5BD">
        <w:t>signalling</w:t>
      </w:r>
      <w:r>
        <w:t xml:space="preserve"> and associated resource impact</w:t>
      </w:r>
      <w:r w:rsidR="1A63A5BD">
        <w:t>,</w:t>
      </w:r>
      <w:r>
        <w:t xml:space="preserve"> one way to achieve this would be to use </w:t>
      </w:r>
      <w:r w:rsidR="1A63A5BD">
        <w:t xml:space="preserve">configurations </w:t>
      </w:r>
      <w:proofErr w:type="gramStart"/>
      <w:r w:rsidR="1A63A5BD">
        <w:t>planned in advance</w:t>
      </w:r>
      <w:proofErr w:type="gramEnd"/>
      <w:r w:rsidR="1A63A5BD">
        <w:t>.</w:t>
      </w:r>
      <w:r>
        <w:t xml:space="preserve"> The cell identifiers / service area association configuration may be configured in </w:t>
      </w:r>
      <w:proofErr w:type="gramStart"/>
      <w:r>
        <w:t>advance, and</w:t>
      </w:r>
      <w:proofErr w:type="gramEnd"/>
      <w:r>
        <w:t xml:space="preserve"> become active or inactive with time. </w:t>
      </w:r>
    </w:p>
    <w:p w14:paraId="26EE16EB" w14:textId="77777777" w:rsidR="00C956C0" w:rsidRDefault="00C956C0" w:rsidP="000E1C95">
      <w:pPr>
        <w:jc w:val="both"/>
        <w:rPr>
          <w:bCs/>
          <w:lang w:val="en-US" w:eastAsia="sv-SE"/>
        </w:rPr>
      </w:pPr>
    </w:p>
    <w:p w14:paraId="0569B4D1" w14:textId="00498560" w:rsidR="00214E92" w:rsidRDefault="00214E92" w:rsidP="00214E92">
      <w:pPr>
        <w:jc w:val="both"/>
        <w:rPr>
          <w:b/>
          <w:bCs/>
        </w:rPr>
      </w:pPr>
      <w:r w:rsidRPr="00764142">
        <w:rPr>
          <w:b/>
          <w:bCs/>
        </w:rPr>
        <w:t xml:space="preserve">Observation </w:t>
      </w:r>
      <w:r w:rsidR="00CB3ED0">
        <w:rPr>
          <w:b/>
          <w:bCs/>
        </w:rPr>
        <w:t>3</w:t>
      </w:r>
      <w:r w:rsidRPr="00764142">
        <w:rPr>
          <w:b/>
          <w:bCs/>
        </w:rPr>
        <w:t xml:space="preserve">: </w:t>
      </w:r>
      <w:r w:rsidR="00CB3ED0">
        <w:rPr>
          <w:b/>
          <w:bCs/>
        </w:rPr>
        <w:t>For earth-moving satellites, which are under the scope of RAN2-125bis agreements, the service area, or cell identifiers – service area association, may change constantly over time.</w:t>
      </w:r>
    </w:p>
    <w:p w14:paraId="25D6B69B" w14:textId="77777777" w:rsidR="00CB3ED0" w:rsidRDefault="00CB3ED0" w:rsidP="00214E92">
      <w:pPr>
        <w:jc w:val="both"/>
      </w:pPr>
    </w:p>
    <w:p w14:paraId="6579D33A" w14:textId="52554F8A" w:rsidR="00CB3ED0" w:rsidRDefault="00CB3ED0" w:rsidP="00CB3ED0">
      <w:pPr>
        <w:jc w:val="both"/>
        <w:rPr>
          <w:b/>
          <w:bCs/>
        </w:rPr>
      </w:pPr>
      <w:r w:rsidRPr="00764142">
        <w:rPr>
          <w:b/>
          <w:bCs/>
        </w:rPr>
        <w:t xml:space="preserve">Observation </w:t>
      </w:r>
      <w:r w:rsidR="00955AF6">
        <w:rPr>
          <w:b/>
          <w:bCs/>
        </w:rPr>
        <w:t>4</w:t>
      </w:r>
      <w:r w:rsidRPr="00764142">
        <w:rPr>
          <w:b/>
          <w:bCs/>
        </w:rPr>
        <w:t xml:space="preserve">: </w:t>
      </w:r>
      <w:r>
        <w:rPr>
          <w:b/>
          <w:bCs/>
        </w:rPr>
        <w:t xml:space="preserve">For earth moving satellites, to avoid frequent network signalling, one way to solve the frequent change of service area and cell identifiers – service area association change would be to use configurations planned in advance, where the cell identifiers / service area association may be configured in </w:t>
      </w:r>
      <w:proofErr w:type="gramStart"/>
      <w:r>
        <w:rPr>
          <w:b/>
          <w:bCs/>
        </w:rPr>
        <w:t>advance, and</w:t>
      </w:r>
      <w:proofErr w:type="gramEnd"/>
      <w:r>
        <w:rPr>
          <w:b/>
          <w:bCs/>
        </w:rPr>
        <w:t xml:space="preserve"> become active or inactive with time.</w:t>
      </w:r>
    </w:p>
    <w:p w14:paraId="7AE88174" w14:textId="77777777" w:rsidR="00CB3ED0" w:rsidRDefault="00CB3ED0" w:rsidP="00CB3ED0">
      <w:pPr>
        <w:jc w:val="both"/>
        <w:rPr>
          <w:b/>
          <w:bCs/>
        </w:rPr>
      </w:pPr>
    </w:p>
    <w:p w14:paraId="3ED960E4" w14:textId="01F06867" w:rsidR="00CB3ED0" w:rsidRDefault="3DFD4EB7" w:rsidP="00CB3ED0">
      <w:pPr>
        <w:jc w:val="both"/>
        <w:rPr>
          <w:b/>
          <w:bCs/>
        </w:rPr>
      </w:pPr>
      <w:r w:rsidRPr="375A7C58">
        <w:rPr>
          <w:b/>
          <w:bCs/>
        </w:rPr>
        <w:t xml:space="preserve">Proposal 1: For earth moving satellites, to avoid frequent network signalling, configurations planned in advance are used, where the cell identifiers / service area association is configured in </w:t>
      </w:r>
      <w:proofErr w:type="gramStart"/>
      <w:r w:rsidRPr="375A7C58">
        <w:rPr>
          <w:b/>
          <w:bCs/>
        </w:rPr>
        <w:t>advance, and</w:t>
      </w:r>
      <w:proofErr w:type="gramEnd"/>
      <w:r w:rsidRPr="375A7C58">
        <w:rPr>
          <w:b/>
          <w:bCs/>
        </w:rPr>
        <w:t xml:space="preserve"> become active or inactive with time.</w:t>
      </w:r>
    </w:p>
    <w:p w14:paraId="5C96FA71" w14:textId="77777777" w:rsidR="00CB3ED0" w:rsidRDefault="00CB3ED0" w:rsidP="00CB3ED0">
      <w:pPr>
        <w:jc w:val="both"/>
        <w:rPr>
          <w:b/>
          <w:bCs/>
        </w:rPr>
      </w:pPr>
    </w:p>
    <w:p w14:paraId="422FB43B" w14:textId="7F327D66" w:rsidR="00CB3ED0" w:rsidRDefault="00CB3ED0" w:rsidP="00CB3ED0">
      <w:pPr>
        <w:jc w:val="both"/>
        <w:rPr>
          <w:b/>
          <w:bCs/>
        </w:rPr>
      </w:pPr>
      <w:r>
        <w:rPr>
          <w:b/>
          <w:bCs/>
        </w:rPr>
        <w:t>Proposal</w:t>
      </w:r>
      <w:r w:rsidRPr="00764142">
        <w:rPr>
          <w:b/>
          <w:bCs/>
        </w:rPr>
        <w:t xml:space="preserve"> </w:t>
      </w:r>
      <w:r>
        <w:rPr>
          <w:b/>
          <w:bCs/>
        </w:rPr>
        <w:t>2</w:t>
      </w:r>
      <w:r w:rsidRPr="00764142">
        <w:rPr>
          <w:b/>
          <w:bCs/>
        </w:rPr>
        <w:t xml:space="preserve">: </w:t>
      </w:r>
      <w:r>
        <w:rPr>
          <w:b/>
          <w:bCs/>
        </w:rPr>
        <w:t xml:space="preserve">RAN2 to send an LS to RAN3 about necessary change required to update the cell identifiers / service area association. This makes use of configurations planned in advance are used, where the cell identifiers / service area association is configured in </w:t>
      </w:r>
      <w:proofErr w:type="gramStart"/>
      <w:r>
        <w:rPr>
          <w:b/>
          <w:bCs/>
        </w:rPr>
        <w:t>advance, and</w:t>
      </w:r>
      <w:proofErr w:type="gramEnd"/>
      <w:r>
        <w:rPr>
          <w:b/>
          <w:bCs/>
        </w:rPr>
        <w:t xml:space="preserve"> become active or inactive with time.</w:t>
      </w:r>
    </w:p>
    <w:p w14:paraId="38C6EAEF" w14:textId="77777777" w:rsidR="00CB3ED0" w:rsidRDefault="00CB3ED0" w:rsidP="00CB3ED0">
      <w:pPr>
        <w:jc w:val="both"/>
        <w:rPr>
          <w:b/>
          <w:bCs/>
        </w:rPr>
      </w:pPr>
    </w:p>
    <w:p w14:paraId="0CBC682D" w14:textId="77777777" w:rsidR="00D25ABB" w:rsidRDefault="00D25ABB" w:rsidP="002349A0">
      <w:pPr>
        <w:jc w:val="both"/>
      </w:pPr>
    </w:p>
    <w:p w14:paraId="213695A7" w14:textId="77777777" w:rsidR="00AD1919" w:rsidRPr="002349A0" w:rsidRDefault="00AD1919" w:rsidP="00AD1919"/>
    <w:p w14:paraId="4617F3B8" w14:textId="6916AC4A" w:rsidR="002A5159" w:rsidRDefault="4FA23AD2" w:rsidP="002A5159">
      <w:pPr>
        <w:pStyle w:val="Heading2"/>
      </w:pPr>
      <w:r>
        <w:t>2.</w:t>
      </w:r>
      <w:r w:rsidR="789A1E3B">
        <w:t>3</w:t>
      </w:r>
      <w:r w:rsidR="00AD1919">
        <w:tab/>
      </w:r>
      <w:r>
        <w:t xml:space="preserve">Service area </w:t>
      </w:r>
      <w:r w:rsidR="002A5159">
        <w:t>content delivery</w:t>
      </w:r>
    </w:p>
    <w:p w14:paraId="6D246F93" w14:textId="6253423F" w:rsidR="00A05DF9" w:rsidRDefault="002A5159" w:rsidP="002737F3">
      <w:pPr>
        <w:spacing w:line="360" w:lineRule="auto"/>
        <w:jc w:val="both"/>
      </w:pPr>
      <w:r>
        <w:t xml:space="preserve">At RAN2-125bis meeting, the service area and associated content delivery was discussed. From </w:t>
      </w:r>
      <w:r w:rsidR="002737F3">
        <w:t xml:space="preserve">[4], the following </w:t>
      </w:r>
      <w:r w:rsidR="005C7BA4">
        <w:t xml:space="preserve">scenarios </w:t>
      </w:r>
      <w:r w:rsidR="002737F3">
        <w:t>were discussed:</w:t>
      </w:r>
    </w:p>
    <w:p w14:paraId="6EB3D5E9" w14:textId="77777777" w:rsidR="008F7CD1" w:rsidRPr="008F7CD1" w:rsidRDefault="008F7CD1" w:rsidP="008F7CD1">
      <w:pPr>
        <w:pStyle w:val="Comments"/>
        <w:rPr>
          <w:rFonts w:ascii="Times New Roman" w:eastAsia="Calibri" w:hAnsi="Times New Roman"/>
          <w:sz w:val="20"/>
          <w:lang w:val="sv-SE"/>
        </w:rPr>
      </w:pPr>
      <w:r w:rsidRPr="008F7CD1">
        <w:rPr>
          <w:rFonts w:ascii="Times New Roman" w:eastAsia="Calibri" w:hAnsi="Times New Roman"/>
          <w:sz w:val="20"/>
          <w:lang w:val="sv-SE"/>
        </w:rPr>
        <w:t xml:space="preserve">S1: The service area is </w:t>
      </w:r>
      <w:r w:rsidRPr="008F7CD1">
        <w:rPr>
          <w:rFonts w:ascii="Times New Roman" w:hAnsi="Times New Roman"/>
          <w:sz w:val="20"/>
          <w:lang w:val="sv-SE"/>
        </w:rPr>
        <w:t xml:space="preserve">a </w:t>
      </w:r>
      <w:r w:rsidRPr="008F7CD1">
        <w:rPr>
          <w:rFonts w:ascii="Times New Roman" w:eastAsia="Calibri" w:hAnsi="Times New Roman"/>
          <w:sz w:val="20"/>
          <w:lang w:val="sv-SE"/>
        </w:rPr>
        <w:t>portion of an NTN cell, and the Content of the service can only be received within the service area (e.g. bro</w:t>
      </w:r>
      <w:r w:rsidRPr="008F7CD1">
        <w:rPr>
          <w:rFonts w:ascii="Times New Roman" w:hAnsi="Times New Roman"/>
          <w:sz w:val="20"/>
          <w:lang w:val="sv-SE"/>
        </w:rPr>
        <w:t>a</w:t>
      </w:r>
      <w:r w:rsidRPr="008F7CD1">
        <w:rPr>
          <w:rFonts w:ascii="Times New Roman" w:eastAsia="Calibri" w:hAnsi="Times New Roman"/>
          <w:sz w:val="20"/>
          <w:lang w:val="sv-SE"/>
        </w:rPr>
        <w:t>dcast via a dedicated beam</w:t>
      </w:r>
      <w:r w:rsidRPr="008F7CD1">
        <w:rPr>
          <w:rFonts w:ascii="Times New Roman" w:hAnsi="Times New Roman"/>
          <w:sz w:val="20"/>
          <w:lang w:val="sv-SE"/>
        </w:rPr>
        <w:t xml:space="preserve">(s) </w:t>
      </w:r>
      <w:r w:rsidRPr="008F7CD1">
        <w:rPr>
          <w:rFonts w:ascii="Times New Roman" w:eastAsia="Calibri" w:hAnsi="Times New Roman"/>
          <w:sz w:val="20"/>
          <w:lang w:val="sv-SE"/>
        </w:rPr>
        <w:t>)</w:t>
      </w:r>
      <w:r w:rsidRPr="008F7CD1">
        <w:rPr>
          <w:rFonts w:ascii="Times New Roman" w:hAnsi="Times New Roman"/>
          <w:sz w:val="20"/>
          <w:lang w:val="sv-SE"/>
        </w:rPr>
        <w:t>.</w:t>
      </w:r>
    </w:p>
    <w:p w14:paraId="729362BD" w14:textId="77777777" w:rsidR="008F7CD1" w:rsidRPr="008F7CD1" w:rsidRDefault="008F7CD1" w:rsidP="008F7CD1">
      <w:pPr>
        <w:pStyle w:val="Comments"/>
        <w:rPr>
          <w:rFonts w:ascii="Times New Roman" w:eastAsia="Calibri" w:hAnsi="Times New Roman"/>
          <w:sz w:val="2"/>
          <w:szCs w:val="2"/>
          <w:lang w:val="sv-SE"/>
        </w:rPr>
      </w:pPr>
    </w:p>
    <w:p w14:paraId="04224735" w14:textId="351E9DAA" w:rsidR="008F7CD1" w:rsidRPr="008F7CD1" w:rsidRDefault="008F7CD1" w:rsidP="008F7CD1">
      <w:pPr>
        <w:pStyle w:val="Comments"/>
        <w:rPr>
          <w:rFonts w:ascii="Times New Roman" w:eastAsia="Calibri" w:hAnsi="Times New Roman"/>
          <w:sz w:val="20"/>
          <w:lang w:val="sv-SE"/>
        </w:rPr>
      </w:pPr>
      <w:r w:rsidRPr="008F7CD1">
        <w:rPr>
          <w:rFonts w:ascii="Times New Roman" w:eastAsia="Calibri" w:hAnsi="Times New Roman"/>
          <w:sz w:val="20"/>
          <w:lang w:val="sv-SE"/>
        </w:rPr>
        <w:lastRenderedPageBreak/>
        <w:t xml:space="preserve">S2: The service area is </w:t>
      </w:r>
      <w:r w:rsidRPr="008F7CD1">
        <w:rPr>
          <w:rFonts w:ascii="Times New Roman" w:hAnsi="Times New Roman"/>
          <w:sz w:val="20"/>
          <w:lang w:val="sv-SE"/>
        </w:rPr>
        <w:t xml:space="preserve">a </w:t>
      </w:r>
      <w:r w:rsidRPr="008F7CD1">
        <w:rPr>
          <w:rFonts w:ascii="Times New Roman" w:eastAsia="Calibri" w:hAnsi="Times New Roman"/>
          <w:sz w:val="20"/>
          <w:lang w:val="sv-SE"/>
        </w:rPr>
        <w:t>portion of an NTN cell, but the content of the service can be received within the whole cell</w:t>
      </w:r>
      <w:r w:rsidRPr="008F7CD1">
        <w:rPr>
          <w:rFonts w:ascii="Times New Roman" w:hAnsi="Times New Roman"/>
          <w:sz w:val="20"/>
          <w:lang w:val="sv-SE"/>
        </w:rPr>
        <w:t>.</w:t>
      </w:r>
    </w:p>
    <w:p w14:paraId="7C9A2109" w14:textId="77777777" w:rsidR="008F7CD1" w:rsidRPr="008F7CD1" w:rsidRDefault="008F7CD1" w:rsidP="008F7CD1">
      <w:pPr>
        <w:pStyle w:val="Comments"/>
        <w:rPr>
          <w:rFonts w:ascii="Times New Roman" w:eastAsia="Calibri" w:hAnsi="Times New Roman"/>
          <w:sz w:val="2"/>
          <w:szCs w:val="2"/>
          <w:lang w:val="sv-SE"/>
        </w:rPr>
      </w:pPr>
    </w:p>
    <w:p w14:paraId="32125D99" w14:textId="1B3FE0A7" w:rsidR="008F7CD1" w:rsidRPr="008F7CD1" w:rsidRDefault="008F7CD1" w:rsidP="008F7CD1">
      <w:pPr>
        <w:pStyle w:val="Comments"/>
        <w:rPr>
          <w:rFonts w:ascii="Times New Roman" w:hAnsi="Times New Roman"/>
          <w:sz w:val="20"/>
          <w:lang w:val="sv-SE"/>
        </w:rPr>
      </w:pPr>
      <w:r w:rsidRPr="008F7CD1">
        <w:rPr>
          <w:rFonts w:ascii="Times New Roman" w:eastAsia="Calibri" w:hAnsi="Times New Roman"/>
          <w:sz w:val="20"/>
          <w:lang w:val="sv-SE"/>
        </w:rPr>
        <w:t>S3: The intended service area consists of a list of NTN cell(s)/tracking area(s)</w:t>
      </w:r>
      <w:r w:rsidRPr="008F7CD1">
        <w:rPr>
          <w:rFonts w:ascii="Times New Roman" w:hAnsi="Times New Roman"/>
          <w:sz w:val="20"/>
          <w:lang w:val="sv-SE"/>
        </w:rPr>
        <w:t>.</w:t>
      </w:r>
    </w:p>
    <w:p w14:paraId="6726D846" w14:textId="77777777" w:rsidR="002737F3" w:rsidRPr="008F7CD1" w:rsidRDefault="002737F3" w:rsidP="002737F3">
      <w:pPr>
        <w:spacing w:line="360" w:lineRule="auto"/>
        <w:jc w:val="both"/>
        <w:rPr>
          <w:sz w:val="14"/>
          <w:szCs w:val="14"/>
          <w:lang w:val="sv-SE"/>
        </w:rPr>
      </w:pPr>
    </w:p>
    <w:p w14:paraId="65984F26" w14:textId="5A492A92" w:rsidR="00815001" w:rsidRDefault="00815001" w:rsidP="002349A0">
      <w:pPr>
        <w:rPr>
          <w:lang w:val="sv-SE"/>
        </w:rPr>
      </w:pPr>
      <w:r>
        <w:rPr>
          <w:lang w:val="sv-SE"/>
        </w:rPr>
        <w:t>A part of this discussion was partially solved with the RAN2-125 bis agreements 3 and 4 below:</w:t>
      </w:r>
    </w:p>
    <w:p w14:paraId="5D298668" w14:textId="77777777" w:rsidR="00815001" w:rsidRPr="00815001" w:rsidRDefault="00815001" w:rsidP="002349A0">
      <w:pPr>
        <w:rPr>
          <w:sz w:val="4"/>
          <w:szCs w:val="4"/>
          <w:lang w:val="sv-SE"/>
        </w:rPr>
      </w:pPr>
    </w:p>
    <w:p w14:paraId="7BC9560E" w14:textId="77777777" w:rsidR="00815001" w:rsidRPr="00A066A8" w:rsidRDefault="00815001" w:rsidP="00815001">
      <w:pPr>
        <w:pStyle w:val="Doc-text2"/>
        <w:pBdr>
          <w:top w:val="single" w:sz="4" w:space="1" w:color="auto"/>
          <w:left w:val="single" w:sz="4" w:space="4" w:color="auto"/>
          <w:bottom w:val="single" w:sz="4" w:space="1" w:color="auto"/>
          <w:right w:val="single" w:sz="4" w:space="4" w:color="auto"/>
        </w:pBdr>
      </w:pPr>
      <w:r>
        <w:t>RAN2-125bis a</w:t>
      </w:r>
      <w:r w:rsidRPr="00A066A8">
        <w:t>greements:</w:t>
      </w:r>
    </w:p>
    <w:p w14:paraId="53C936D4" w14:textId="3D607F6D" w:rsidR="00815001" w:rsidRPr="00A066A8" w:rsidRDefault="00815001" w:rsidP="00815001">
      <w:pPr>
        <w:pStyle w:val="Doc-text2"/>
        <w:numPr>
          <w:ilvl w:val="1"/>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w:t>
      </w:r>
    </w:p>
    <w:p w14:paraId="38367033" w14:textId="77777777" w:rsidR="00815001" w:rsidRPr="00A066A8" w:rsidRDefault="68016FA1" w:rsidP="00815001">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sv-SE"/>
        </w:rPr>
      </w:pPr>
      <w:r w:rsidRPr="375A7C58">
        <w:rPr>
          <w:highlight w:val="yellow"/>
          <w:lang w:val="sv-SE"/>
        </w:rPr>
        <w:t>We will cover at least the case where the indicated intended service area covers a portion of a NTN cell</w:t>
      </w:r>
    </w:p>
    <w:p w14:paraId="1B7B2F45" w14:textId="77777777" w:rsidR="00815001" w:rsidRPr="00A066A8" w:rsidRDefault="68016FA1" w:rsidP="00815001">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sv-SE"/>
        </w:rPr>
      </w:pPr>
      <w:r w:rsidRPr="375A7C58">
        <w:rPr>
          <w:highlight w:val="yellow"/>
          <w:lang w:val="sv-SE"/>
        </w:rPr>
        <w:t>The intended service area can cover the area of more than one NTN cells (or portions thereof)</w:t>
      </w:r>
    </w:p>
    <w:p w14:paraId="0B220CE9" w14:textId="0E92E181" w:rsidR="00815001" w:rsidRPr="00A066A8" w:rsidRDefault="00815001" w:rsidP="00815001">
      <w:pPr>
        <w:pStyle w:val="Doc-text2"/>
        <w:numPr>
          <w:ilvl w:val="1"/>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3455F148" w14:textId="77777777" w:rsidR="00815001" w:rsidRPr="00A066A8" w:rsidRDefault="00815001" w:rsidP="00815001">
      <w:pPr>
        <w:pStyle w:val="Comments"/>
      </w:pPr>
    </w:p>
    <w:p w14:paraId="77834B83" w14:textId="119BF3D4" w:rsidR="00815001" w:rsidRPr="00815001" w:rsidRDefault="006640E5" w:rsidP="002349A0">
      <w:r>
        <w:t xml:space="preserve">There is still, however, an open issue, as concluded below from RAN2-125-bis: </w:t>
      </w:r>
    </w:p>
    <w:p w14:paraId="1FEFE416" w14:textId="77777777" w:rsidR="006640E5" w:rsidRPr="00815001" w:rsidRDefault="006640E5" w:rsidP="006640E5">
      <w:pPr>
        <w:pStyle w:val="Agreement"/>
        <w:tabs>
          <w:tab w:val="clear" w:pos="9990"/>
        </w:tabs>
        <w:overflowPunct/>
        <w:autoSpaceDE/>
        <w:autoSpaceDN/>
        <w:adjustRightInd/>
        <w:ind w:left="1619" w:hanging="360"/>
        <w:textAlignment w:val="auto"/>
        <w:rPr>
          <w:b w:val="0"/>
          <w:bCs/>
          <w:i/>
          <w:iCs/>
          <w:lang w:val="sv-SE"/>
        </w:rPr>
      </w:pPr>
      <w:r w:rsidRPr="00815001">
        <w:rPr>
          <w:b w:val="0"/>
          <w:bCs/>
          <w:i/>
          <w:iCs/>
          <w:lang w:val="sv-SE"/>
        </w:rPr>
        <w:t>Can discuss next time whether the broadcast transmission can be limited to the intended service area only (i.e. no transmission happens outside of the intended serive area)</w:t>
      </w:r>
    </w:p>
    <w:p w14:paraId="510DEDB1" w14:textId="77777777" w:rsidR="006640E5" w:rsidRDefault="006640E5" w:rsidP="006640E5">
      <w:pPr>
        <w:rPr>
          <w:lang w:val="sv-SE"/>
        </w:rPr>
      </w:pPr>
    </w:p>
    <w:p w14:paraId="0E12D856" w14:textId="77777777" w:rsidR="00815001" w:rsidRDefault="007B6184" w:rsidP="002349A0">
      <w:r>
        <w:t xml:space="preserve">We need to make the distinction between the transmission and the reception. From the transmitter viewpoint, it appears that precluding the transmission outside of the intended service area would increase complexity of the solution. From the receiver viewpoint, while </w:t>
      </w:r>
      <w:r w:rsidR="00815001">
        <w:t>power consumption optimizations for UEs currently outside of the intended service area are not precluded, it shall be possible for the UE to join the service even if the UE is outside of the intended service area.</w:t>
      </w:r>
    </w:p>
    <w:p w14:paraId="6151341B" w14:textId="77777777" w:rsidR="00815001" w:rsidRDefault="00815001" w:rsidP="002349A0"/>
    <w:p w14:paraId="4E040E59" w14:textId="26F74432" w:rsidR="00815001" w:rsidRPr="00815001" w:rsidRDefault="68016FA1" w:rsidP="00815001">
      <w:pPr>
        <w:rPr>
          <w:b/>
          <w:bCs/>
        </w:rPr>
      </w:pPr>
      <w:r w:rsidRPr="375A7C58">
        <w:rPr>
          <w:b/>
          <w:bCs/>
        </w:rPr>
        <w:t xml:space="preserve">Observation </w:t>
      </w:r>
      <w:r w:rsidR="0AC4A6A8" w:rsidRPr="375A7C58">
        <w:rPr>
          <w:b/>
          <w:bCs/>
        </w:rPr>
        <w:t>5</w:t>
      </w:r>
      <w:r w:rsidRPr="375A7C58">
        <w:rPr>
          <w:b/>
          <w:bCs/>
        </w:rPr>
        <w:t>: We need to make the distinction between the transmission and the reception:</w:t>
      </w:r>
      <w:r w:rsidR="00815001">
        <w:br/>
      </w:r>
      <w:r w:rsidRPr="375A7C58">
        <w:rPr>
          <w:b/>
          <w:bCs/>
        </w:rPr>
        <w:t>- For the transmission, preventing it outside of the intended service area would increase complexity of the solution.</w:t>
      </w:r>
      <w:r w:rsidR="00815001">
        <w:br/>
      </w:r>
      <w:r w:rsidRPr="375A7C58">
        <w:rPr>
          <w:b/>
          <w:bCs/>
        </w:rPr>
        <w:t xml:space="preserve">- For the reception, while power consumption optimizations for UEs currently outside of the intended service area are not precluded, it shall be possible for the UE to join the service </w:t>
      </w:r>
      <w:r w:rsidR="0D603DF8" w:rsidRPr="375A7C58">
        <w:rPr>
          <w:b/>
          <w:bCs/>
        </w:rPr>
        <w:t>if it is in the corresponding transmitted service area.</w:t>
      </w:r>
    </w:p>
    <w:p w14:paraId="1AE8516B" w14:textId="0CA74414" w:rsidR="00815001" w:rsidRPr="00815001" w:rsidRDefault="00815001" w:rsidP="00815001">
      <w:pPr>
        <w:jc w:val="both"/>
        <w:rPr>
          <w:b/>
          <w:bCs/>
        </w:rPr>
      </w:pPr>
    </w:p>
    <w:p w14:paraId="1ED7B268" w14:textId="4291ED2A" w:rsidR="006640E5" w:rsidRDefault="68016FA1" w:rsidP="00815001">
      <w:pPr>
        <w:rPr>
          <w:b/>
          <w:bCs/>
        </w:rPr>
      </w:pPr>
      <w:r w:rsidRPr="375A7C58">
        <w:rPr>
          <w:b/>
          <w:bCs/>
        </w:rPr>
        <w:t xml:space="preserve">Proposal </w:t>
      </w:r>
      <w:r w:rsidR="6A924C9F" w:rsidRPr="375A7C58">
        <w:rPr>
          <w:b/>
          <w:bCs/>
        </w:rPr>
        <w:t>3</w:t>
      </w:r>
      <w:r w:rsidRPr="375A7C58">
        <w:rPr>
          <w:b/>
          <w:bCs/>
        </w:rPr>
        <w:t>: With regards to the service area and content delivery, agree on the following:</w:t>
      </w:r>
      <w:r w:rsidR="00815001">
        <w:br/>
      </w:r>
      <w:r w:rsidR="00815001">
        <w:br/>
      </w:r>
      <w:r w:rsidRPr="375A7C58">
        <w:rPr>
          <w:b/>
          <w:bCs/>
        </w:rPr>
        <w:t xml:space="preserve">- </w:t>
      </w:r>
      <w:r w:rsidR="682D23C9" w:rsidRPr="375A7C58">
        <w:rPr>
          <w:b/>
          <w:bCs/>
        </w:rPr>
        <w:t>The transmission is not restricted outside of the intended service area.</w:t>
      </w:r>
      <w:r w:rsidR="00815001">
        <w:br/>
      </w:r>
      <w:r w:rsidR="682D23C9" w:rsidRPr="375A7C58">
        <w:rPr>
          <w:b/>
          <w:bCs/>
        </w:rPr>
        <w:t>- It is possible for a UE to join a new service area</w:t>
      </w:r>
      <w:r w:rsidR="0D603DF8" w:rsidRPr="375A7C58">
        <w:rPr>
          <w:b/>
          <w:bCs/>
        </w:rPr>
        <w:t xml:space="preserve"> if in the corresponding transmitted service area.</w:t>
      </w:r>
      <w:r w:rsidR="00815001">
        <w:br/>
      </w:r>
      <w:r w:rsidR="682D23C9" w:rsidRPr="375A7C58">
        <w:rPr>
          <w:b/>
          <w:bCs/>
        </w:rPr>
        <w:t xml:space="preserve">- Power optimizations for a UE currently not part of a service area </w:t>
      </w:r>
      <w:proofErr w:type="gramStart"/>
      <w:r w:rsidR="682D23C9" w:rsidRPr="375A7C58">
        <w:rPr>
          <w:b/>
          <w:bCs/>
        </w:rPr>
        <w:t>are</w:t>
      </w:r>
      <w:proofErr w:type="gramEnd"/>
      <w:r w:rsidR="682D23C9" w:rsidRPr="375A7C58">
        <w:rPr>
          <w:b/>
          <w:bCs/>
        </w:rPr>
        <w:t xml:space="preserve"> not precluded.    </w:t>
      </w:r>
    </w:p>
    <w:p w14:paraId="0E7C5E6C" w14:textId="3C56701C" w:rsidR="004D7916" w:rsidRPr="003203DE" w:rsidRDefault="004D7916" w:rsidP="00695E76">
      <w:pPr>
        <w:jc w:val="both"/>
        <w:rPr>
          <w:b/>
          <w:bCs/>
        </w:rPr>
      </w:pPr>
    </w:p>
    <w:p w14:paraId="69B7B8E6" w14:textId="69E07FC9" w:rsidR="009339CB" w:rsidRPr="00451A30" w:rsidRDefault="005A13AB" w:rsidP="009339CB">
      <w:pPr>
        <w:pStyle w:val="Heading1"/>
      </w:pPr>
      <w:r w:rsidRPr="00451A30">
        <w:t>3</w:t>
      </w:r>
      <w:r w:rsidR="009339CB" w:rsidRPr="00451A30">
        <w:tab/>
        <w:t>Conclusion</w:t>
      </w:r>
    </w:p>
    <w:p w14:paraId="6E24B0F4" w14:textId="22F987CD" w:rsidR="009339CB" w:rsidRPr="00451A30" w:rsidRDefault="112B3D0C" w:rsidP="00695E76">
      <w:pPr>
        <w:jc w:val="both"/>
      </w:pPr>
      <w:r>
        <w:t>In t</w:t>
      </w:r>
      <w:r w:rsidR="385C1AF4">
        <w:t>his document the following observations</w:t>
      </w:r>
      <w:r w:rsidR="113EB586">
        <w:t xml:space="preserve"> and proposals</w:t>
      </w:r>
      <w:r>
        <w:t xml:space="preserve"> have been made</w:t>
      </w:r>
      <w:r w:rsidR="385C1AF4">
        <w:t>:</w:t>
      </w:r>
    </w:p>
    <w:p w14:paraId="17A5D321" w14:textId="6D32C5E6" w:rsidR="00E83213" w:rsidRPr="00E83213" w:rsidRDefault="028568DE" w:rsidP="00695E76">
      <w:pPr>
        <w:jc w:val="both"/>
      </w:pPr>
      <w:r w:rsidRPr="375A7C58">
        <w:rPr>
          <w:b/>
          <w:bCs/>
        </w:rPr>
        <w:t>Observation 1: One use case for MBS Rel-19 NTN is ubiquitous coverage with low data rates, e.g. to fulfil digital radio.</w:t>
      </w:r>
    </w:p>
    <w:p w14:paraId="385F9BE5" w14:textId="67395759" w:rsidR="00E83213" w:rsidRPr="00E83213" w:rsidRDefault="028568DE" w:rsidP="375A7C58">
      <w:pPr>
        <w:rPr>
          <w:b/>
          <w:bCs/>
        </w:rPr>
      </w:pPr>
      <w:r w:rsidRPr="375A7C58">
        <w:rPr>
          <w:b/>
          <w:bCs/>
        </w:rPr>
        <w:t xml:space="preserve">Observation 2: Service continuity is an important requirement for MBS Rel-19 NTN. This includes ensuring that the service remains available when the visible satellite changes </w:t>
      </w:r>
      <w:proofErr w:type="gramStart"/>
      <w:r w:rsidRPr="375A7C58">
        <w:rPr>
          <w:b/>
          <w:bCs/>
        </w:rPr>
        <w:t>and also</w:t>
      </w:r>
      <w:proofErr w:type="gramEnd"/>
      <w:r w:rsidRPr="375A7C58">
        <w:rPr>
          <w:b/>
          <w:bCs/>
        </w:rPr>
        <w:t xml:space="preserve"> ensuring service continuity when the UE changes cell within the service area.</w:t>
      </w:r>
    </w:p>
    <w:p w14:paraId="625DDAE4" w14:textId="00498560" w:rsidR="00E83213" w:rsidRPr="00E83213" w:rsidRDefault="028568DE" w:rsidP="375A7C58">
      <w:pPr>
        <w:jc w:val="both"/>
        <w:rPr>
          <w:b/>
          <w:bCs/>
        </w:rPr>
      </w:pPr>
      <w:r w:rsidRPr="375A7C58">
        <w:rPr>
          <w:b/>
          <w:bCs/>
        </w:rPr>
        <w:t>Observation 3: For earth-moving satellites, which are under the scope of RAN2-125bis agreements, the service area, or cell identifiers – service area association, may change constantly over time.</w:t>
      </w:r>
    </w:p>
    <w:p w14:paraId="62C7DFCF" w14:textId="77777777" w:rsidR="00E83213" w:rsidRPr="00E83213" w:rsidRDefault="00E83213" w:rsidP="00695E76">
      <w:pPr>
        <w:jc w:val="both"/>
      </w:pPr>
    </w:p>
    <w:p w14:paraId="0D42739B" w14:textId="52554F8A" w:rsidR="00E83213" w:rsidRPr="00E83213" w:rsidRDefault="028568DE" w:rsidP="375A7C58">
      <w:pPr>
        <w:jc w:val="both"/>
        <w:rPr>
          <w:b/>
          <w:bCs/>
        </w:rPr>
      </w:pPr>
      <w:r w:rsidRPr="375A7C58">
        <w:rPr>
          <w:b/>
          <w:bCs/>
        </w:rPr>
        <w:lastRenderedPageBreak/>
        <w:t xml:space="preserve">Observation 4: For earth moving satellites, to avoid frequent network signalling, one way to solve the frequent change of service area and cell identifiers – service area association change would be to use configurations planned in advance, where the cell identifiers / service area association may be configured in </w:t>
      </w:r>
      <w:proofErr w:type="gramStart"/>
      <w:r w:rsidRPr="375A7C58">
        <w:rPr>
          <w:b/>
          <w:bCs/>
        </w:rPr>
        <w:t>advance, and</w:t>
      </w:r>
      <w:proofErr w:type="gramEnd"/>
      <w:r w:rsidRPr="375A7C58">
        <w:rPr>
          <w:b/>
          <w:bCs/>
        </w:rPr>
        <w:t xml:space="preserve"> become active or inactive with time.</w:t>
      </w:r>
    </w:p>
    <w:p w14:paraId="65FE57C5" w14:textId="77777777" w:rsidR="00E83213" w:rsidRPr="00E83213" w:rsidRDefault="00E83213" w:rsidP="375A7C58">
      <w:pPr>
        <w:jc w:val="both"/>
        <w:rPr>
          <w:b/>
          <w:bCs/>
        </w:rPr>
      </w:pPr>
    </w:p>
    <w:p w14:paraId="2F1517D2" w14:textId="01F06867" w:rsidR="00E83213" w:rsidRPr="00E83213" w:rsidRDefault="028568DE" w:rsidP="375A7C58">
      <w:pPr>
        <w:jc w:val="both"/>
        <w:rPr>
          <w:b/>
          <w:bCs/>
        </w:rPr>
      </w:pPr>
      <w:r w:rsidRPr="375A7C58">
        <w:rPr>
          <w:b/>
          <w:bCs/>
        </w:rPr>
        <w:t xml:space="preserve">Proposal 1: For earth moving satellites, to avoid frequent network signalling, configurations planned in advance are used, where the cell identifiers / service area association is configured in </w:t>
      </w:r>
      <w:proofErr w:type="gramStart"/>
      <w:r w:rsidRPr="375A7C58">
        <w:rPr>
          <w:b/>
          <w:bCs/>
        </w:rPr>
        <w:t>advance, and</w:t>
      </w:r>
      <w:proofErr w:type="gramEnd"/>
      <w:r w:rsidRPr="375A7C58">
        <w:rPr>
          <w:b/>
          <w:bCs/>
        </w:rPr>
        <w:t xml:space="preserve"> become active or inactive with time.</w:t>
      </w:r>
    </w:p>
    <w:p w14:paraId="4AF8EA90" w14:textId="77777777" w:rsidR="00E83213" w:rsidRPr="00E83213" w:rsidRDefault="00E83213" w:rsidP="375A7C58">
      <w:pPr>
        <w:jc w:val="both"/>
        <w:rPr>
          <w:b/>
          <w:bCs/>
        </w:rPr>
      </w:pPr>
    </w:p>
    <w:p w14:paraId="5799B8ED" w14:textId="7F327D66" w:rsidR="00E83213" w:rsidRPr="00E83213" w:rsidRDefault="028568DE" w:rsidP="375A7C58">
      <w:pPr>
        <w:jc w:val="both"/>
        <w:rPr>
          <w:b/>
          <w:bCs/>
        </w:rPr>
      </w:pPr>
      <w:r w:rsidRPr="375A7C58">
        <w:rPr>
          <w:b/>
          <w:bCs/>
        </w:rPr>
        <w:t xml:space="preserve">Proposal 2: RAN2 to send an LS to RAN3 about necessary change required to update the cell identifiers / service area association. This makes use of configurations planned in advance are used, where the cell identifiers / service area association is configured in </w:t>
      </w:r>
      <w:proofErr w:type="gramStart"/>
      <w:r w:rsidRPr="375A7C58">
        <w:rPr>
          <w:b/>
          <w:bCs/>
        </w:rPr>
        <w:t>advance, and</w:t>
      </w:r>
      <w:proofErr w:type="gramEnd"/>
      <w:r w:rsidRPr="375A7C58">
        <w:rPr>
          <w:b/>
          <w:bCs/>
        </w:rPr>
        <w:t xml:space="preserve"> become active or inactive with time.</w:t>
      </w:r>
    </w:p>
    <w:p w14:paraId="7C5FC57A" w14:textId="77777777" w:rsidR="00E83213" w:rsidRPr="00E83213" w:rsidRDefault="00E83213" w:rsidP="375A7C58">
      <w:pPr>
        <w:jc w:val="both"/>
        <w:rPr>
          <w:b/>
          <w:bCs/>
        </w:rPr>
      </w:pPr>
    </w:p>
    <w:p w14:paraId="48AA1847" w14:textId="26F74432" w:rsidR="00E83213" w:rsidRPr="00E83213" w:rsidRDefault="2E710059" w:rsidP="375A7C58">
      <w:pPr>
        <w:rPr>
          <w:b/>
          <w:bCs/>
        </w:rPr>
      </w:pPr>
      <w:r w:rsidRPr="375A7C58">
        <w:rPr>
          <w:b/>
          <w:bCs/>
        </w:rPr>
        <w:t>Observation 5: We need to make the distinction between the transmission and the reception:</w:t>
      </w:r>
      <w:r w:rsidR="00E83213">
        <w:br/>
      </w:r>
      <w:r w:rsidRPr="375A7C58">
        <w:rPr>
          <w:b/>
          <w:bCs/>
        </w:rPr>
        <w:t>- For the transmission, preventing it outside of the intended service area would increase complexity of the solution.</w:t>
      </w:r>
      <w:r w:rsidR="00E83213">
        <w:br/>
      </w:r>
      <w:r w:rsidRPr="375A7C58">
        <w:rPr>
          <w:b/>
          <w:bCs/>
        </w:rPr>
        <w:t>- For the reception, while power consumption optimizations for UEs currently outside of the intended service area are not precluded, it shall be possible for the UE to join the service if it is in the corresponding transmitted service area.</w:t>
      </w:r>
    </w:p>
    <w:p w14:paraId="7C6DBE76" w14:textId="0CA74414" w:rsidR="00E83213" w:rsidRPr="00E83213" w:rsidRDefault="00E83213" w:rsidP="375A7C58">
      <w:pPr>
        <w:jc w:val="both"/>
        <w:rPr>
          <w:b/>
          <w:bCs/>
        </w:rPr>
      </w:pPr>
    </w:p>
    <w:p w14:paraId="1FE5F4D5" w14:textId="4291ED2A" w:rsidR="00E83213" w:rsidRPr="00E83213" w:rsidRDefault="2E710059" w:rsidP="375A7C58">
      <w:pPr>
        <w:rPr>
          <w:b/>
          <w:bCs/>
        </w:rPr>
      </w:pPr>
      <w:r w:rsidRPr="375A7C58">
        <w:rPr>
          <w:b/>
          <w:bCs/>
        </w:rPr>
        <w:t>Proposal 3: With regards to the service area and content delivery, agree on the following:</w:t>
      </w:r>
      <w:r w:rsidR="00E83213">
        <w:br/>
      </w:r>
      <w:r w:rsidR="00E83213">
        <w:br/>
      </w:r>
      <w:r w:rsidRPr="375A7C58">
        <w:rPr>
          <w:b/>
          <w:bCs/>
        </w:rPr>
        <w:t>- The transmission is not restricted outside of the intended service area.</w:t>
      </w:r>
      <w:r w:rsidR="00E83213">
        <w:br/>
      </w:r>
      <w:r w:rsidRPr="375A7C58">
        <w:rPr>
          <w:b/>
          <w:bCs/>
        </w:rPr>
        <w:t>- It is possible for a UE to join a new service area if in the corresponding transmitted service area.</w:t>
      </w:r>
      <w:r w:rsidR="00E83213">
        <w:br/>
      </w:r>
      <w:r w:rsidRPr="375A7C58">
        <w:rPr>
          <w:b/>
          <w:bCs/>
        </w:rPr>
        <w:t xml:space="preserve">- Power optimizations for a UE currently not part of a service area </w:t>
      </w:r>
      <w:proofErr w:type="gramStart"/>
      <w:r w:rsidRPr="375A7C58">
        <w:rPr>
          <w:b/>
          <w:bCs/>
        </w:rPr>
        <w:t>are</w:t>
      </w:r>
      <w:proofErr w:type="gramEnd"/>
      <w:r w:rsidRPr="375A7C58">
        <w:rPr>
          <w:b/>
          <w:bCs/>
        </w:rPr>
        <w:t xml:space="preserve"> not precluded.    </w:t>
      </w:r>
    </w:p>
    <w:p w14:paraId="5D55E80D" w14:textId="3C56701C" w:rsidR="00E83213" w:rsidRPr="00E83213" w:rsidRDefault="00E83213" w:rsidP="375A7C58">
      <w:pPr>
        <w:jc w:val="both"/>
        <w:rPr>
          <w:b/>
          <w:bCs/>
        </w:rPr>
      </w:pPr>
    </w:p>
    <w:p w14:paraId="24AF2CAD" w14:textId="0C7ABC1B" w:rsidR="00E83213" w:rsidRPr="00E83213" w:rsidRDefault="00E83213" w:rsidP="375A7C58">
      <w:pPr>
        <w:jc w:val="both"/>
        <w:rPr>
          <w:b/>
          <w:bCs/>
        </w:rPr>
      </w:pPr>
    </w:p>
    <w:p w14:paraId="611FF723" w14:textId="360F883E" w:rsidR="00E83213" w:rsidRPr="00E83213" w:rsidRDefault="00E83213" w:rsidP="375A7C58">
      <w:pPr>
        <w:jc w:val="both"/>
      </w:pPr>
    </w:p>
    <w:p w14:paraId="71870D3F" w14:textId="3F1256E0" w:rsidR="00E83213" w:rsidRPr="00E83213" w:rsidRDefault="00E83213" w:rsidP="375A7C58">
      <w:pPr>
        <w:jc w:val="both"/>
      </w:pPr>
    </w:p>
    <w:p w14:paraId="35F222F4" w14:textId="49F8A976" w:rsidR="00080512" w:rsidRPr="003203DE" w:rsidRDefault="00080512" w:rsidP="00695E76">
      <w:pPr>
        <w:jc w:val="both"/>
        <w:rPr>
          <w:b/>
          <w:bCs/>
        </w:rPr>
      </w:pPr>
    </w:p>
    <w:p w14:paraId="436A6044" w14:textId="49C79723" w:rsidR="002277FE" w:rsidRPr="00451A30" w:rsidRDefault="002277FE">
      <w:pPr>
        <w:pStyle w:val="Heading1"/>
      </w:pPr>
      <w:r w:rsidRPr="00451A30">
        <w:t>References</w:t>
      </w:r>
    </w:p>
    <w:p w14:paraId="10924A7A" w14:textId="7E2A4BD0" w:rsidR="002277FE" w:rsidRDefault="002277FE" w:rsidP="00C5682E">
      <w:pPr>
        <w:pStyle w:val="ListParagraph"/>
        <w:numPr>
          <w:ilvl w:val="0"/>
          <w:numId w:val="18"/>
        </w:numPr>
      </w:pPr>
      <w:bookmarkStart w:id="0" w:name="_Ref161771711"/>
      <w:r w:rsidRPr="00451A30">
        <w:t>RP-2</w:t>
      </w:r>
      <w:r w:rsidR="002B5316">
        <w:t>40775</w:t>
      </w:r>
      <w:r w:rsidRPr="00451A30">
        <w:t xml:space="preserve"> </w:t>
      </w:r>
      <w:r w:rsidR="002B5316" w:rsidRPr="002B5316">
        <w:rPr>
          <w:i/>
          <w:iCs/>
        </w:rPr>
        <w:t>Revised WID: Non-Terrestrial Networks (NTN) for NR Phase 3</w:t>
      </w:r>
      <w:r w:rsidR="00C5682E">
        <w:t xml:space="preserve"> 3GPP TSG RAN Meeting #103 Maastricht, The Netherlands, March 18-22, 2024</w:t>
      </w:r>
      <w:bookmarkEnd w:id="0"/>
    </w:p>
    <w:p w14:paraId="5E58158C" w14:textId="67CC0B2E" w:rsidR="00051454" w:rsidRDefault="008F3533" w:rsidP="002277FE">
      <w:pPr>
        <w:pStyle w:val="ListParagraph"/>
        <w:numPr>
          <w:ilvl w:val="0"/>
          <w:numId w:val="18"/>
        </w:numPr>
      </w:pPr>
      <w:r>
        <w:t>R2-</w:t>
      </w:r>
      <w:r w:rsidR="00A630CC">
        <w:t>2403320, RAN2-125bis meet</w:t>
      </w:r>
      <w:r w:rsidR="00A630CC" w:rsidRPr="00A630CC">
        <w:t xml:space="preserve">ing, “Support for broadcast service in non-terrestrial networks”, </w:t>
      </w:r>
      <w:proofErr w:type="spellStart"/>
      <w:r w:rsidR="00A630CC" w:rsidRPr="00A630CC">
        <w:t>InterDigital</w:t>
      </w:r>
      <w:proofErr w:type="spellEnd"/>
      <w:r w:rsidR="00AC2ABC" w:rsidRPr="00A630CC">
        <w:t>.</w:t>
      </w:r>
    </w:p>
    <w:p w14:paraId="4DC04800" w14:textId="2A401D1F" w:rsidR="002D645C" w:rsidRDefault="002D645C" w:rsidP="002277FE">
      <w:pPr>
        <w:pStyle w:val="ListParagraph"/>
        <w:numPr>
          <w:ilvl w:val="0"/>
          <w:numId w:val="18"/>
        </w:numPr>
      </w:pPr>
      <w:r>
        <w:t>R2-2403306, RAN2-125bis meet</w:t>
      </w:r>
      <w:r w:rsidRPr="00A630CC">
        <w:t>ing, “</w:t>
      </w:r>
      <w:r w:rsidRPr="002D645C">
        <w:t>On MBS Service Area Signalling in Rel-19 NTN</w:t>
      </w:r>
      <w:r w:rsidRPr="00A630CC">
        <w:t xml:space="preserve">”, </w:t>
      </w:r>
      <w:r>
        <w:t>Nokia</w:t>
      </w:r>
      <w:r w:rsidRPr="00A630CC">
        <w:t>.</w:t>
      </w:r>
    </w:p>
    <w:p w14:paraId="58DCD637" w14:textId="6E4C91A9" w:rsidR="002113A5" w:rsidRPr="00A630CC" w:rsidRDefault="002113A5" w:rsidP="002113A5">
      <w:pPr>
        <w:pStyle w:val="ListParagraph"/>
        <w:numPr>
          <w:ilvl w:val="0"/>
          <w:numId w:val="18"/>
        </w:numPr>
      </w:pPr>
      <w:r>
        <w:t>R2-2402355, RAN2-125bis meet</w:t>
      </w:r>
      <w:r w:rsidRPr="00A630CC">
        <w:t>ing, “</w:t>
      </w:r>
      <w:r w:rsidRPr="00A066A8">
        <w:t>Discussion on support of broadcast service via NR NTN</w:t>
      </w:r>
      <w:r w:rsidRPr="00A630CC">
        <w:t xml:space="preserve">”, </w:t>
      </w:r>
      <w:r w:rsidRPr="00A066A8">
        <w:t>CATT, China Broadnet</w:t>
      </w:r>
      <w:r w:rsidRPr="00A630CC">
        <w:t>.</w:t>
      </w:r>
    </w:p>
    <w:p w14:paraId="0B9E7435" w14:textId="77777777" w:rsidR="002113A5" w:rsidRPr="00A630CC" w:rsidRDefault="002113A5" w:rsidP="002113A5">
      <w:pPr>
        <w:pStyle w:val="ListParagraph"/>
      </w:pPr>
    </w:p>
    <w:sectPr w:rsidR="002113A5" w:rsidRPr="00A630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59C3B" w14:textId="77777777" w:rsidR="0079255A" w:rsidRDefault="0079255A">
      <w:r>
        <w:separator/>
      </w:r>
    </w:p>
  </w:endnote>
  <w:endnote w:type="continuationSeparator" w:id="0">
    <w:p w14:paraId="2ED09EB7" w14:textId="77777777" w:rsidR="0079255A" w:rsidRDefault="0079255A">
      <w:r>
        <w:continuationSeparator/>
      </w:r>
    </w:p>
  </w:endnote>
  <w:endnote w:type="continuationNotice" w:id="1">
    <w:p w14:paraId="197FAF42" w14:textId="77777777" w:rsidR="0079255A" w:rsidRDefault="00792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9CFCA" w14:textId="77777777" w:rsidR="0079255A" w:rsidRDefault="0079255A">
      <w:r>
        <w:separator/>
      </w:r>
    </w:p>
  </w:footnote>
  <w:footnote w:type="continuationSeparator" w:id="0">
    <w:p w14:paraId="207886A1" w14:textId="77777777" w:rsidR="0079255A" w:rsidRDefault="0079255A">
      <w:r>
        <w:continuationSeparator/>
      </w:r>
    </w:p>
  </w:footnote>
  <w:footnote w:type="continuationNotice" w:id="1">
    <w:p w14:paraId="634588F6" w14:textId="77777777" w:rsidR="0079255A" w:rsidRDefault="00792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2849DD90"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263AF95A"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4148AEE3"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77129"/>
    <w:multiLevelType w:val="multilevel"/>
    <w:tmpl w:val="FC04BB2C"/>
    <w:lvl w:ilvl="0">
      <w:start w:val="5"/>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3" w15:restartNumberingAfterBreak="0">
    <w:nsid w:val="1C657E04"/>
    <w:multiLevelType w:val="multilevel"/>
    <w:tmpl w:val="63B0D67A"/>
    <w:lvl w:ilvl="0">
      <w:start w:val="3"/>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4" w15:restartNumberingAfterBreak="0">
    <w:nsid w:val="23152359"/>
    <w:multiLevelType w:val="multilevel"/>
    <w:tmpl w:val="996A003A"/>
    <w:lvl w:ilvl="0">
      <w:start w:val="1"/>
      <w:numFmt w:val="decimal"/>
      <w:lvlText w:val="%1"/>
      <w:lvlJc w:val="left"/>
      <w:pPr>
        <w:ind w:left="360" w:hanging="360"/>
      </w:pPr>
      <w:rPr>
        <w:rFonts w:hint="default"/>
      </w:rPr>
    </w:lvl>
    <w:lvl w:ilvl="1">
      <w:start w:val="2"/>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5044B29"/>
    <w:multiLevelType w:val="multilevel"/>
    <w:tmpl w:val="301CE87E"/>
    <w:lvl w:ilvl="0">
      <w:start w:val="5"/>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2" w15:restartNumberingAfterBreak="0">
    <w:nsid w:val="671D1625"/>
    <w:multiLevelType w:val="multilevel"/>
    <w:tmpl w:val="65003F6A"/>
    <w:lvl w:ilvl="0">
      <w:start w:val="2"/>
      <w:numFmt w:val="decimal"/>
      <w:lvlText w:val="%1-"/>
      <w:lvlJc w:val="left"/>
      <w:pPr>
        <w:ind w:left="360" w:hanging="360"/>
      </w:pPr>
      <w:rPr>
        <w:rFonts w:hint="default"/>
      </w:rPr>
    </w:lvl>
    <w:lvl w:ilvl="1">
      <w:start w:val="6"/>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3" w15:restartNumberingAfterBreak="0">
    <w:nsid w:val="69E67A69"/>
    <w:multiLevelType w:val="multilevel"/>
    <w:tmpl w:val="CE320576"/>
    <w:lvl w:ilvl="0">
      <w:start w:val="1"/>
      <w:numFmt w:val="decimal"/>
      <w:lvlText w:val="%1-"/>
      <w:lvlJc w:val="left"/>
      <w:pPr>
        <w:ind w:left="360" w:hanging="360"/>
      </w:pPr>
      <w:rPr>
        <w:rFonts w:hint="default"/>
      </w:rPr>
    </w:lvl>
    <w:lvl w:ilvl="1">
      <w:start w:val="3"/>
      <w:numFmt w:val="decimal"/>
      <w:lvlText w:val="%1-%2."/>
      <w:lvlJc w:val="left"/>
      <w:pPr>
        <w:ind w:left="1619" w:hanging="360"/>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25"/>
  </w:num>
  <w:num w:numId="19" w16cid:durableId="1969775248">
    <w:abstractNumId w:val="26"/>
  </w:num>
  <w:num w:numId="20" w16cid:durableId="1717701455">
    <w:abstractNumId w:val="15"/>
  </w:num>
  <w:num w:numId="21" w16cid:durableId="896361971">
    <w:abstractNumId w:val="16"/>
  </w:num>
  <w:num w:numId="22" w16cid:durableId="1763720158">
    <w:abstractNumId w:val="23"/>
  </w:num>
  <w:num w:numId="23" w16cid:durableId="378865035">
    <w:abstractNumId w:val="12"/>
  </w:num>
  <w:num w:numId="24" w16cid:durableId="498614650">
    <w:abstractNumId w:val="22"/>
  </w:num>
  <w:num w:numId="25" w16cid:durableId="1253466142">
    <w:abstractNumId w:val="13"/>
  </w:num>
  <w:num w:numId="26" w16cid:durableId="2060129097">
    <w:abstractNumId w:val="24"/>
  </w:num>
  <w:num w:numId="27" w16cid:durableId="16274166">
    <w:abstractNumId w:val="14"/>
  </w:num>
  <w:num w:numId="28" w16cid:durableId="15604361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EF"/>
    <w:rsid w:val="00006C10"/>
    <w:rsid w:val="00012E04"/>
    <w:rsid w:val="00016557"/>
    <w:rsid w:val="00023C40"/>
    <w:rsid w:val="0002507D"/>
    <w:rsid w:val="00026C00"/>
    <w:rsid w:val="00027563"/>
    <w:rsid w:val="00033397"/>
    <w:rsid w:val="000360AA"/>
    <w:rsid w:val="00040095"/>
    <w:rsid w:val="000433AF"/>
    <w:rsid w:val="00046C0D"/>
    <w:rsid w:val="00051454"/>
    <w:rsid w:val="0005486E"/>
    <w:rsid w:val="00065268"/>
    <w:rsid w:val="00073C9C"/>
    <w:rsid w:val="00076412"/>
    <w:rsid w:val="00080512"/>
    <w:rsid w:val="00081635"/>
    <w:rsid w:val="000843F3"/>
    <w:rsid w:val="00090468"/>
    <w:rsid w:val="00094568"/>
    <w:rsid w:val="00097D04"/>
    <w:rsid w:val="000B7BCF"/>
    <w:rsid w:val="000C474A"/>
    <w:rsid w:val="000C522B"/>
    <w:rsid w:val="000D58AB"/>
    <w:rsid w:val="000E1C95"/>
    <w:rsid w:val="000F161A"/>
    <w:rsid w:val="000F232F"/>
    <w:rsid w:val="00111A74"/>
    <w:rsid w:val="00112332"/>
    <w:rsid w:val="00112F1A"/>
    <w:rsid w:val="0012610D"/>
    <w:rsid w:val="00126ADE"/>
    <w:rsid w:val="001317AA"/>
    <w:rsid w:val="0013339E"/>
    <w:rsid w:val="00145075"/>
    <w:rsid w:val="0016543D"/>
    <w:rsid w:val="00171362"/>
    <w:rsid w:val="001741A0"/>
    <w:rsid w:val="00175FA0"/>
    <w:rsid w:val="0018281B"/>
    <w:rsid w:val="0018542A"/>
    <w:rsid w:val="00187DC2"/>
    <w:rsid w:val="001900CE"/>
    <w:rsid w:val="00194CD0"/>
    <w:rsid w:val="001A18AB"/>
    <w:rsid w:val="001B49C9"/>
    <w:rsid w:val="001C01F5"/>
    <w:rsid w:val="001C23F4"/>
    <w:rsid w:val="001C4F79"/>
    <w:rsid w:val="001E08CF"/>
    <w:rsid w:val="001E5A2B"/>
    <w:rsid w:val="001F157C"/>
    <w:rsid w:val="001F168B"/>
    <w:rsid w:val="001F7831"/>
    <w:rsid w:val="002039DD"/>
    <w:rsid w:val="00204045"/>
    <w:rsid w:val="0020712B"/>
    <w:rsid w:val="002113A5"/>
    <w:rsid w:val="00214E92"/>
    <w:rsid w:val="0022606D"/>
    <w:rsid w:val="002277FE"/>
    <w:rsid w:val="00231728"/>
    <w:rsid w:val="002349A0"/>
    <w:rsid w:val="002366CE"/>
    <w:rsid w:val="00244A05"/>
    <w:rsid w:val="00250404"/>
    <w:rsid w:val="00256B74"/>
    <w:rsid w:val="002610D8"/>
    <w:rsid w:val="002737F3"/>
    <w:rsid w:val="002747EC"/>
    <w:rsid w:val="002855BF"/>
    <w:rsid w:val="002875FA"/>
    <w:rsid w:val="00290A7C"/>
    <w:rsid w:val="00291B40"/>
    <w:rsid w:val="00292560"/>
    <w:rsid w:val="002A5159"/>
    <w:rsid w:val="002B2988"/>
    <w:rsid w:val="002B5316"/>
    <w:rsid w:val="002D01D5"/>
    <w:rsid w:val="002D645C"/>
    <w:rsid w:val="002E7E26"/>
    <w:rsid w:val="002F0D22"/>
    <w:rsid w:val="002F11DC"/>
    <w:rsid w:val="00311B17"/>
    <w:rsid w:val="003172DC"/>
    <w:rsid w:val="003203DE"/>
    <w:rsid w:val="0032168B"/>
    <w:rsid w:val="00325AE3"/>
    <w:rsid w:val="00326069"/>
    <w:rsid w:val="0035462D"/>
    <w:rsid w:val="0036459E"/>
    <w:rsid w:val="00364B41"/>
    <w:rsid w:val="00373F9F"/>
    <w:rsid w:val="00383096"/>
    <w:rsid w:val="0039346C"/>
    <w:rsid w:val="003A41EF"/>
    <w:rsid w:val="003B40AD"/>
    <w:rsid w:val="003C4E37"/>
    <w:rsid w:val="003D0FD0"/>
    <w:rsid w:val="003E16BE"/>
    <w:rsid w:val="003E1950"/>
    <w:rsid w:val="003F4E28"/>
    <w:rsid w:val="003F60BE"/>
    <w:rsid w:val="003F76B6"/>
    <w:rsid w:val="004006E8"/>
    <w:rsid w:val="00401855"/>
    <w:rsid w:val="0041531C"/>
    <w:rsid w:val="004161E8"/>
    <w:rsid w:val="004426C7"/>
    <w:rsid w:val="00446C3A"/>
    <w:rsid w:val="00451A30"/>
    <w:rsid w:val="00465587"/>
    <w:rsid w:val="00466B03"/>
    <w:rsid w:val="00477455"/>
    <w:rsid w:val="004A1F7B"/>
    <w:rsid w:val="004A6860"/>
    <w:rsid w:val="004B1065"/>
    <w:rsid w:val="004B2BC7"/>
    <w:rsid w:val="004C44D2"/>
    <w:rsid w:val="004C6AC7"/>
    <w:rsid w:val="004C6F23"/>
    <w:rsid w:val="004D3578"/>
    <w:rsid w:val="004D380D"/>
    <w:rsid w:val="004D7916"/>
    <w:rsid w:val="004E0569"/>
    <w:rsid w:val="004E213A"/>
    <w:rsid w:val="004E3DB8"/>
    <w:rsid w:val="004E7553"/>
    <w:rsid w:val="004F4540"/>
    <w:rsid w:val="004F52D8"/>
    <w:rsid w:val="004F73A7"/>
    <w:rsid w:val="00503171"/>
    <w:rsid w:val="00506C28"/>
    <w:rsid w:val="00510CFC"/>
    <w:rsid w:val="00512B36"/>
    <w:rsid w:val="00522FE2"/>
    <w:rsid w:val="00525552"/>
    <w:rsid w:val="00527668"/>
    <w:rsid w:val="00534DA0"/>
    <w:rsid w:val="00537809"/>
    <w:rsid w:val="005432D9"/>
    <w:rsid w:val="00543E6C"/>
    <w:rsid w:val="005563FF"/>
    <w:rsid w:val="00565087"/>
    <w:rsid w:val="0056573F"/>
    <w:rsid w:val="00570A85"/>
    <w:rsid w:val="00571279"/>
    <w:rsid w:val="00571969"/>
    <w:rsid w:val="00575FC5"/>
    <w:rsid w:val="00586BC0"/>
    <w:rsid w:val="005A12C1"/>
    <w:rsid w:val="005A13AB"/>
    <w:rsid w:val="005A49C6"/>
    <w:rsid w:val="005A5092"/>
    <w:rsid w:val="005B6CF8"/>
    <w:rsid w:val="005B701E"/>
    <w:rsid w:val="005B7413"/>
    <w:rsid w:val="005C766E"/>
    <w:rsid w:val="005C7BA4"/>
    <w:rsid w:val="005C7CD5"/>
    <w:rsid w:val="005D5129"/>
    <w:rsid w:val="005E0146"/>
    <w:rsid w:val="005F4A70"/>
    <w:rsid w:val="00611566"/>
    <w:rsid w:val="00630627"/>
    <w:rsid w:val="006316F8"/>
    <w:rsid w:val="0063446C"/>
    <w:rsid w:val="006344FA"/>
    <w:rsid w:val="006377E8"/>
    <w:rsid w:val="00646D99"/>
    <w:rsid w:val="00656910"/>
    <w:rsid w:val="006574C0"/>
    <w:rsid w:val="006640E5"/>
    <w:rsid w:val="00666829"/>
    <w:rsid w:val="0067183C"/>
    <w:rsid w:val="00671A2E"/>
    <w:rsid w:val="0067731F"/>
    <w:rsid w:val="00677518"/>
    <w:rsid w:val="0069037C"/>
    <w:rsid w:val="00695E76"/>
    <w:rsid w:val="00696821"/>
    <w:rsid w:val="006B288F"/>
    <w:rsid w:val="006C66D8"/>
    <w:rsid w:val="006D0AA0"/>
    <w:rsid w:val="006D1E24"/>
    <w:rsid w:val="006D35DE"/>
    <w:rsid w:val="006E1057"/>
    <w:rsid w:val="006E1417"/>
    <w:rsid w:val="006E2242"/>
    <w:rsid w:val="006F2DF0"/>
    <w:rsid w:val="006F6680"/>
    <w:rsid w:val="006F6A2C"/>
    <w:rsid w:val="007069DC"/>
    <w:rsid w:val="00710201"/>
    <w:rsid w:val="0071550E"/>
    <w:rsid w:val="00716162"/>
    <w:rsid w:val="0072073A"/>
    <w:rsid w:val="00723B23"/>
    <w:rsid w:val="007342B5"/>
    <w:rsid w:val="00734A5B"/>
    <w:rsid w:val="00743EA1"/>
    <w:rsid w:val="00744E76"/>
    <w:rsid w:val="00757D40"/>
    <w:rsid w:val="00764142"/>
    <w:rsid w:val="007662B5"/>
    <w:rsid w:val="00772B1C"/>
    <w:rsid w:val="00780021"/>
    <w:rsid w:val="00781F0F"/>
    <w:rsid w:val="00781FFC"/>
    <w:rsid w:val="0078727C"/>
    <w:rsid w:val="0079049D"/>
    <w:rsid w:val="0079255A"/>
    <w:rsid w:val="00793DC5"/>
    <w:rsid w:val="00796823"/>
    <w:rsid w:val="007A2E55"/>
    <w:rsid w:val="007A6E31"/>
    <w:rsid w:val="007B18D8"/>
    <w:rsid w:val="007B2AC2"/>
    <w:rsid w:val="007B3315"/>
    <w:rsid w:val="007B6184"/>
    <w:rsid w:val="007C095F"/>
    <w:rsid w:val="007C2DD0"/>
    <w:rsid w:val="007D7AC3"/>
    <w:rsid w:val="007F2E08"/>
    <w:rsid w:val="007F61FE"/>
    <w:rsid w:val="007F76BF"/>
    <w:rsid w:val="008024FA"/>
    <w:rsid w:val="008028A4"/>
    <w:rsid w:val="008046CE"/>
    <w:rsid w:val="00805467"/>
    <w:rsid w:val="00813245"/>
    <w:rsid w:val="00815001"/>
    <w:rsid w:val="00840DE0"/>
    <w:rsid w:val="00843001"/>
    <w:rsid w:val="00844E88"/>
    <w:rsid w:val="00847CD0"/>
    <w:rsid w:val="0085279F"/>
    <w:rsid w:val="008607A8"/>
    <w:rsid w:val="0086354A"/>
    <w:rsid w:val="008768CA"/>
    <w:rsid w:val="00877EF9"/>
    <w:rsid w:val="00880559"/>
    <w:rsid w:val="008850E6"/>
    <w:rsid w:val="00892F49"/>
    <w:rsid w:val="008B0571"/>
    <w:rsid w:val="008B3A8F"/>
    <w:rsid w:val="008B5306"/>
    <w:rsid w:val="008B54E8"/>
    <w:rsid w:val="008B5D82"/>
    <w:rsid w:val="008B6D79"/>
    <w:rsid w:val="008C2E2A"/>
    <w:rsid w:val="008C3057"/>
    <w:rsid w:val="008D2E4D"/>
    <w:rsid w:val="008D2F56"/>
    <w:rsid w:val="008F2936"/>
    <w:rsid w:val="008F3533"/>
    <w:rsid w:val="008F396F"/>
    <w:rsid w:val="008F3DCD"/>
    <w:rsid w:val="008F7CD1"/>
    <w:rsid w:val="0090271F"/>
    <w:rsid w:val="00902DB9"/>
    <w:rsid w:val="0090466A"/>
    <w:rsid w:val="00905E5A"/>
    <w:rsid w:val="00923655"/>
    <w:rsid w:val="00924773"/>
    <w:rsid w:val="009248C6"/>
    <w:rsid w:val="0092614F"/>
    <w:rsid w:val="0093293E"/>
    <w:rsid w:val="009339CB"/>
    <w:rsid w:val="00933BAF"/>
    <w:rsid w:val="00936071"/>
    <w:rsid w:val="009376CD"/>
    <w:rsid w:val="00940212"/>
    <w:rsid w:val="00942EC2"/>
    <w:rsid w:val="00955AF6"/>
    <w:rsid w:val="00961B32"/>
    <w:rsid w:val="00962509"/>
    <w:rsid w:val="00970DB3"/>
    <w:rsid w:val="00974BB0"/>
    <w:rsid w:val="00975BA8"/>
    <w:rsid w:val="00975BCD"/>
    <w:rsid w:val="00975C85"/>
    <w:rsid w:val="009818A2"/>
    <w:rsid w:val="00982119"/>
    <w:rsid w:val="009928A9"/>
    <w:rsid w:val="009A0AF3"/>
    <w:rsid w:val="009B07CD"/>
    <w:rsid w:val="009C19E9"/>
    <w:rsid w:val="009D74A6"/>
    <w:rsid w:val="009E0E87"/>
    <w:rsid w:val="00A00277"/>
    <w:rsid w:val="00A05DF9"/>
    <w:rsid w:val="00A10F02"/>
    <w:rsid w:val="00A17176"/>
    <w:rsid w:val="00A204CA"/>
    <w:rsid w:val="00A209D6"/>
    <w:rsid w:val="00A22738"/>
    <w:rsid w:val="00A27B3C"/>
    <w:rsid w:val="00A3237B"/>
    <w:rsid w:val="00A36F5F"/>
    <w:rsid w:val="00A430EC"/>
    <w:rsid w:val="00A5227E"/>
    <w:rsid w:val="00A53724"/>
    <w:rsid w:val="00A53E3F"/>
    <w:rsid w:val="00A54B2B"/>
    <w:rsid w:val="00A567A2"/>
    <w:rsid w:val="00A630CC"/>
    <w:rsid w:val="00A703B6"/>
    <w:rsid w:val="00A74676"/>
    <w:rsid w:val="00A77E8D"/>
    <w:rsid w:val="00A81E64"/>
    <w:rsid w:val="00A82346"/>
    <w:rsid w:val="00A9671C"/>
    <w:rsid w:val="00AA1553"/>
    <w:rsid w:val="00AC2ABC"/>
    <w:rsid w:val="00AC3835"/>
    <w:rsid w:val="00AC7D7B"/>
    <w:rsid w:val="00AD0404"/>
    <w:rsid w:val="00AD1919"/>
    <w:rsid w:val="00AD7E7C"/>
    <w:rsid w:val="00AE4529"/>
    <w:rsid w:val="00AE5917"/>
    <w:rsid w:val="00AF41C0"/>
    <w:rsid w:val="00B002D6"/>
    <w:rsid w:val="00B05380"/>
    <w:rsid w:val="00B056DB"/>
    <w:rsid w:val="00B05962"/>
    <w:rsid w:val="00B12D15"/>
    <w:rsid w:val="00B15449"/>
    <w:rsid w:val="00B16C2F"/>
    <w:rsid w:val="00B27303"/>
    <w:rsid w:val="00B27BA6"/>
    <w:rsid w:val="00B37DF0"/>
    <w:rsid w:val="00B436FE"/>
    <w:rsid w:val="00B474FC"/>
    <w:rsid w:val="00B47541"/>
    <w:rsid w:val="00B47FD1"/>
    <w:rsid w:val="00B516BB"/>
    <w:rsid w:val="00B52735"/>
    <w:rsid w:val="00B55EC0"/>
    <w:rsid w:val="00B5751D"/>
    <w:rsid w:val="00B64F8D"/>
    <w:rsid w:val="00B669E9"/>
    <w:rsid w:val="00B7538C"/>
    <w:rsid w:val="00B81A81"/>
    <w:rsid w:val="00B83D1A"/>
    <w:rsid w:val="00B84DB2"/>
    <w:rsid w:val="00B95459"/>
    <w:rsid w:val="00B95D42"/>
    <w:rsid w:val="00BA70D1"/>
    <w:rsid w:val="00BB53C1"/>
    <w:rsid w:val="00BB5792"/>
    <w:rsid w:val="00BC3555"/>
    <w:rsid w:val="00BD60BF"/>
    <w:rsid w:val="00C04477"/>
    <w:rsid w:val="00C11333"/>
    <w:rsid w:val="00C12B51"/>
    <w:rsid w:val="00C24650"/>
    <w:rsid w:val="00C250C5"/>
    <w:rsid w:val="00C25465"/>
    <w:rsid w:val="00C31806"/>
    <w:rsid w:val="00C33079"/>
    <w:rsid w:val="00C34A15"/>
    <w:rsid w:val="00C36A5C"/>
    <w:rsid w:val="00C43C2B"/>
    <w:rsid w:val="00C475BE"/>
    <w:rsid w:val="00C53BEB"/>
    <w:rsid w:val="00C55A12"/>
    <w:rsid w:val="00C5682E"/>
    <w:rsid w:val="00C6553E"/>
    <w:rsid w:val="00C807C0"/>
    <w:rsid w:val="00C80D5D"/>
    <w:rsid w:val="00C83A13"/>
    <w:rsid w:val="00C85F8E"/>
    <w:rsid w:val="00C86F10"/>
    <w:rsid w:val="00C9068C"/>
    <w:rsid w:val="00C92967"/>
    <w:rsid w:val="00C956C0"/>
    <w:rsid w:val="00CA0190"/>
    <w:rsid w:val="00CA3D0C"/>
    <w:rsid w:val="00CA654B"/>
    <w:rsid w:val="00CB3ED0"/>
    <w:rsid w:val="00CB72B8"/>
    <w:rsid w:val="00CC196B"/>
    <w:rsid w:val="00CC7798"/>
    <w:rsid w:val="00CD0BA8"/>
    <w:rsid w:val="00CD4C7B"/>
    <w:rsid w:val="00CD4F24"/>
    <w:rsid w:val="00CD58FE"/>
    <w:rsid w:val="00CD623B"/>
    <w:rsid w:val="00CF02E6"/>
    <w:rsid w:val="00CF4F19"/>
    <w:rsid w:val="00D008B2"/>
    <w:rsid w:val="00D25ABB"/>
    <w:rsid w:val="00D33BE3"/>
    <w:rsid w:val="00D3792D"/>
    <w:rsid w:val="00D41822"/>
    <w:rsid w:val="00D510FC"/>
    <w:rsid w:val="00D54820"/>
    <w:rsid w:val="00D55E47"/>
    <w:rsid w:val="00D60465"/>
    <w:rsid w:val="00D62E19"/>
    <w:rsid w:val="00D67CD1"/>
    <w:rsid w:val="00D71B0D"/>
    <w:rsid w:val="00D738D6"/>
    <w:rsid w:val="00D776FC"/>
    <w:rsid w:val="00D80795"/>
    <w:rsid w:val="00D854BE"/>
    <w:rsid w:val="00D87E00"/>
    <w:rsid w:val="00D9134D"/>
    <w:rsid w:val="00D9349B"/>
    <w:rsid w:val="00D95C37"/>
    <w:rsid w:val="00D96D11"/>
    <w:rsid w:val="00DA7A03"/>
    <w:rsid w:val="00DB0DB8"/>
    <w:rsid w:val="00DB1818"/>
    <w:rsid w:val="00DB64C5"/>
    <w:rsid w:val="00DC1087"/>
    <w:rsid w:val="00DC207C"/>
    <w:rsid w:val="00DC309B"/>
    <w:rsid w:val="00DC4DA2"/>
    <w:rsid w:val="00DC51CF"/>
    <w:rsid w:val="00DC5261"/>
    <w:rsid w:val="00DE25D2"/>
    <w:rsid w:val="00DE48AF"/>
    <w:rsid w:val="00DF7C20"/>
    <w:rsid w:val="00E038FB"/>
    <w:rsid w:val="00E24CA0"/>
    <w:rsid w:val="00E3156B"/>
    <w:rsid w:val="00E329BF"/>
    <w:rsid w:val="00E40E96"/>
    <w:rsid w:val="00E44132"/>
    <w:rsid w:val="00E45194"/>
    <w:rsid w:val="00E46C08"/>
    <w:rsid w:val="00E471CF"/>
    <w:rsid w:val="00E55731"/>
    <w:rsid w:val="00E62835"/>
    <w:rsid w:val="00E6480E"/>
    <w:rsid w:val="00E725A7"/>
    <w:rsid w:val="00E77645"/>
    <w:rsid w:val="00E8117A"/>
    <w:rsid w:val="00E83213"/>
    <w:rsid w:val="00E83697"/>
    <w:rsid w:val="00E859B6"/>
    <w:rsid w:val="00E94904"/>
    <w:rsid w:val="00E96C9B"/>
    <w:rsid w:val="00EA66C9"/>
    <w:rsid w:val="00EB5D32"/>
    <w:rsid w:val="00EC4A25"/>
    <w:rsid w:val="00ED7E59"/>
    <w:rsid w:val="00EF3236"/>
    <w:rsid w:val="00EF612C"/>
    <w:rsid w:val="00F025A2"/>
    <w:rsid w:val="00F036E9"/>
    <w:rsid w:val="00F05560"/>
    <w:rsid w:val="00F07388"/>
    <w:rsid w:val="00F10BD2"/>
    <w:rsid w:val="00F11615"/>
    <w:rsid w:val="00F12D3B"/>
    <w:rsid w:val="00F166FA"/>
    <w:rsid w:val="00F2026E"/>
    <w:rsid w:val="00F2210A"/>
    <w:rsid w:val="00F31372"/>
    <w:rsid w:val="00F37743"/>
    <w:rsid w:val="00F40C2F"/>
    <w:rsid w:val="00F42493"/>
    <w:rsid w:val="00F54A3D"/>
    <w:rsid w:val="00F54CB0"/>
    <w:rsid w:val="00F579CD"/>
    <w:rsid w:val="00F653B8"/>
    <w:rsid w:val="00F717F7"/>
    <w:rsid w:val="00F71B89"/>
    <w:rsid w:val="00F7353C"/>
    <w:rsid w:val="00F76F8F"/>
    <w:rsid w:val="00F87048"/>
    <w:rsid w:val="00F87257"/>
    <w:rsid w:val="00F941DF"/>
    <w:rsid w:val="00F97784"/>
    <w:rsid w:val="00FA1266"/>
    <w:rsid w:val="00FB36FA"/>
    <w:rsid w:val="00FC1192"/>
    <w:rsid w:val="00FC2248"/>
    <w:rsid w:val="00FE106D"/>
    <w:rsid w:val="00FE251B"/>
    <w:rsid w:val="00FF3368"/>
    <w:rsid w:val="00FF41FF"/>
    <w:rsid w:val="00FF6146"/>
    <w:rsid w:val="028568DE"/>
    <w:rsid w:val="03886D72"/>
    <w:rsid w:val="0AC4A6A8"/>
    <w:rsid w:val="0B268ADF"/>
    <w:rsid w:val="0C437A4B"/>
    <w:rsid w:val="0D603DF8"/>
    <w:rsid w:val="112B3D0C"/>
    <w:rsid w:val="113EB586"/>
    <w:rsid w:val="1190031C"/>
    <w:rsid w:val="1A63A5BD"/>
    <w:rsid w:val="1AE0150B"/>
    <w:rsid w:val="1C48306D"/>
    <w:rsid w:val="24450D30"/>
    <w:rsid w:val="24EFA433"/>
    <w:rsid w:val="2E710059"/>
    <w:rsid w:val="34507090"/>
    <w:rsid w:val="375A7C58"/>
    <w:rsid w:val="385C1AF4"/>
    <w:rsid w:val="3AA67D8F"/>
    <w:rsid w:val="3BA3CE77"/>
    <w:rsid w:val="3C333E28"/>
    <w:rsid w:val="3DFD4EB7"/>
    <w:rsid w:val="3F556CDE"/>
    <w:rsid w:val="40F63DC2"/>
    <w:rsid w:val="4899B2C4"/>
    <w:rsid w:val="4FA23AD2"/>
    <w:rsid w:val="68016FA1"/>
    <w:rsid w:val="682D23C9"/>
    <w:rsid w:val="69BBF14B"/>
    <w:rsid w:val="69CC6380"/>
    <w:rsid w:val="6A924C9F"/>
    <w:rsid w:val="77CF5720"/>
    <w:rsid w:val="789A1E3B"/>
    <w:rsid w:val="78EDC838"/>
    <w:rsid w:val="7B6EE3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165403-ACE1-4A0E-B589-7115BF80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character" w:styleId="CommentReference">
    <w:name w:val="annotation reference"/>
    <w:basedOn w:val="DefaultParagraphFont"/>
    <w:rsid w:val="005A5092"/>
    <w:rPr>
      <w:sz w:val="16"/>
      <w:szCs w:val="16"/>
    </w:rPr>
  </w:style>
  <w:style w:type="paragraph" w:styleId="Revision">
    <w:name w:val="Revision"/>
    <w:hidden/>
    <w:uiPriority w:val="99"/>
    <w:semiHidden/>
    <w:rsid w:val="00012E04"/>
    <w:rPr>
      <w:lang w:eastAsia="en-US"/>
    </w:rPr>
  </w:style>
  <w:style w:type="character" w:styleId="Mention">
    <w:name w:val="Mention"/>
    <w:basedOn w:val="DefaultParagraphFont"/>
    <w:uiPriority w:val="99"/>
    <w:unhideWhenUsed/>
    <w:rsid w:val="00B37DF0"/>
    <w:rPr>
      <w:color w:val="2B579A"/>
      <w:shd w:val="clear" w:color="auto" w:fill="E1DFDD"/>
    </w:rPr>
  </w:style>
  <w:style w:type="paragraph" w:customStyle="1" w:styleId="Doc-text2">
    <w:name w:val="Doc-text2"/>
    <w:basedOn w:val="Normal"/>
    <w:link w:val="Doc-text2Char"/>
    <w:qFormat/>
    <w:rsid w:val="008B0571"/>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B0571"/>
    <w:rPr>
      <w:rFonts w:ascii="Arial" w:hAnsi="Arial"/>
      <w:lang w:eastAsia="ja-JP"/>
    </w:rPr>
  </w:style>
  <w:style w:type="paragraph" w:customStyle="1" w:styleId="Comments">
    <w:name w:val="Comments"/>
    <w:basedOn w:val="Normal"/>
    <w:link w:val="CommentsChar"/>
    <w:qFormat/>
    <w:rsid w:val="008B0571"/>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8B0571"/>
    <w:rPr>
      <w:rFonts w:ascii="Arial" w:hAnsi="Arial"/>
      <w:i/>
      <w:noProof/>
      <w:sz w:val="18"/>
      <w:lang w:eastAsia="ja-JP"/>
    </w:rPr>
  </w:style>
  <w:style w:type="character" w:styleId="Strong">
    <w:name w:val="Strong"/>
    <w:basedOn w:val="DefaultParagraphFont"/>
    <w:uiPriority w:val="22"/>
    <w:qFormat/>
    <w:rsid w:val="00DB64C5"/>
    <w:rPr>
      <w:b/>
      <w:bCs/>
    </w:rPr>
  </w:style>
  <w:style w:type="paragraph" w:customStyle="1" w:styleId="Agreement">
    <w:name w:val="Agreement"/>
    <w:basedOn w:val="Normal"/>
    <w:next w:val="Doc-text2"/>
    <w:uiPriority w:val="99"/>
    <w:qFormat/>
    <w:rsid w:val="0005486E"/>
    <w:pPr>
      <w:numPr>
        <w:numId w:val="26"/>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RBI5PAMIO524-1616901215-16977</_dlc_DocId>
    <_dlc_DocIdUrl xmlns="71c5aaf6-e6ce-465b-b873-5148d2a4c105">
      <Url>https://nokia.sharepoint.com/sites/gxp/_layouts/15/DocIdRedir.aspx?ID=RBI5PAMIO524-1616901215-16977</Url>
      <Description>RBI5PAMIO524-1616901215-16977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1437</Words>
  <Characters>8191</Characters>
  <Application>Microsoft Office Word</Application>
  <DocSecurity>0</DocSecurity>
  <Lines>68</Lines>
  <Paragraphs>19</Paragraphs>
  <ScaleCrop>false</ScaleCrop>
  <Manager/>
  <Company/>
  <LinksUpToDate>false</LinksUpToDate>
  <CharactersWithSpaces>9609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Claude Arzelier</cp:lastModifiedBy>
  <cp:revision>107</cp:revision>
  <dcterms:created xsi:type="dcterms:W3CDTF">2024-05-06T12:09:00Z</dcterms:created>
  <dcterms:modified xsi:type="dcterms:W3CDTF">2024-05-09T16:39:00Z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ebca44a8-5a91-4127-9101-dafb50b73a91</vt:lpwstr>
  </property>
</Properties>
</file>