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C9634A7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DE40EF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7846B2">
        <w:rPr>
          <w:rFonts w:ascii="Calibri" w:eastAsia="MS Mincho" w:hAnsi="Calibri" w:cs="Calibri"/>
          <w:sz w:val="24"/>
          <w:szCs w:val="24"/>
          <w:lang w:val="en-US" w:eastAsia="en-US"/>
        </w:rPr>
        <w:t>04916</w:t>
      </w:r>
    </w:p>
    <w:p w14:paraId="36508560" w14:textId="567ED595" w:rsidR="006D2320" w:rsidRPr="00D278AD" w:rsidRDefault="00DE40EF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Fukuoka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Japan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May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22nd</w:t>
      </w:r>
      <w:r w:rsidR="001872B3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26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>th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03D9921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7C05BDF3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C27E8E">
        <w:rPr>
          <w:rFonts w:ascii="Calibri" w:eastAsia="MS Mincho" w:hAnsi="Calibri" w:cs="Calibri"/>
          <w:sz w:val="24"/>
          <w:lang w:val="en-US" w:eastAsia="en-US"/>
        </w:rPr>
        <w:t>Broadcast service area signaling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46973833" w:rsidR="00CF09A2" w:rsidRDefault="00557B12" w:rsidP="00CF09A2">
      <w:r>
        <w:t xml:space="preserve">In RAN2#125bis meeting, we have agreements on </w:t>
      </w:r>
      <w:r w:rsidR="003E7B16">
        <w:t xml:space="preserve">support of </w:t>
      </w:r>
      <w:r w:rsidR="00B4223D">
        <w:t xml:space="preserve">broadcast service </w:t>
      </w:r>
      <w:r w:rsidR="00CF09A2">
        <w:t>as following:</w:t>
      </w:r>
    </w:p>
    <w:p w14:paraId="58F1FFEE" w14:textId="77777777" w:rsidR="00DC61FF" w:rsidRDefault="00DC61FF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6F43383" w14:textId="77777777" w:rsidR="00DC61FF" w:rsidRPr="001D68CF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MBS broadcast service we don’t restrict the work to any satellite constellation type</w:t>
      </w:r>
    </w:p>
    <w:p w14:paraId="71691190" w14:textId="77777777" w:rsidR="00DC61FF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We prioritize working on a solution for MBS </w:t>
      </w:r>
      <w:proofErr w:type="gramStart"/>
      <w:r>
        <w:t>broadcast</w:t>
      </w:r>
      <w:proofErr w:type="gramEnd"/>
      <w:r>
        <w:t xml:space="preserve"> but we don’t preclude other broadcast services, namely ETWS</w:t>
      </w:r>
    </w:p>
    <w:p w14:paraId="66D3AD82" w14:textId="77777777" w:rsidR="00DC61FF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proofErr w:type="spellStart"/>
      <w:r>
        <w:rPr>
          <w:lang w:val="sv-SE"/>
        </w:rPr>
        <w:t>We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will</w:t>
      </w:r>
      <w:proofErr w:type="spellEnd"/>
      <w:r>
        <w:rPr>
          <w:lang w:val="sv-SE"/>
        </w:rPr>
        <w:t xml:space="preserve"> cover at </w:t>
      </w:r>
      <w:proofErr w:type="spellStart"/>
      <w:r>
        <w:rPr>
          <w:lang w:val="sv-SE"/>
        </w:rPr>
        <w:t>least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case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where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indicated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intended</w:t>
      </w:r>
      <w:proofErr w:type="spellEnd"/>
      <w:r>
        <w:rPr>
          <w:lang w:val="sv-SE"/>
        </w:rPr>
        <w:t xml:space="preserve"> service area covers a portion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a NTN cell</w:t>
      </w:r>
    </w:p>
    <w:p w14:paraId="61B43927" w14:textId="77777777" w:rsidR="00DC61FF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The </w:t>
      </w:r>
      <w:proofErr w:type="spellStart"/>
      <w:r>
        <w:rPr>
          <w:lang w:val="sv-SE"/>
        </w:rPr>
        <w:t>intended</w:t>
      </w:r>
      <w:proofErr w:type="spellEnd"/>
      <w:r>
        <w:rPr>
          <w:lang w:val="sv-SE"/>
        </w:rPr>
        <w:t xml:space="preserve"> service area </w:t>
      </w:r>
      <w:proofErr w:type="spellStart"/>
      <w:r>
        <w:rPr>
          <w:lang w:val="sv-SE"/>
        </w:rPr>
        <w:t>can</w:t>
      </w:r>
      <w:proofErr w:type="spellEnd"/>
      <w:r>
        <w:rPr>
          <w:lang w:val="sv-SE"/>
        </w:rPr>
        <w:t xml:space="preserve"> cover the area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more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than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one</w:t>
      </w:r>
      <w:proofErr w:type="spellEnd"/>
      <w:r>
        <w:rPr>
          <w:lang w:val="sv-SE"/>
        </w:rPr>
        <w:t xml:space="preserve"> NTN cells (or portions </w:t>
      </w:r>
      <w:proofErr w:type="spellStart"/>
      <w:r>
        <w:rPr>
          <w:lang w:val="sv-SE"/>
        </w:rPr>
        <w:t>thereof</w:t>
      </w:r>
      <w:proofErr w:type="spellEnd"/>
      <w:r>
        <w:rPr>
          <w:lang w:val="sv-SE"/>
        </w:rPr>
        <w:t>)</w:t>
      </w:r>
    </w:p>
    <w:p w14:paraId="5A0180B5" w14:textId="77777777" w:rsidR="00DC61FF" w:rsidRPr="00DE6DBD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proofErr w:type="spellStart"/>
      <w:r>
        <w:rPr>
          <w:lang w:val="sv-SE"/>
        </w:rPr>
        <w:t>Can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discuss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next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time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whether</w:t>
      </w:r>
      <w:proofErr w:type="spellEnd"/>
      <w:r>
        <w:rPr>
          <w:lang w:val="sv-SE"/>
        </w:rPr>
        <w:t xml:space="preserve"> the broadcast transmission </w:t>
      </w:r>
      <w:proofErr w:type="spellStart"/>
      <w:r>
        <w:rPr>
          <w:lang w:val="sv-SE"/>
        </w:rPr>
        <w:t>can</w:t>
      </w:r>
      <w:proofErr w:type="spellEnd"/>
      <w:r>
        <w:rPr>
          <w:lang w:val="sv-SE"/>
        </w:rPr>
        <w:t xml:space="preserve"> be </w:t>
      </w:r>
      <w:proofErr w:type="spellStart"/>
      <w:r>
        <w:rPr>
          <w:lang w:val="sv-SE"/>
        </w:rPr>
        <w:t>limited</w:t>
      </w:r>
      <w:proofErr w:type="spellEnd"/>
      <w:r>
        <w:rPr>
          <w:lang w:val="sv-SE"/>
        </w:rPr>
        <w:t xml:space="preserve"> to the </w:t>
      </w:r>
      <w:proofErr w:type="spellStart"/>
      <w:r>
        <w:rPr>
          <w:lang w:val="sv-SE"/>
        </w:rPr>
        <w:t>intended</w:t>
      </w:r>
      <w:proofErr w:type="spellEnd"/>
      <w:r>
        <w:rPr>
          <w:lang w:val="sv-SE"/>
        </w:rPr>
        <w:t xml:space="preserve"> service area </w:t>
      </w:r>
      <w:proofErr w:type="spellStart"/>
      <w:r>
        <w:rPr>
          <w:lang w:val="sv-SE"/>
        </w:rPr>
        <w:t>only</w:t>
      </w:r>
      <w:proofErr w:type="spellEnd"/>
      <w:r>
        <w:rPr>
          <w:lang w:val="sv-SE"/>
        </w:rPr>
        <w:t xml:space="preserve"> (i.e. no transmission </w:t>
      </w:r>
      <w:proofErr w:type="spellStart"/>
      <w:r>
        <w:rPr>
          <w:lang w:val="sv-SE"/>
        </w:rPr>
        <w:t>happens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outside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the </w:t>
      </w:r>
      <w:proofErr w:type="spellStart"/>
      <w:r>
        <w:rPr>
          <w:lang w:val="sv-SE"/>
        </w:rPr>
        <w:t>intended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serive</w:t>
      </w:r>
      <w:proofErr w:type="spellEnd"/>
      <w:r>
        <w:rPr>
          <w:lang w:val="sv-SE"/>
        </w:rPr>
        <w:t xml:space="preserve"> area)</w:t>
      </w:r>
    </w:p>
    <w:p w14:paraId="06B37D0B" w14:textId="77777777" w:rsidR="00DC61FF" w:rsidRDefault="00DC61FF" w:rsidP="00DC61FF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least the following geographical area formats to model service area can be further considered (the signalling of other information than the geographical information can be considered):</w:t>
      </w:r>
    </w:p>
    <w:p w14:paraId="2ED0C7F1" w14:textId="77777777" w:rsidR="00DC61FF" w:rsidRDefault="00DC61FF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Circles (like for TN coverage)</w:t>
      </w:r>
    </w:p>
    <w:p w14:paraId="1A934431" w14:textId="77777777" w:rsidR="00DC61FF" w:rsidRDefault="00DC61FF" w:rsidP="00DC61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Geographical area information, </w:t>
      </w:r>
      <w:proofErr w:type="gramStart"/>
      <w:r>
        <w:t>e.g.</w:t>
      </w:r>
      <w:proofErr w:type="gramEnd"/>
      <w:r>
        <w:t xml:space="preserve"> via polygons, to better approximate the intended shape of service area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25F17654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 broadcast service area signalling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2B1B58E" w14:textId="77777777" w:rsidR="005C49FB" w:rsidRDefault="006F33FE" w:rsidP="00DA060F">
      <w:r w:rsidRPr="006F33FE">
        <w:t xml:space="preserve">In </w:t>
      </w:r>
      <w:r>
        <w:t>Rel-18</w:t>
      </w:r>
      <w:r w:rsidR="002C20EF">
        <w:t xml:space="preserve"> NTN</w:t>
      </w:r>
      <w:r>
        <w:t xml:space="preserve">, the </w:t>
      </w:r>
      <w:r w:rsidR="002C20EF">
        <w:t>area of TN coverage is introduced to be broadcast to UE in SIB25</w:t>
      </w:r>
      <w:r w:rsidR="00A80C47" w:rsidRPr="006F33FE">
        <w:t>.</w:t>
      </w:r>
      <w:r w:rsidR="002C20EF">
        <w:t xml:space="preserve"> </w:t>
      </w:r>
      <w:r w:rsidR="00AF50D4">
        <w:t>For each coverage area to be broadcast,</w:t>
      </w:r>
      <w:r w:rsidR="00F26273">
        <w:t xml:space="preserve"> there are an </w:t>
      </w:r>
      <w:r w:rsidR="003A5742">
        <w:t>area ID, a reference location coordinate and</w:t>
      </w:r>
      <w:r w:rsidR="003A732E">
        <w:t xml:space="preserve"> a distance radius included. </w:t>
      </w:r>
    </w:p>
    <w:p w14:paraId="12CF050C" w14:textId="3BC13204" w:rsidR="00DD31A5" w:rsidRDefault="00DD31A5" w:rsidP="00DA060F">
      <w:r>
        <w:t xml:space="preserve">It is still FFS regarding the geographical area formats to model the service area, and there are two </w:t>
      </w:r>
      <w:r w:rsidR="00FD4329">
        <w:t>candidates</w:t>
      </w:r>
      <w:r>
        <w:t>:</w:t>
      </w:r>
    </w:p>
    <w:p w14:paraId="7915F8B5" w14:textId="606FA54D" w:rsidR="00801DA1" w:rsidRDefault="00DD31A5" w:rsidP="00DA060F">
      <w:r>
        <w:t>Option 1: Circles (as in Rel-18 NTN for TN coverage)</w:t>
      </w:r>
      <w:r w:rsidR="0080676F">
        <w:t>.</w:t>
      </w:r>
      <w:r w:rsidR="003A5742">
        <w:t xml:space="preserve"> </w:t>
      </w:r>
    </w:p>
    <w:p w14:paraId="71890DDC" w14:textId="36255D5B" w:rsidR="00DD31A5" w:rsidRDefault="00DD31A5" w:rsidP="00DA060F">
      <w:r>
        <w:t>Option 2:</w:t>
      </w:r>
      <w:r w:rsidR="00296ADD">
        <w:t xml:space="preserve"> </w:t>
      </w:r>
      <w:r w:rsidR="009F583F">
        <w:t>Geographical</w:t>
      </w:r>
      <w:r w:rsidR="008B7A25">
        <w:t xml:space="preserve"> area information e.g., via polygon, to better approximate the </w:t>
      </w:r>
      <w:r w:rsidR="00296ADD">
        <w:t>intended shape of service area</w:t>
      </w:r>
      <w:r w:rsidR="0080676F">
        <w:t>.</w:t>
      </w:r>
    </w:p>
    <w:p w14:paraId="6E025E52" w14:textId="5A6C411A" w:rsidR="00296ADD" w:rsidRDefault="0080676F" w:rsidP="00DA060F">
      <w:r>
        <w:t xml:space="preserve">We think it is preferrable to re-use the Rel-18 NTN for TN coverage </w:t>
      </w:r>
      <w:proofErr w:type="gramStart"/>
      <w:r>
        <w:t>i.e.</w:t>
      </w:r>
      <w:proofErr w:type="gramEnd"/>
      <w:r>
        <w:t xml:space="preserve"> Option 1</w:t>
      </w:r>
      <w:r w:rsidR="003C4BA4">
        <w:t>, and the reasons are listed in the following:</w:t>
      </w:r>
    </w:p>
    <w:p w14:paraId="59910B03" w14:textId="661C68A9" w:rsidR="003C4BA4" w:rsidRPr="002538EB" w:rsidRDefault="009B4F09" w:rsidP="003C4BA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To re-use as much as in legacy in order to save the specification work</w:t>
      </w:r>
      <w:r w:rsidR="0017644F">
        <w:rPr>
          <w:rFonts w:ascii="Times New Roman" w:hAnsi="Times New Roman"/>
          <w:sz w:val="20"/>
          <w:szCs w:val="20"/>
        </w:rPr>
        <w:t xml:space="preserve">, </w:t>
      </w:r>
      <w:r w:rsidR="004475D1">
        <w:rPr>
          <w:rFonts w:ascii="Times New Roman" w:hAnsi="Times New Roman"/>
          <w:sz w:val="20"/>
          <w:szCs w:val="20"/>
        </w:rPr>
        <w:t xml:space="preserve">because </w:t>
      </w:r>
      <w:r w:rsidR="0017644F">
        <w:rPr>
          <w:rFonts w:ascii="Times New Roman" w:hAnsi="Times New Roman"/>
          <w:sz w:val="20"/>
          <w:szCs w:val="20"/>
        </w:rPr>
        <w:t>model</w:t>
      </w:r>
      <w:r w:rsidR="004475D1">
        <w:rPr>
          <w:rFonts w:ascii="Times New Roman" w:hAnsi="Times New Roman"/>
          <w:sz w:val="20"/>
          <w:szCs w:val="20"/>
        </w:rPr>
        <w:t xml:space="preserve">ling </w:t>
      </w:r>
      <w:r w:rsidR="0017644F">
        <w:rPr>
          <w:rFonts w:ascii="Times New Roman" w:hAnsi="Times New Roman"/>
          <w:sz w:val="20"/>
          <w:szCs w:val="20"/>
        </w:rPr>
        <w:t xml:space="preserve">the MBS service area as circle </w:t>
      </w:r>
      <w:r w:rsidR="001B4E5B">
        <w:rPr>
          <w:rFonts w:ascii="Times New Roman" w:hAnsi="Times New Roman"/>
          <w:sz w:val="20"/>
          <w:szCs w:val="20"/>
        </w:rPr>
        <w:t>can work and the key is to broacast this information to indicate to the UE of the</w:t>
      </w:r>
      <w:r w:rsidR="002218C5">
        <w:rPr>
          <w:rFonts w:ascii="Times New Roman" w:hAnsi="Times New Roman"/>
          <w:sz w:val="20"/>
          <w:szCs w:val="20"/>
        </w:rPr>
        <w:t xml:space="preserve"> intended MBS service area within a NTN cell.</w:t>
      </w:r>
    </w:p>
    <w:p w14:paraId="66346210" w14:textId="63A29392" w:rsidR="002538EB" w:rsidRPr="00C6166E" w:rsidRDefault="00405D43" w:rsidP="003C4BA4">
      <w:pPr>
        <w:pStyle w:val="ListParagraph"/>
        <w:numPr>
          <w:ilvl w:val="0"/>
          <w:numId w:val="28"/>
        </w:numPr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645E80">
        <w:rPr>
          <w:rFonts w:ascii="Times New Roman" w:hAnsi="Times New Roman"/>
          <w:sz w:val="20"/>
          <w:szCs w:val="20"/>
        </w:rPr>
        <w:t>MBS service area change</w:t>
      </w:r>
      <w:r w:rsidR="002A027D">
        <w:rPr>
          <w:rFonts w:ascii="Times New Roman" w:hAnsi="Times New Roman"/>
          <w:sz w:val="20"/>
          <w:szCs w:val="20"/>
        </w:rPr>
        <w:t xml:space="preserve"> usually happens along the country border</w:t>
      </w:r>
      <w:r w:rsidR="003532C2">
        <w:rPr>
          <w:rFonts w:ascii="Times New Roman" w:hAnsi="Times New Roman"/>
          <w:sz w:val="20"/>
          <w:szCs w:val="20"/>
        </w:rPr>
        <w:t xml:space="preserve">, due to the regulationary restrictions, and in this case, the polygon based model may not improve the </w:t>
      </w:r>
      <w:r w:rsidR="0054064F">
        <w:rPr>
          <w:rFonts w:ascii="Times New Roman" w:hAnsi="Times New Roman"/>
          <w:sz w:val="20"/>
          <w:szCs w:val="20"/>
        </w:rPr>
        <w:t>approximation a</w:t>
      </w:r>
      <w:r w:rsidR="0081519C">
        <w:rPr>
          <w:rFonts w:ascii="Times New Roman" w:hAnsi="Times New Roman"/>
          <w:sz w:val="20"/>
          <w:szCs w:val="20"/>
        </w:rPr>
        <w:t xml:space="preserve">ccuracy in a huge difference but increasing the </w:t>
      </w:r>
      <w:r w:rsidR="00C6166E">
        <w:rPr>
          <w:rFonts w:ascii="Times New Roman" w:hAnsi="Times New Roman"/>
          <w:sz w:val="20"/>
          <w:szCs w:val="20"/>
        </w:rPr>
        <w:t>signalling overhead on the other hand.</w:t>
      </w:r>
      <w:r w:rsidR="008D609A">
        <w:rPr>
          <w:rFonts w:ascii="Times New Roman" w:hAnsi="Times New Roman"/>
          <w:sz w:val="20"/>
          <w:szCs w:val="20"/>
        </w:rPr>
        <w:t xml:space="preserve"> Due to the complexicity of the </w:t>
      </w:r>
      <w:r w:rsidR="007B093A">
        <w:rPr>
          <w:rFonts w:ascii="Times New Roman" w:hAnsi="Times New Roman"/>
          <w:sz w:val="20"/>
          <w:szCs w:val="20"/>
        </w:rPr>
        <w:t xml:space="preserve">geographical </w:t>
      </w:r>
      <w:r w:rsidR="00EC7149">
        <w:rPr>
          <w:rFonts w:ascii="Times New Roman" w:hAnsi="Times New Roman"/>
          <w:sz w:val="20"/>
          <w:szCs w:val="20"/>
        </w:rPr>
        <w:t>shape</w:t>
      </w:r>
      <w:r w:rsidR="006F78A6">
        <w:rPr>
          <w:rFonts w:ascii="Times New Roman" w:hAnsi="Times New Roman"/>
          <w:sz w:val="20"/>
          <w:szCs w:val="20"/>
        </w:rPr>
        <w:t xml:space="preserve">, the polygon model may not </w:t>
      </w:r>
      <w:r w:rsidR="00C26286">
        <w:rPr>
          <w:rFonts w:ascii="Times New Roman" w:hAnsi="Times New Roman"/>
          <w:sz w:val="20"/>
          <w:szCs w:val="20"/>
        </w:rPr>
        <w:t xml:space="preserve">always </w:t>
      </w:r>
      <w:r w:rsidR="00FC65EC">
        <w:rPr>
          <w:rFonts w:ascii="Times New Roman" w:hAnsi="Times New Roman"/>
          <w:sz w:val="20"/>
          <w:szCs w:val="20"/>
        </w:rPr>
        <w:t>model the country border line in the more accurate</w:t>
      </w:r>
      <w:r w:rsidR="00C26286">
        <w:rPr>
          <w:rFonts w:ascii="Times New Roman" w:hAnsi="Times New Roman"/>
          <w:sz w:val="20"/>
          <w:szCs w:val="20"/>
        </w:rPr>
        <w:t xml:space="preserve"> way than the circel model, but it needs </w:t>
      </w:r>
      <w:r w:rsidR="00DB30BF">
        <w:rPr>
          <w:rFonts w:ascii="Times New Roman" w:hAnsi="Times New Roman"/>
          <w:sz w:val="20"/>
          <w:szCs w:val="20"/>
        </w:rPr>
        <w:t>to include more co</w:t>
      </w:r>
      <w:r w:rsidR="00851C03">
        <w:rPr>
          <w:rFonts w:ascii="Times New Roman" w:hAnsi="Times New Roman"/>
          <w:sz w:val="20"/>
          <w:szCs w:val="20"/>
        </w:rPr>
        <w:t>o</w:t>
      </w:r>
      <w:r w:rsidR="00DB30BF">
        <w:rPr>
          <w:rFonts w:ascii="Times New Roman" w:hAnsi="Times New Roman"/>
          <w:sz w:val="20"/>
          <w:szCs w:val="20"/>
        </w:rPr>
        <w:t xml:space="preserve">rdinates information therefore can increase the siganlling overhead. </w:t>
      </w:r>
      <w:r w:rsidR="00FC65EC">
        <w:rPr>
          <w:rFonts w:ascii="Times New Roman" w:hAnsi="Times New Roman"/>
          <w:sz w:val="20"/>
          <w:szCs w:val="20"/>
        </w:rPr>
        <w:t xml:space="preserve"> </w:t>
      </w:r>
    </w:p>
    <w:p w14:paraId="7B543EC1" w14:textId="60EC6F49" w:rsidR="00F854CA" w:rsidRDefault="00F854CA" w:rsidP="00C6166E">
      <w:pPr>
        <w:rPr>
          <w:b/>
          <w:bCs/>
        </w:rPr>
      </w:pPr>
      <w:r w:rsidRPr="00F854CA">
        <w:rPr>
          <w:b/>
          <w:bCs/>
        </w:rPr>
        <w:lastRenderedPageBreak/>
        <w:t>Proposal 1:</w:t>
      </w:r>
      <w:r>
        <w:rPr>
          <w:b/>
          <w:bCs/>
        </w:rPr>
        <w:t xml:space="preserve"> </w:t>
      </w:r>
      <w:r w:rsidR="0036596C">
        <w:rPr>
          <w:b/>
          <w:bCs/>
        </w:rPr>
        <w:t>A new SIB is specified to include the MBS service area geographical</w:t>
      </w:r>
      <w:r w:rsidR="00133F48">
        <w:rPr>
          <w:b/>
          <w:bCs/>
        </w:rPr>
        <w:t xml:space="preserve"> </w:t>
      </w:r>
      <w:r w:rsidR="007C4A03">
        <w:rPr>
          <w:b/>
          <w:bCs/>
        </w:rPr>
        <w:t>information and model them in circles as in Rel-18 NTN TN coverage.</w:t>
      </w:r>
    </w:p>
    <w:p w14:paraId="791AA416" w14:textId="77777777" w:rsidR="00FD0A9F" w:rsidRDefault="007D3EF9" w:rsidP="00C6166E">
      <w:r w:rsidRPr="007D3EF9">
        <w:t>It</w:t>
      </w:r>
      <w:r>
        <w:t xml:space="preserve"> was agreed that any</w:t>
      </w:r>
      <w:r w:rsidR="00D22138">
        <w:t xml:space="preserve"> satellite constellation type</w:t>
      </w:r>
      <w:r w:rsidR="00AA7BD8">
        <w:t xml:space="preserve"> will be included in the Rel-19 work, which </w:t>
      </w:r>
      <w:r w:rsidR="001C678E">
        <w:t xml:space="preserve">includes </w:t>
      </w:r>
      <w:r w:rsidR="001B5694">
        <w:t xml:space="preserve">earth </w:t>
      </w:r>
      <w:r w:rsidR="001C678E">
        <w:t>moving cell</w:t>
      </w:r>
      <w:r w:rsidR="006D2971">
        <w:t xml:space="preserve"> with NGSO satellite</w:t>
      </w:r>
      <w:r w:rsidR="00491EF7">
        <w:t>.</w:t>
      </w:r>
      <w:r w:rsidR="009E2036">
        <w:t xml:space="preserve"> If </w:t>
      </w:r>
      <w:r w:rsidR="00AC1572">
        <w:t xml:space="preserve">a cell broadcast </w:t>
      </w:r>
      <w:r w:rsidR="00CD5272">
        <w:t>MBS service geographical area information,</w:t>
      </w:r>
      <w:r w:rsidR="00785A63">
        <w:t xml:space="preserve"> this information may change due to the movement of the </w:t>
      </w:r>
      <w:proofErr w:type="gramStart"/>
      <w:r w:rsidR="00785A63">
        <w:t>satellite</w:t>
      </w:r>
      <w:proofErr w:type="gramEnd"/>
      <w:r w:rsidR="00785A63">
        <w:t xml:space="preserve"> </w:t>
      </w:r>
      <w:r w:rsidR="00D741B5">
        <w:t xml:space="preserve">and it usually happens when </w:t>
      </w:r>
      <w:r w:rsidR="00314564">
        <w:t>the cell sweeps across the country border</w:t>
      </w:r>
      <w:r w:rsidR="00B84BC9">
        <w:t>.</w:t>
      </w:r>
      <w:r w:rsidR="00644370">
        <w:t xml:space="preserve"> On the other hand, for a UE stays in one country, it will know if it is allowed to access the MBS service</w:t>
      </w:r>
      <w:r w:rsidR="00682988">
        <w:t xml:space="preserve"> or not. For the UE that is moving across the country border while the moving cell is sweeping across the country border, the UE </w:t>
      </w:r>
      <w:r w:rsidR="008A43D6">
        <w:t>may need to perform PLMN selection anyway</w:t>
      </w:r>
      <w:r w:rsidR="000207DF">
        <w:t xml:space="preserve">. Therefore, we don’t see a strong motivation to discuss the impact </w:t>
      </w:r>
      <w:r w:rsidR="00A17BB7">
        <w:t>due to the potentially frequent cell</w:t>
      </w:r>
      <w:r w:rsidR="00FD0A9F">
        <w:t xml:space="preserve"> change.</w:t>
      </w:r>
    </w:p>
    <w:p w14:paraId="4BCAAA3D" w14:textId="7231CB87" w:rsidR="000260B7" w:rsidRPr="00FD0A9F" w:rsidRDefault="00FD0A9F" w:rsidP="00C6166E">
      <w:r w:rsidRPr="00FD0A9F">
        <w:rPr>
          <w:b/>
          <w:bCs/>
        </w:rPr>
        <w:t>Proposal 2:</w:t>
      </w:r>
      <w:r>
        <w:rPr>
          <w:b/>
          <w:bCs/>
        </w:rPr>
        <w:t xml:space="preserve"> </w:t>
      </w:r>
      <w:r w:rsidR="00FD17D2">
        <w:rPr>
          <w:b/>
          <w:bCs/>
        </w:rPr>
        <w:t xml:space="preserve">No need to address </w:t>
      </w:r>
      <w:r w:rsidR="00505D91">
        <w:rPr>
          <w:b/>
          <w:bCs/>
        </w:rPr>
        <w:t>MBS service area geographical information broadcasting</w:t>
      </w:r>
      <w:r w:rsidR="00FD17D2">
        <w:rPr>
          <w:b/>
          <w:bCs/>
        </w:rPr>
        <w:t xml:space="preserve"> </w:t>
      </w:r>
      <w:r w:rsidR="002403AF">
        <w:rPr>
          <w:b/>
          <w:bCs/>
        </w:rPr>
        <w:t>in country border areas</w:t>
      </w:r>
      <w:r w:rsidR="00352128">
        <w:rPr>
          <w:b/>
          <w:bCs/>
        </w:rPr>
        <w:t>.</w:t>
      </w:r>
      <w:r>
        <w:rPr>
          <w:b/>
          <w:bCs/>
        </w:rPr>
        <w:t xml:space="preserve"> </w:t>
      </w:r>
      <w:r w:rsidR="001C678E" w:rsidRPr="00FD0A9F">
        <w:t xml:space="preserve"> </w:t>
      </w:r>
    </w:p>
    <w:p w14:paraId="2C4F7466" w14:textId="1B5ACBD7" w:rsidR="00F854CA" w:rsidRPr="00C6166E" w:rsidRDefault="00F854CA" w:rsidP="00C6166E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621F560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5133C53C" w14:textId="77777777" w:rsidR="005843B0" w:rsidRDefault="005843B0" w:rsidP="005843B0">
      <w:pPr>
        <w:rPr>
          <w:b/>
          <w:bCs/>
        </w:rPr>
      </w:pPr>
      <w:r w:rsidRPr="00F854CA">
        <w:rPr>
          <w:b/>
          <w:bCs/>
        </w:rPr>
        <w:t>Proposal 1:</w:t>
      </w:r>
      <w:r>
        <w:rPr>
          <w:b/>
          <w:bCs/>
        </w:rPr>
        <w:t xml:space="preserve"> A new SIB is specified to include the MBS service area geographical information and model them in circles as in Rel-18 NTN TN coverage.</w:t>
      </w:r>
    </w:p>
    <w:p w14:paraId="17A133F0" w14:textId="77777777" w:rsidR="005843B0" w:rsidRPr="00FD0A9F" w:rsidRDefault="005843B0" w:rsidP="005843B0">
      <w:r w:rsidRPr="00FD0A9F">
        <w:rPr>
          <w:b/>
          <w:bCs/>
        </w:rPr>
        <w:t>Proposal 2:</w:t>
      </w:r>
      <w:r>
        <w:rPr>
          <w:b/>
          <w:bCs/>
        </w:rPr>
        <w:t xml:space="preserve"> No need to address MBS service area geographical information broadcasting in country border areas. </w:t>
      </w:r>
      <w:r w:rsidRPr="00FD0A9F"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E936" w14:textId="77777777" w:rsidR="00147718" w:rsidRDefault="00147718">
      <w:r>
        <w:separator/>
      </w:r>
    </w:p>
  </w:endnote>
  <w:endnote w:type="continuationSeparator" w:id="0">
    <w:p w14:paraId="4AD4164F" w14:textId="77777777" w:rsidR="00147718" w:rsidRDefault="00147718">
      <w:r>
        <w:continuationSeparator/>
      </w:r>
    </w:p>
  </w:endnote>
  <w:endnote w:type="continuationNotice" w:id="1">
    <w:p w14:paraId="5C197483" w14:textId="77777777" w:rsidR="00147718" w:rsidRDefault="00147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D553" w14:textId="77777777" w:rsidR="00147718" w:rsidRDefault="00147718">
      <w:r>
        <w:separator/>
      </w:r>
    </w:p>
  </w:footnote>
  <w:footnote w:type="continuationSeparator" w:id="0">
    <w:p w14:paraId="74FD83C2" w14:textId="77777777" w:rsidR="00147718" w:rsidRDefault="00147718">
      <w:r>
        <w:continuationSeparator/>
      </w:r>
    </w:p>
  </w:footnote>
  <w:footnote w:type="continuationNotice" w:id="1">
    <w:p w14:paraId="767FF0C1" w14:textId="77777777" w:rsidR="00147718" w:rsidRDefault="001477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3"/>
  </w:num>
  <w:num w:numId="2" w16cid:durableId="1472406630">
    <w:abstractNumId w:val="26"/>
  </w:num>
  <w:num w:numId="3" w16cid:durableId="1275019771">
    <w:abstractNumId w:val="16"/>
  </w:num>
  <w:num w:numId="4" w16cid:durableId="2023631484">
    <w:abstractNumId w:val="12"/>
  </w:num>
  <w:num w:numId="5" w16cid:durableId="97798783">
    <w:abstractNumId w:val="1"/>
  </w:num>
  <w:num w:numId="6" w16cid:durableId="1417440385">
    <w:abstractNumId w:val="24"/>
  </w:num>
  <w:num w:numId="7" w16cid:durableId="495194234">
    <w:abstractNumId w:val="22"/>
  </w:num>
  <w:num w:numId="8" w16cid:durableId="178592675">
    <w:abstractNumId w:val="27"/>
  </w:num>
  <w:num w:numId="9" w16cid:durableId="189729083">
    <w:abstractNumId w:val="0"/>
  </w:num>
  <w:num w:numId="10" w16cid:durableId="1221284069">
    <w:abstractNumId w:val="18"/>
  </w:num>
  <w:num w:numId="11" w16cid:durableId="1041634496">
    <w:abstractNumId w:val="23"/>
  </w:num>
  <w:num w:numId="12" w16cid:durableId="1875606508">
    <w:abstractNumId w:val="19"/>
  </w:num>
  <w:num w:numId="13" w16cid:durableId="1902011288">
    <w:abstractNumId w:val="25"/>
  </w:num>
  <w:num w:numId="14" w16cid:durableId="249000757">
    <w:abstractNumId w:val="21"/>
  </w:num>
  <w:num w:numId="15" w16cid:durableId="771703459">
    <w:abstractNumId w:val="15"/>
  </w:num>
  <w:num w:numId="16" w16cid:durableId="155074789">
    <w:abstractNumId w:val="3"/>
  </w:num>
  <w:num w:numId="17" w16cid:durableId="982391174">
    <w:abstractNumId w:val="20"/>
  </w:num>
  <w:num w:numId="18" w16cid:durableId="543097493">
    <w:abstractNumId w:val="8"/>
  </w:num>
  <w:num w:numId="19" w16cid:durableId="719550984">
    <w:abstractNumId w:val="14"/>
  </w:num>
  <w:num w:numId="20" w16cid:durableId="3364084">
    <w:abstractNumId w:val="2"/>
  </w:num>
  <w:num w:numId="21" w16cid:durableId="1743673421">
    <w:abstractNumId w:val="9"/>
  </w:num>
  <w:num w:numId="22" w16cid:durableId="1715815392">
    <w:abstractNumId w:val="5"/>
  </w:num>
  <w:num w:numId="23" w16cid:durableId="916552633">
    <w:abstractNumId w:val="4"/>
  </w:num>
  <w:num w:numId="24" w16cid:durableId="423696816">
    <w:abstractNumId w:val="10"/>
  </w:num>
  <w:num w:numId="25" w16cid:durableId="106043341">
    <w:abstractNumId w:val="17"/>
  </w:num>
  <w:num w:numId="26" w16cid:durableId="1431658495">
    <w:abstractNumId w:val="11"/>
  </w:num>
  <w:num w:numId="27" w16cid:durableId="1908608067">
    <w:abstractNumId w:val="6"/>
  </w:num>
  <w:num w:numId="28" w16cid:durableId="111131802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087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78E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3AF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564"/>
    <w:rsid w:val="00314729"/>
    <w:rsid w:val="00314BA9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18F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233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3B0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9FB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6F78A6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10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6B2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093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C03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522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09A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16F8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64B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9E5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286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0BF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149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5EC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7D2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329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55d979c1-5249-49b1-9d13-48b77d465bf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fed6b700-95b7-4bcd-9420-776afa9d3e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666</Words>
  <Characters>3399</Characters>
  <Application>Microsoft Office Word</Application>
  <DocSecurity>0</DocSecurity>
  <Lines>28</Lines>
  <Paragraphs>8</Paragraphs>
  <ScaleCrop>false</ScaleCrop>
  <Company>Alcatel-Lucent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Yuxin Wei</cp:lastModifiedBy>
  <cp:revision>50</cp:revision>
  <cp:lastPrinted>2009-09-26T16:02:00Z</cp:lastPrinted>
  <dcterms:created xsi:type="dcterms:W3CDTF">2024-05-09T14:04:00Z</dcterms:created>
  <dcterms:modified xsi:type="dcterms:W3CDTF">2024-05-09T14:26:00Z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