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DCD" w:rsidRPr="00344FB2" w:rsidRDefault="00022DCD" w:rsidP="00022DCD">
      <w:pPr>
        <w:pStyle w:val="af3"/>
        <w:tabs>
          <w:tab w:val="right" w:pos="9645"/>
        </w:tabs>
        <w:spacing w:before="0" w:beforeAutospacing="0" w:after="0" w:afterAutospacing="0"/>
        <w:jc w:val="both"/>
        <w:rPr>
          <w:rFonts w:eastAsia="宋体"/>
          <w:b/>
          <w:szCs w:val="22"/>
          <w:lang w:val="en-US" w:eastAsia="zh-CN" w:bidi="ar"/>
        </w:rPr>
      </w:pPr>
      <w:r w:rsidRPr="00344FB2">
        <w:rPr>
          <w:rFonts w:eastAsia="宋体"/>
          <w:b/>
          <w:szCs w:val="22"/>
          <w:lang w:val="en-US" w:eastAsia="zh-CN" w:bidi="ar"/>
        </w:rPr>
        <w:t>3GPP TS</w:t>
      </w:r>
      <w:r>
        <w:rPr>
          <w:rFonts w:eastAsia="宋体"/>
          <w:b/>
          <w:szCs w:val="22"/>
          <w:lang w:val="en-US" w:eastAsia="zh-CN" w:bidi="ar"/>
        </w:rPr>
        <w:t>G</w:t>
      </w:r>
      <w:r>
        <w:rPr>
          <w:rFonts w:eastAsia="宋体"/>
          <w:b/>
          <w:szCs w:val="22"/>
          <w:lang w:val="en-US" w:eastAsia="zh-CN" w:bidi="ar"/>
        </w:rPr>
        <w:t>-RAN WG2 Meeting #125</w:t>
      </w:r>
      <w:r>
        <w:rPr>
          <w:rFonts w:eastAsia="宋体"/>
          <w:b/>
          <w:szCs w:val="22"/>
          <w:lang w:val="en-US" w:eastAsia="zh-CN" w:bidi="ar"/>
        </w:rPr>
        <w:tab/>
        <w:t>R2-2401033</w:t>
      </w:r>
    </w:p>
    <w:p w:rsidR="00022DCD" w:rsidRPr="00344FB2" w:rsidRDefault="00022DCD" w:rsidP="00022DCD">
      <w:pPr>
        <w:pStyle w:val="af3"/>
        <w:tabs>
          <w:tab w:val="right" w:pos="9645"/>
        </w:tabs>
        <w:spacing w:before="0" w:beforeAutospacing="0" w:after="0" w:afterAutospacing="0"/>
        <w:jc w:val="both"/>
        <w:rPr>
          <w:rFonts w:eastAsia="宋体"/>
          <w:b/>
          <w:szCs w:val="22"/>
          <w:lang w:val="en-US" w:eastAsia="zh-CN" w:bidi="ar"/>
        </w:rPr>
      </w:pPr>
      <w:r w:rsidRPr="00344FB2">
        <w:rPr>
          <w:rFonts w:eastAsia="宋体"/>
          <w:b/>
          <w:szCs w:val="22"/>
          <w:lang w:val="en-US" w:eastAsia="zh-CN" w:bidi="ar"/>
        </w:rPr>
        <w:t xml:space="preserve">Athens 27th Feb– 2nd Mar, 2024 </w:t>
      </w:r>
    </w:p>
    <w:p w:rsidR="00E257E9" w:rsidRPr="00022DCD" w:rsidRDefault="00E257E9">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E257E9" w:rsidRDefault="0049367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2416A2" w:rsidRDefault="0049367A">
      <w:pPr>
        <w:jc w:val="left"/>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w:t>
      </w:r>
      <w:r w:rsidR="002416A2" w:rsidRPr="002416A2">
        <w:rPr>
          <w:rFonts w:ascii="Arial" w:hAnsi="Arial" w:cs="Arial"/>
          <w:b/>
          <w:bCs/>
          <w:snapToGrid w:val="0"/>
          <w:kern w:val="0"/>
          <w:sz w:val="24"/>
        </w:rPr>
        <w:t xml:space="preserve">Clarification on the </w:t>
      </w:r>
      <w:proofErr w:type="spellStart"/>
      <w:proofErr w:type="gramStart"/>
      <w:r w:rsidR="002416A2" w:rsidRPr="002416A2">
        <w:rPr>
          <w:rFonts w:ascii="Arial" w:hAnsi="Arial" w:cs="Arial"/>
          <w:b/>
          <w:bCs/>
          <w:snapToGrid w:val="0"/>
          <w:kern w:val="0"/>
          <w:sz w:val="24"/>
        </w:rPr>
        <w:t>Tx</w:t>
      </w:r>
      <w:proofErr w:type="spellEnd"/>
      <w:proofErr w:type="gramEnd"/>
      <w:r w:rsidR="002416A2" w:rsidRPr="002416A2">
        <w:rPr>
          <w:rFonts w:ascii="Arial" w:hAnsi="Arial" w:cs="Arial"/>
          <w:b/>
          <w:bCs/>
          <w:snapToGrid w:val="0"/>
          <w:kern w:val="0"/>
          <w:sz w:val="24"/>
        </w:rPr>
        <w:t xml:space="preserve"> Diversity Capability</w:t>
      </w:r>
    </w:p>
    <w:p w:rsidR="00E257E9" w:rsidRDefault="0049367A">
      <w:pPr>
        <w:jc w:val="left"/>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 xml:space="preserve">    </w:t>
      </w:r>
      <w:r w:rsidR="00313F67">
        <w:rPr>
          <w:rFonts w:ascii="Arial" w:hAnsi="Arial" w:cs="Arial"/>
          <w:b/>
          <w:bCs/>
          <w:snapToGrid w:val="0"/>
          <w:kern w:val="0"/>
          <w:sz w:val="24"/>
        </w:rPr>
        <w:t>7</w:t>
      </w:r>
      <w:r w:rsidR="00313F67">
        <w:rPr>
          <w:rFonts w:ascii="Arial" w:hAnsi="Arial" w:cs="Arial" w:hint="eastAsia"/>
          <w:b/>
          <w:bCs/>
          <w:snapToGrid w:val="0"/>
          <w:kern w:val="0"/>
          <w:sz w:val="24"/>
        </w:rPr>
        <w:t>.</w:t>
      </w:r>
      <w:r w:rsidR="00313F67">
        <w:rPr>
          <w:rFonts w:ascii="Arial" w:hAnsi="Arial" w:cs="Arial"/>
          <w:b/>
          <w:bCs/>
          <w:snapToGrid w:val="0"/>
          <w:kern w:val="0"/>
          <w:sz w:val="24"/>
        </w:rPr>
        <w:t>25</w:t>
      </w:r>
      <w:r w:rsidR="00313F67">
        <w:rPr>
          <w:rFonts w:ascii="Arial" w:hAnsi="Arial" w:cs="Arial" w:hint="eastAsia"/>
          <w:b/>
          <w:bCs/>
          <w:snapToGrid w:val="0"/>
          <w:kern w:val="0"/>
          <w:sz w:val="24"/>
        </w:rPr>
        <w:t>.</w:t>
      </w:r>
      <w:r w:rsidR="00313F67">
        <w:rPr>
          <w:rFonts w:ascii="Arial" w:hAnsi="Arial" w:cs="Arial"/>
          <w:b/>
          <w:bCs/>
          <w:snapToGrid w:val="0"/>
          <w:kern w:val="0"/>
          <w:sz w:val="24"/>
        </w:rPr>
        <w:t>1</w:t>
      </w:r>
      <w:r w:rsidR="002416A2">
        <w:rPr>
          <w:rFonts w:ascii="Arial" w:hAnsi="Arial" w:cs="Arial" w:hint="eastAsia"/>
          <w:b/>
          <w:bCs/>
          <w:snapToGrid w:val="0"/>
          <w:kern w:val="0"/>
          <w:sz w:val="24"/>
        </w:rPr>
        <w:t>.</w:t>
      </w:r>
      <w:r w:rsidR="002416A2">
        <w:rPr>
          <w:rFonts w:ascii="Arial" w:hAnsi="Arial" w:cs="Arial"/>
          <w:b/>
          <w:bCs/>
          <w:snapToGrid w:val="0"/>
          <w:kern w:val="0"/>
          <w:sz w:val="24"/>
        </w:rPr>
        <w:t>7</w:t>
      </w:r>
    </w:p>
    <w:p w:rsidR="00E257E9" w:rsidRDefault="0049367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 xml:space="preserve">  Discussion</w:t>
      </w:r>
      <w:r>
        <w:rPr>
          <w:rFonts w:ascii="Arial" w:hAnsi="Arial" w:cs="Arial" w:hint="eastAsia"/>
          <w:b/>
          <w:bCs/>
          <w:snapToGrid w:val="0"/>
          <w:kern w:val="0"/>
          <w:sz w:val="24"/>
        </w:rPr>
        <w:t xml:space="preserve"> and Decision</w:t>
      </w:r>
    </w:p>
    <w:p w:rsidR="00E257E9" w:rsidRDefault="0049367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AF74C6" w:rsidRDefault="00D21458" w:rsidP="000251A3">
      <w:r>
        <w:t xml:space="preserve">For the </w:t>
      </w:r>
      <w:proofErr w:type="spellStart"/>
      <w:r>
        <w:t>Tx</w:t>
      </w:r>
      <w:proofErr w:type="spellEnd"/>
      <w:r>
        <w:t xml:space="preserve"> Diversity Capability, </w:t>
      </w:r>
      <w:r w:rsidR="00153165">
        <w:t>2</w:t>
      </w:r>
      <w:r>
        <w:t xml:space="preserve"> LS </w:t>
      </w:r>
      <w:r w:rsidR="00AF74C6">
        <w:t>were received</w:t>
      </w:r>
      <w:r>
        <w:t xml:space="preserve"> from RAN4, one is about the 2 </w:t>
      </w:r>
      <w:proofErr w:type="spellStart"/>
      <w:proofErr w:type="gramStart"/>
      <w:r>
        <w:t>Tx</w:t>
      </w:r>
      <w:proofErr w:type="spellEnd"/>
      <w:proofErr w:type="gramEnd"/>
      <w:r>
        <w:t xml:space="preserve"> Diversity Capability for the 3Tx case [1], while the other one is about the 4 </w:t>
      </w:r>
      <w:proofErr w:type="spellStart"/>
      <w:r>
        <w:t>Tx</w:t>
      </w:r>
      <w:proofErr w:type="spellEnd"/>
      <w:r>
        <w:t xml:space="preserve"> Diversity case [2]. </w:t>
      </w:r>
      <w:r w:rsidR="00022DCD">
        <w:t>In</w:t>
      </w:r>
      <w:r w:rsidR="00AF74C6">
        <w:t xml:space="preserve"> [2</w:t>
      </w:r>
      <w:r w:rsidR="00022DCD">
        <w:t>]</w:t>
      </w:r>
      <w:r w:rsidR="00AF74C6">
        <w:t xml:space="preserve">, it further clarifies the relation among the legacy per band 2 </w:t>
      </w:r>
      <w:proofErr w:type="spellStart"/>
      <w:r w:rsidR="00AF74C6">
        <w:t>Tx</w:t>
      </w:r>
      <w:proofErr w:type="spellEnd"/>
      <w:r w:rsidR="00AF74C6">
        <w:t xml:space="preserve"> Diversity capability, per band per BC 2 </w:t>
      </w:r>
      <w:proofErr w:type="spellStart"/>
      <w:r w:rsidR="00AF74C6">
        <w:t>Tx</w:t>
      </w:r>
      <w:proofErr w:type="spellEnd"/>
      <w:r w:rsidR="00AF74C6">
        <w:t xml:space="preserve"> Diversity capability and </w:t>
      </w:r>
      <w:proofErr w:type="gramStart"/>
      <w:r w:rsidR="00AF74C6">
        <w:t>the per</w:t>
      </w:r>
      <w:proofErr w:type="gramEnd"/>
      <w:r w:rsidR="00AF74C6">
        <w:t xml:space="preserve"> band per BC 4 </w:t>
      </w:r>
      <w:proofErr w:type="spellStart"/>
      <w:r w:rsidR="00AF74C6">
        <w:t>Tx</w:t>
      </w:r>
      <w:proofErr w:type="spellEnd"/>
      <w:r w:rsidR="00AF74C6">
        <w:t xml:space="preserve"> Diversity capability. In detail:</w:t>
      </w:r>
    </w:p>
    <w:tbl>
      <w:tblPr>
        <w:tblStyle w:val="af5"/>
        <w:tblW w:w="0" w:type="auto"/>
        <w:tblLook w:val="04A0" w:firstRow="1" w:lastRow="0" w:firstColumn="1" w:lastColumn="0" w:noHBand="0" w:noVBand="1"/>
      </w:tblPr>
      <w:tblGrid>
        <w:gridCol w:w="9771"/>
      </w:tblGrid>
      <w:tr w:rsidR="00AF74C6" w:rsidTr="00AF74C6">
        <w:tc>
          <w:tcPr>
            <w:tcW w:w="9771" w:type="dxa"/>
          </w:tcPr>
          <w:p w:rsidR="00AF74C6" w:rsidRPr="00AF74C6" w:rsidRDefault="00AF74C6" w:rsidP="00AF74C6">
            <w:pPr>
              <w:spacing w:afterLines="50" w:after="156"/>
              <w:rPr>
                <w:rFonts w:ascii="Arial" w:eastAsia="宋体" w:hAnsi="Arial" w:cs="Arial"/>
                <w:bCs/>
                <w:iCs/>
                <w:sz w:val="18"/>
                <w:szCs w:val="18"/>
              </w:rPr>
            </w:pPr>
            <w:r w:rsidRPr="00AF74C6">
              <w:rPr>
                <w:rFonts w:ascii="Arial" w:hAnsi="Arial" w:cs="Arial"/>
                <w:sz w:val="18"/>
                <w:szCs w:val="18"/>
              </w:rPr>
              <w:t xml:space="preserve">After further discussion during RAN4#109, </w:t>
            </w:r>
            <w:r w:rsidRPr="00AF74C6">
              <w:rPr>
                <w:rFonts w:ascii="Arial" w:eastAsia="宋体" w:hAnsi="Arial" w:cs="Arial"/>
                <w:bCs/>
                <w:iCs/>
                <w:sz w:val="18"/>
                <w:szCs w:val="18"/>
              </w:rPr>
              <w:t>RAN4 would like to have following further clarification with RAN2.</w:t>
            </w:r>
          </w:p>
          <w:p w:rsidR="00AF74C6" w:rsidRPr="00AF74C6" w:rsidRDefault="00AF74C6" w:rsidP="00AF74C6">
            <w:pPr>
              <w:spacing w:afterLines="50" w:after="156"/>
              <w:rPr>
                <w:rFonts w:ascii="Arial" w:eastAsia="宋体" w:hAnsi="Arial" w:cs="Arial"/>
                <w:bCs/>
                <w:iCs/>
                <w:sz w:val="18"/>
                <w:szCs w:val="18"/>
              </w:rPr>
            </w:pPr>
            <w:r w:rsidRPr="00AF74C6">
              <w:rPr>
                <w:rFonts w:ascii="Arial" w:hAnsi="Arial" w:cs="Arial"/>
                <w:sz w:val="18"/>
                <w:szCs w:val="18"/>
              </w:rPr>
              <w:t xml:space="preserve">1) New Rel-18 FS </w:t>
            </w:r>
            <w:r w:rsidRPr="00AF74C6">
              <w:rPr>
                <w:rFonts w:ascii="Arial" w:hAnsi="Arial" w:cs="Arial"/>
                <w:i/>
                <w:sz w:val="18"/>
                <w:szCs w:val="18"/>
              </w:rPr>
              <w:t>[txDiversity2Tx-r18]</w:t>
            </w:r>
            <w:r w:rsidRPr="00AF74C6">
              <w:rPr>
                <w:rFonts w:ascii="Arial" w:hAnsi="Arial" w:cs="Arial"/>
                <w:sz w:val="18"/>
                <w:szCs w:val="18"/>
              </w:rPr>
              <w:t xml:space="preserve"> is applicable for both single band (non-CA) case and CA case.</w:t>
            </w:r>
          </w:p>
          <w:p w:rsidR="00AF74C6" w:rsidRPr="00AF74C6" w:rsidRDefault="00AF74C6" w:rsidP="00AF74C6">
            <w:pPr>
              <w:spacing w:afterLines="50" w:after="156"/>
              <w:rPr>
                <w:rFonts w:ascii="Arial" w:hAnsi="Arial" w:cs="Arial"/>
                <w:sz w:val="18"/>
                <w:szCs w:val="18"/>
              </w:rPr>
            </w:pPr>
            <w:r w:rsidRPr="00AF74C6">
              <w:rPr>
                <w:rFonts w:ascii="Arial" w:hAnsi="Arial" w:cs="Arial" w:hint="eastAsia"/>
                <w:sz w:val="18"/>
                <w:szCs w:val="18"/>
              </w:rPr>
              <w:t>2</w:t>
            </w:r>
            <w:r w:rsidRPr="00AF74C6">
              <w:rPr>
                <w:rFonts w:ascii="Arial" w:hAnsi="Arial" w:cs="Arial"/>
                <w:sz w:val="18"/>
                <w:szCs w:val="18"/>
              </w:rPr>
              <w:t xml:space="preserve">) New Rel-18 FS </w:t>
            </w:r>
            <w:r w:rsidRPr="00AF74C6">
              <w:rPr>
                <w:rFonts w:ascii="Arial" w:hAnsi="Arial" w:cs="Arial"/>
                <w:i/>
                <w:sz w:val="18"/>
                <w:szCs w:val="18"/>
              </w:rPr>
              <w:t>[txDiversity4Tx-r18]</w:t>
            </w:r>
            <w:r w:rsidRPr="00AF74C6">
              <w:rPr>
                <w:rFonts w:ascii="Arial" w:hAnsi="Arial" w:cs="Arial"/>
                <w:sz w:val="18"/>
                <w:szCs w:val="18"/>
              </w:rPr>
              <w:t xml:space="preserve"> is applicable for both single band (non-CA) case and CA case.</w:t>
            </w:r>
          </w:p>
          <w:p w:rsidR="00AF74C6" w:rsidRPr="00AF74C6" w:rsidRDefault="00AF74C6" w:rsidP="00AF74C6">
            <w:pPr>
              <w:spacing w:afterLines="50" w:after="156"/>
              <w:rPr>
                <w:rFonts w:ascii="Arial" w:hAnsi="Arial" w:cs="Arial"/>
                <w:sz w:val="18"/>
                <w:szCs w:val="18"/>
              </w:rPr>
            </w:pPr>
            <w:r w:rsidRPr="00AF74C6">
              <w:rPr>
                <w:rFonts w:ascii="Arial" w:eastAsia="宋体" w:hAnsi="Arial" w:cs="Arial" w:hint="eastAsia"/>
                <w:bCs/>
                <w:iCs/>
                <w:sz w:val="18"/>
                <w:szCs w:val="18"/>
              </w:rPr>
              <w:t>3</w:t>
            </w:r>
            <w:r w:rsidRPr="00AF74C6">
              <w:rPr>
                <w:rFonts w:ascii="Arial" w:eastAsia="宋体" w:hAnsi="Arial" w:cs="Arial"/>
                <w:bCs/>
                <w:iCs/>
                <w:sz w:val="18"/>
                <w:szCs w:val="18"/>
              </w:rPr>
              <w:t xml:space="preserve">) </w:t>
            </w:r>
            <w:r w:rsidRPr="00AF74C6">
              <w:rPr>
                <w:rFonts w:ascii="Arial" w:hAnsi="Arial" w:cs="Arial"/>
                <w:sz w:val="18"/>
                <w:szCs w:val="18"/>
              </w:rPr>
              <w:t xml:space="preserve">In terms of the interaction between </w:t>
            </w:r>
            <w:r w:rsidRPr="00AF74C6">
              <w:rPr>
                <w:rFonts w:ascii="Arial" w:hAnsi="Arial" w:cs="Arial"/>
                <w:i/>
                <w:sz w:val="18"/>
                <w:szCs w:val="18"/>
              </w:rPr>
              <w:t>[txDiversity2Tx-r18]</w:t>
            </w:r>
            <w:r w:rsidRPr="00AF74C6">
              <w:rPr>
                <w:rFonts w:ascii="Arial" w:hAnsi="Arial" w:cs="Arial"/>
                <w:sz w:val="18"/>
                <w:szCs w:val="18"/>
              </w:rPr>
              <w:t xml:space="preserve"> and </w:t>
            </w:r>
            <w:r w:rsidRPr="00AF74C6">
              <w:rPr>
                <w:rFonts w:ascii="Arial" w:hAnsi="Arial" w:cs="Arial"/>
                <w:i/>
                <w:sz w:val="18"/>
                <w:szCs w:val="18"/>
              </w:rPr>
              <w:t>[txDiversity4Tx-r18]</w:t>
            </w:r>
            <w:r w:rsidRPr="00AF74C6">
              <w:rPr>
                <w:rFonts w:ascii="Arial" w:hAnsi="Arial" w:cs="Arial"/>
                <w:sz w:val="18"/>
                <w:szCs w:val="18"/>
              </w:rPr>
              <w:t xml:space="preserve">, RAN4 concludes that the presence of </w:t>
            </w:r>
            <w:r w:rsidRPr="00AF74C6">
              <w:rPr>
                <w:rFonts w:ascii="Arial" w:hAnsi="Arial" w:cs="Arial"/>
                <w:i/>
                <w:sz w:val="18"/>
                <w:szCs w:val="18"/>
              </w:rPr>
              <w:t>[txDiversity4Tx-r18]</w:t>
            </w:r>
            <w:r w:rsidRPr="00AF74C6">
              <w:rPr>
                <w:rFonts w:ascii="Arial" w:hAnsi="Arial" w:cs="Arial"/>
                <w:sz w:val="18"/>
                <w:szCs w:val="18"/>
              </w:rPr>
              <w:t xml:space="preserve"> does not require the support of </w:t>
            </w:r>
            <w:r w:rsidRPr="00AF74C6">
              <w:rPr>
                <w:rFonts w:ascii="Arial" w:hAnsi="Arial" w:cs="Arial"/>
                <w:i/>
                <w:sz w:val="18"/>
                <w:szCs w:val="18"/>
              </w:rPr>
              <w:t>[txDiversity2Tx-r18]</w:t>
            </w:r>
            <w:r w:rsidRPr="00AF74C6">
              <w:rPr>
                <w:rFonts w:ascii="Arial" w:hAnsi="Arial" w:cs="Arial"/>
                <w:sz w:val="18"/>
                <w:szCs w:val="18"/>
              </w:rPr>
              <w:t xml:space="preserve">. </w:t>
            </w:r>
          </w:p>
          <w:p w:rsidR="00AF74C6" w:rsidRPr="00AF74C6" w:rsidRDefault="00AF74C6" w:rsidP="00AF74C6">
            <w:pPr>
              <w:rPr>
                <w:rFonts w:ascii="Arial" w:hAnsi="Arial" w:cs="Arial"/>
                <w:sz w:val="18"/>
                <w:szCs w:val="18"/>
              </w:rPr>
            </w:pPr>
            <w:r w:rsidRPr="00AF74C6">
              <w:rPr>
                <w:rFonts w:ascii="Arial" w:eastAsia="宋体" w:hAnsi="Arial" w:cs="Arial" w:hint="eastAsia"/>
                <w:bCs/>
                <w:iCs/>
                <w:sz w:val="18"/>
                <w:szCs w:val="18"/>
              </w:rPr>
              <w:t>4</w:t>
            </w:r>
            <w:r w:rsidRPr="00AF74C6">
              <w:rPr>
                <w:rFonts w:ascii="Arial" w:eastAsia="宋体" w:hAnsi="Arial" w:cs="Arial"/>
                <w:bCs/>
                <w:iCs/>
                <w:sz w:val="18"/>
                <w:szCs w:val="18"/>
              </w:rPr>
              <w:t xml:space="preserve">) RAN4 discuss the interaction between </w:t>
            </w:r>
            <w:r w:rsidRPr="00AF74C6">
              <w:rPr>
                <w:rFonts w:ascii="Arial" w:hAnsi="Arial" w:cs="Arial"/>
                <w:i/>
                <w:sz w:val="18"/>
                <w:szCs w:val="18"/>
              </w:rPr>
              <w:t xml:space="preserve">txDiversity-r16 </w:t>
            </w:r>
            <w:r w:rsidRPr="00AF74C6">
              <w:rPr>
                <w:rFonts w:ascii="Arial" w:hAnsi="Arial" w:cs="Arial"/>
                <w:sz w:val="18"/>
                <w:szCs w:val="18"/>
              </w:rPr>
              <w:t xml:space="preserve">and </w:t>
            </w:r>
            <w:r w:rsidRPr="00AF74C6">
              <w:rPr>
                <w:rFonts w:ascii="Arial" w:hAnsi="Arial" w:cs="Arial"/>
                <w:i/>
                <w:sz w:val="18"/>
                <w:szCs w:val="18"/>
              </w:rPr>
              <w:t>[txDiversity2Tx-r18]</w:t>
            </w:r>
            <w:r w:rsidRPr="00AF74C6">
              <w:rPr>
                <w:rFonts w:ascii="Arial" w:hAnsi="Arial" w:cs="Arial"/>
                <w:sz w:val="18"/>
                <w:szCs w:val="18"/>
              </w:rPr>
              <w:t xml:space="preserve">, and assume that there will be no functional NBC issue since </w:t>
            </w:r>
            <w:proofErr w:type="spellStart"/>
            <w:r w:rsidRPr="00AF74C6">
              <w:rPr>
                <w:rFonts w:ascii="Arial" w:hAnsi="Arial" w:cs="Arial"/>
                <w:sz w:val="18"/>
                <w:szCs w:val="18"/>
              </w:rPr>
              <w:t>TxD</w:t>
            </w:r>
            <w:proofErr w:type="spellEnd"/>
            <w:r w:rsidRPr="00AF74C6">
              <w:rPr>
                <w:rFonts w:ascii="Arial" w:hAnsi="Arial" w:cs="Arial"/>
                <w:sz w:val="18"/>
                <w:szCs w:val="18"/>
              </w:rPr>
              <w:t xml:space="preserve"> is transparent to NW. The following understanding is reached for single band (Non-CA) case.</w:t>
            </w:r>
          </w:p>
          <w:p w:rsidR="00AF74C6" w:rsidRPr="00AF74C6" w:rsidRDefault="00AF74C6" w:rsidP="00AF74C6">
            <w:pPr>
              <w:jc w:val="left"/>
              <w:rPr>
                <w:rFonts w:ascii="Arial" w:hAnsi="Arial" w:cs="Arial"/>
                <w:sz w:val="18"/>
                <w:szCs w:val="18"/>
              </w:rPr>
            </w:pPr>
            <w:r w:rsidRPr="00AF74C6">
              <w:rPr>
                <w:rFonts w:ascii="Arial" w:hAnsi="Arial" w:cs="Arial"/>
                <w:sz w:val="18"/>
                <w:szCs w:val="18"/>
              </w:rPr>
              <w:t xml:space="preserve">   - </w:t>
            </w:r>
            <w:r w:rsidRPr="00AF74C6">
              <w:rPr>
                <w:rFonts w:ascii="Arial" w:eastAsia="宋体" w:hAnsi="Arial" w:cs="Arial"/>
                <w:bCs/>
                <w:iCs/>
                <w:sz w:val="18"/>
                <w:szCs w:val="18"/>
              </w:rPr>
              <w:t xml:space="preserve">In case only </w:t>
            </w:r>
            <w:r w:rsidRPr="00AF74C6">
              <w:rPr>
                <w:rFonts w:ascii="Arial" w:hAnsi="Arial" w:cs="Arial"/>
                <w:i/>
                <w:sz w:val="18"/>
                <w:szCs w:val="18"/>
              </w:rPr>
              <w:t xml:space="preserve">txDiversity-r16 </w:t>
            </w:r>
            <w:r w:rsidRPr="00AF74C6">
              <w:rPr>
                <w:rFonts w:ascii="Arial" w:hAnsi="Arial" w:cs="Arial"/>
                <w:sz w:val="18"/>
                <w:szCs w:val="18"/>
              </w:rPr>
              <w:t xml:space="preserve">is indicated for a single band, it means UE can support </w:t>
            </w:r>
            <w:proofErr w:type="spellStart"/>
            <w:r w:rsidRPr="00AF74C6">
              <w:rPr>
                <w:rFonts w:ascii="Arial" w:hAnsi="Arial" w:cs="Arial"/>
                <w:sz w:val="18"/>
                <w:szCs w:val="18"/>
              </w:rPr>
              <w:t>TxD</w:t>
            </w:r>
            <w:proofErr w:type="spellEnd"/>
            <w:r w:rsidRPr="00AF74C6">
              <w:rPr>
                <w:rFonts w:ascii="Arial" w:hAnsi="Arial" w:cs="Arial"/>
                <w:sz w:val="18"/>
                <w:szCs w:val="18"/>
              </w:rPr>
              <w:t xml:space="preserve"> capability for this single band;</w:t>
            </w:r>
          </w:p>
          <w:p w:rsidR="00AF74C6" w:rsidRPr="00AF74C6" w:rsidRDefault="00AF74C6" w:rsidP="00AF74C6">
            <w:pPr>
              <w:jc w:val="left"/>
              <w:rPr>
                <w:rFonts w:ascii="Arial" w:hAnsi="Arial" w:cs="Arial"/>
                <w:sz w:val="18"/>
                <w:szCs w:val="18"/>
              </w:rPr>
            </w:pPr>
            <w:r w:rsidRPr="00AF74C6">
              <w:rPr>
                <w:rFonts w:ascii="Arial" w:hAnsi="Arial" w:cs="Arial"/>
                <w:sz w:val="18"/>
                <w:szCs w:val="18"/>
              </w:rPr>
              <w:t xml:space="preserve">   - </w:t>
            </w:r>
            <w:r w:rsidRPr="00AF74C6">
              <w:rPr>
                <w:rFonts w:ascii="Arial" w:eastAsia="宋体" w:hAnsi="Arial" w:cs="Arial"/>
                <w:bCs/>
                <w:iCs/>
                <w:sz w:val="18"/>
                <w:szCs w:val="18"/>
              </w:rPr>
              <w:t xml:space="preserve">In case only </w:t>
            </w:r>
            <w:r w:rsidRPr="00AF74C6">
              <w:rPr>
                <w:rFonts w:ascii="Arial" w:hAnsi="Arial" w:cs="Arial"/>
                <w:i/>
                <w:sz w:val="18"/>
                <w:szCs w:val="18"/>
              </w:rPr>
              <w:t xml:space="preserve">[txDiversity2Tx-r18] </w:t>
            </w:r>
            <w:r w:rsidRPr="00AF74C6">
              <w:rPr>
                <w:rFonts w:ascii="Arial" w:hAnsi="Arial" w:cs="Arial"/>
                <w:sz w:val="18"/>
                <w:szCs w:val="18"/>
              </w:rPr>
              <w:t xml:space="preserve">is indicated for a single band band-combination (as the size of </w:t>
            </w:r>
            <w:proofErr w:type="spellStart"/>
            <w:r w:rsidRPr="00AF74C6">
              <w:rPr>
                <w:rFonts w:ascii="Arial" w:hAnsi="Arial" w:cs="Arial"/>
                <w:i/>
                <w:sz w:val="18"/>
                <w:szCs w:val="18"/>
              </w:rPr>
              <w:t>BandCombinationList</w:t>
            </w:r>
            <w:proofErr w:type="spellEnd"/>
            <w:r w:rsidRPr="00AF74C6">
              <w:rPr>
                <w:rFonts w:ascii="Arial" w:hAnsi="Arial" w:cs="Arial"/>
                <w:sz w:val="18"/>
                <w:szCs w:val="18"/>
              </w:rPr>
              <w:t xml:space="preserve"> can be 1), it means UE can support </w:t>
            </w:r>
            <w:proofErr w:type="spellStart"/>
            <w:r w:rsidRPr="00AF74C6">
              <w:rPr>
                <w:rFonts w:ascii="Arial" w:hAnsi="Arial" w:cs="Arial"/>
                <w:sz w:val="18"/>
                <w:szCs w:val="18"/>
              </w:rPr>
              <w:t>TxD</w:t>
            </w:r>
            <w:proofErr w:type="spellEnd"/>
            <w:r w:rsidRPr="00AF74C6">
              <w:rPr>
                <w:rFonts w:ascii="Arial" w:hAnsi="Arial" w:cs="Arial"/>
                <w:sz w:val="18"/>
                <w:szCs w:val="18"/>
              </w:rPr>
              <w:t xml:space="preserve"> capability for this single band;</w:t>
            </w:r>
          </w:p>
          <w:p w:rsidR="00AF74C6" w:rsidRPr="00AF74C6" w:rsidRDefault="00AF74C6" w:rsidP="00AF74C6">
            <w:pPr>
              <w:spacing w:afterLines="50" w:after="156"/>
              <w:jc w:val="left"/>
              <w:rPr>
                <w:rFonts w:ascii="Arial" w:eastAsia="宋体" w:hAnsi="Arial" w:cs="Arial"/>
                <w:bCs/>
                <w:iCs/>
                <w:sz w:val="18"/>
                <w:szCs w:val="18"/>
              </w:rPr>
            </w:pPr>
            <w:r w:rsidRPr="00AF74C6">
              <w:rPr>
                <w:rFonts w:ascii="Arial" w:hAnsi="Arial" w:cs="Arial"/>
                <w:sz w:val="18"/>
                <w:szCs w:val="18"/>
              </w:rPr>
              <w:t xml:space="preserve">  -</w:t>
            </w:r>
            <w:r w:rsidRPr="00AF74C6">
              <w:rPr>
                <w:rFonts w:ascii="Arial" w:eastAsia="宋体" w:hAnsi="Arial" w:cs="Arial"/>
                <w:bCs/>
                <w:iCs/>
                <w:sz w:val="18"/>
                <w:szCs w:val="18"/>
              </w:rPr>
              <w:t xml:space="preserve"> It is not always necessary for UE to indicate both </w:t>
            </w:r>
            <w:r w:rsidRPr="00AF74C6">
              <w:rPr>
                <w:rFonts w:ascii="Arial" w:hAnsi="Arial" w:cs="Arial"/>
                <w:i/>
                <w:sz w:val="18"/>
                <w:szCs w:val="18"/>
              </w:rPr>
              <w:t xml:space="preserve">txDiversity-r16 </w:t>
            </w:r>
            <w:r w:rsidRPr="00AF74C6">
              <w:rPr>
                <w:rFonts w:ascii="Arial" w:hAnsi="Arial" w:cs="Arial"/>
                <w:sz w:val="18"/>
                <w:szCs w:val="18"/>
              </w:rPr>
              <w:t xml:space="preserve">and </w:t>
            </w:r>
            <w:r w:rsidRPr="00AF74C6">
              <w:rPr>
                <w:rFonts w:ascii="Arial" w:hAnsi="Arial" w:cs="Arial"/>
                <w:i/>
                <w:sz w:val="18"/>
                <w:szCs w:val="18"/>
              </w:rPr>
              <w:t xml:space="preserve">[txDiversity2Tx-r18] </w:t>
            </w:r>
            <w:r w:rsidRPr="00AF74C6">
              <w:rPr>
                <w:rFonts w:ascii="Arial" w:hAnsi="Arial" w:cs="Arial"/>
                <w:sz w:val="18"/>
                <w:szCs w:val="18"/>
              </w:rPr>
              <w:t xml:space="preserve">for a single band, depending on UE release and NW release combination the correct diversity term is supposed to be indicated. </w:t>
            </w:r>
          </w:p>
          <w:p w:rsidR="00AF74C6" w:rsidRPr="00AF74C6" w:rsidRDefault="00AF74C6" w:rsidP="00AF74C6">
            <w:pPr>
              <w:rPr>
                <w:rFonts w:ascii="Arial" w:eastAsia="宋体" w:hAnsi="Arial" w:cs="Arial"/>
                <w:bCs/>
                <w:iCs/>
                <w:sz w:val="18"/>
                <w:szCs w:val="18"/>
              </w:rPr>
            </w:pPr>
            <w:r w:rsidRPr="00AF74C6">
              <w:rPr>
                <w:rFonts w:ascii="Arial" w:eastAsia="宋体" w:hAnsi="Arial" w:cs="Arial"/>
                <w:bCs/>
                <w:iCs/>
                <w:sz w:val="18"/>
                <w:szCs w:val="18"/>
              </w:rPr>
              <w:t>And the following understanding for CA case is also reached for Rel-18 and onwards:</w:t>
            </w:r>
          </w:p>
          <w:p w:rsidR="00AF74C6" w:rsidRPr="00AF74C6" w:rsidRDefault="00AF74C6" w:rsidP="00AF74C6">
            <w:pPr>
              <w:pStyle w:val="af3"/>
              <w:spacing w:before="0" w:beforeAutospacing="0" w:afterLines="50" w:after="156" w:afterAutospacing="0"/>
              <w:ind w:firstLineChars="100" w:firstLine="180"/>
            </w:pPr>
            <w:r w:rsidRPr="00AF74C6">
              <w:rPr>
                <w:rFonts w:ascii="Arial" w:eastAsia="宋体" w:hAnsi="Arial" w:cs="Arial"/>
                <w:bCs/>
                <w:iCs/>
                <w:sz w:val="18"/>
                <w:szCs w:val="18"/>
              </w:rPr>
              <w:t xml:space="preserve">- </w:t>
            </w:r>
            <w:r w:rsidRPr="00AF74C6">
              <w:rPr>
                <w:rFonts w:ascii="Arial" w:hAnsi="Arial" w:cs="Arial"/>
                <w:color w:val="000000"/>
                <w:sz w:val="18"/>
                <w:szCs w:val="18"/>
              </w:rPr>
              <w:t xml:space="preserve">It is agreed that CA does not inherit the corresponding single band </w:t>
            </w:r>
            <w:proofErr w:type="spellStart"/>
            <w:r w:rsidRPr="00AF74C6">
              <w:rPr>
                <w:rFonts w:ascii="Arial" w:hAnsi="Arial" w:cs="Arial"/>
                <w:color w:val="000000"/>
                <w:sz w:val="18"/>
                <w:szCs w:val="18"/>
              </w:rPr>
              <w:t>TxD</w:t>
            </w:r>
            <w:proofErr w:type="spellEnd"/>
            <w:r w:rsidRPr="00AF74C6">
              <w:rPr>
                <w:rFonts w:ascii="Arial" w:hAnsi="Arial" w:cs="Arial"/>
                <w:color w:val="000000"/>
                <w:sz w:val="18"/>
                <w:szCs w:val="18"/>
              </w:rPr>
              <w:t xml:space="preserve"> capability. And </w:t>
            </w:r>
            <w:r w:rsidRPr="00AF74C6">
              <w:rPr>
                <w:rFonts w:ascii="Arial" w:hAnsi="Arial" w:cs="Arial"/>
                <w:color w:val="000000"/>
                <w:sz w:val="18"/>
                <w:szCs w:val="18"/>
                <w:lang w:eastAsia="zh-CN"/>
              </w:rPr>
              <w:t xml:space="preserve">from Rel-18 and onwards, whether to support </w:t>
            </w:r>
            <w:proofErr w:type="spellStart"/>
            <w:r w:rsidRPr="00AF74C6">
              <w:rPr>
                <w:rFonts w:ascii="Arial" w:hAnsi="Arial" w:cs="Arial"/>
                <w:color w:val="000000"/>
                <w:sz w:val="18"/>
                <w:szCs w:val="18"/>
                <w:lang w:eastAsia="zh-CN"/>
              </w:rPr>
              <w:t>TxD</w:t>
            </w:r>
            <w:proofErr w:type="spellEnd"/>
            <w:r w:rsidRPr="00AF74C6">
              <w:rPr>
                <w:rFonts w:ascii="Arial" w:hAnsi="Arial" w:cs="Arial"/>
                <w:color w:val="000000"/>
                <w:sz w:val="18"/>
                <w:szCs w:val="18"/>
                <w:lang w:eastAsia="zh-CN"/>
              </w:rPr>
              <w:t xml:space="preserve"> for the band in a band combination is determined by </w:t>
            </w:r>
            <w:r w:rsidRPr="00AF74C6">
              <w:rPr>
                <w:rFonts w:ascii="Arial" w:hAnsi="Arial" w:cs="Arial"/>
                <w:i/>
                <w:sz w:val="18"/>
                <w:szCs w:val="18"/>
              </w:rPr>
              <w:t>[txDiversity2Tx-r18]</w:t>
            </w:r>
            <w:proofErr w:type="gramStart"/>
            <w:r w:rsidRPr="00AF74C6">
              <w:rPr>
                <w:rFonts w:ascii="Arial" w:hAnsi="Arial" w:cs="Arial"/>
                <w:i/>
                <w:sz w:val="18"/>
                <w:szCs w:val="18"/>
              </w:rPr>
              <w:t>/[</w:t>
            </w:r>
            <w:proofErr w:type="gramEnd"/>
            <w:r w:rsidRPr="00AF74C6">
              <w:rPr>
                <w:rFonts w:ascii="Arial" w:hAnsi="Arial" w:cs="Arial"/>
                <w:i/>
                <w:sz w:val="18"/>
                <w:szCs w:val="18"/>
              </w:rPr>
              <w:t>txDiversity4Tx-r18]</w:t>
            </w:r>
            <w:r w:rsidRPr="00AF74C6">
              <w:rPr>
                <w:rFonts w:ascii="Arial" w:hAnsi="Arial" w:cs="Arial"/>
                <w:sz w:val="18"/>
                <w:szCs w:val="18"/>
              </w:rPr>
              <w:t xml:space="preserve">, but not </w:t>
            </w:r>
            <w:r w:rsidRPr="00AF74C6">
              <w:rPr>
                <w:rFonts w:ascii="Arial" w:hAnsi="Arial" w:cs="Arial"/>
                <w:color w:val="000000"/>
                <w:sz w:val="18"/>
                <w:szCs w:val="18"/>
                <w:lang w:eastAsia="zh-CN"/>
              </w:rPr>
              <w:t xml:space="preserve">by </w:t>
            </w:r>
            <w:r w:rsidRPr="00AF74C6">
              <w:rPr>
                <w:rFonts w:ascii="Arial" w:hAnsi="Arial" w:cs="Arial"/>
                <w:i/>
                <w:sz w:val="18"/>
                <w:szCs w:val="18"/>
              </w:rPr>
              <w:t>txDiversity-r16.</w:t>
            </w:r>
          </w:p>
        </w:tc>
      </w:tr>
    </w:tbl>
    <w:p w:rsidR="00E257E9" w:rsidRDefault="0049367A">
      <w:r>
        <w:rPr>
          <w:rFonts w:hint="eastAsia"/>
        </w:rPr>
        <w:t xml:space="preserve">In this paper, we share </w:t>
      </w:r>
      <w:r w:rsidR="00022DCD">
        <w:rPr>
          <w:rFonts w:hint="eastAsia"/>
        </w:rPr>
        <w:t>our further views on th</w:t>
      </w:r>
      <w:r w:rsidR="00022DCD">
        <w:t xml:space="preserve">ese </w:t>
      </w:r>
      <w:proofErr w:type="spellStart"/>
      <w:r w:rsidR="00022DCD">
        <w:t>Tx</w:t>
      </w:r>
      <w:proofErr w:type="spellEnd"/>
      <w:r w:rsidR="00022DCD">
        <w:t xml:space="preserve"> Diversity capabilities.</w:t>
      </w:r>
    </w:p>
    <w:p w:rsidR="00E257E9" w:rsidRDefault="0049367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3C4BED" w:rsidRDefault="003C4BED" w:rsidP="003C4BED">
      <w:pPr>
        <w:rPr>
          <w:b/>
          <w:i/>
          <w:u w:val="single"/>
        </w:rPr>
      </w:pPr>
      <w:r w:rsidRPr="003C4BED">
        <w:rPr>
          <w:b/>
          <w:i/>
          <w:u w:val="single"/>
        </w:rPr>
        <w:t xml:space="preserve">Clarification on the legacy 2 </w:t>
      </w:r>
      <w:proofErr w:type="spellStart"/>
      <w:proofErr w:type="gramStart"/>
      <w:r w:rsidRPr="003C4BED">
        <w:rPr>
          <w:b/>
          <w:i/>
          <w:u w:val="single"/>
        </w:rPr>
        <w:t>Tx</w:t>
      </w:r>
      <w:proofErr w:type="spellEnd"/>
      <w:proofErr w:type="gramEnd"/>
      <w:r w:rsidRPr="003C4BED">
        <w:rPr>
          <w:b/>
          <w:i/>
          <w:u w:val="single"/>
        </w:rPr>
        <w:t xml:space="preserve"> Diversity Capability</w:t>
      </w:r>
    </w:p>
    <w:p w:rsidR="003C4BED" w:rsidRPr="003C4BED" w:rsidRDefault="003C4BED" w:rsidP="003C4BED">
      <w:r w:rsidRPr="003C4BED">
        <w:t xml:space="preserve">In the </w:t>
      </w:r>
      <w:r>
        <w:t xml:space="preserve">legacy 2 </w:t>
      </w:r>
      <w:proofErr w:type="spellStart"/>
      <w:r>
        <w:t>Tx</w:t>
      </w:r>
      <w:proofErr w:type="spellEnd"/>
      <w:r>
        <w:t xml:space="preserve"> Diversity capability</w:t>
      </w:r>
      <w:r w:rsidR="00153165">
        <w:t xml:space="preserve"> field description</w:t>
      </w:r>
      <w:r>
        <w:t xml:space="preserve">, there is no restriction that </w:t>
      </w:r>
      <w:r w:rsidR="00153165">
        <w:t>this capability is only for the 2Tx non-CA case.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4BED" w:rsidRPr="00936461" w:rsidTr="0040579A">
        <w:trPr>
          <w:cantSplit/>
          <w:tblHeader/>
        </w:trPr>
        <w:tc>
          <w:tcPr>
            <w:tcW w:w="6917" w:type="dxa"/>
          </w:tcPr>
          <w:p w:rsidR="003C4BED" w:rsidRPr="00936461" w:rsidRDefault="003C4BED" w:rsidP="0040579A">
            <w:pPr>
              <w:keepNext/>
              <w:keepLines/>
              <w:spacing w:after="0"/>
              <w:rPr>
                <w:rFonts w:ascii="Arial" w:hAnsi="Arial"/>
                <w:b/>
                <w:i/>
                <w:sz w:val="18"/>
              </w:rPr>
            </w:pPr>
            <w:r w:rsidRPr="00936461">
              <w:rPr>
                <w:rFonts w:ascii="Arial" w:hAnsi="Arial"/>
                <w:b/>
                <w:i/>
                <w:sz w:val="18"/>
              </w:rPr>
              <w:t>txDiversity-r16</w:t>
            </w:r>
          </w:p>
          <w:p w:rsidR="003C4BED" w:rsidRPr="00936461" w:rsidRDefault="003C4BED" w:rsidP="0040579A">
            <w:pPr>
              <w:pStyle w:val="TAL"/>
              <w:ind w:firstLine="630"/>
              <w:rPr>
                <w:b/>
                <w:i/>
              </w:rPr>
            </w:pPr>
            <w:r w:rsidRPr="00936461">
              <w:rPr>
                <w:bCs/>
              </w:rPr>
              <w:t xml:space="preserve">Indicates whether the UE supports transparent </w:t>
            </w:r>
            <w:proofErr w:type="spellStart"/>
            <w:r w:rsidRPr="00936461">
              <w:rPr>
                <w:bCs/>
              </w:rPr>
              <w:t>Tx</w:t>
            </w:r>
            <w:proofErr w:type="spellEnd"/>
            <w:r w:rsidRPr="00936461">
              <w:rPr>
                <w:bCs/>
              </w:rPr>
              <w:t xml:space="preserve"> diversity requirements as specified in the suffix G clauses of TS 38.101-1 [2] (see also clauses 4.2 and 4.3 of TS 38.101-1 [2]).</w:t>
            </w:r>
          </w:p>
        </w:tc>
        <w:tc>
          <w:tcPr>
            <w:tcW w:w="709" w:type="dxa"/>
          </w:tcPr>
          <w:p w:rsidR="003C4BED" w:rsidRPr="00936461" w:rsidRDefault="003C4BED" w:rsidP="0040579A">
            <w:pPr>
              <w:pStyle w:val="TAL"/>
              <w:ind w:firstLine="630"/>
              <w:jc w:val="center"/>
            </w:pPr>
            <w:proofErr w:type="spellStart"/>
            <w:r w:rsidRPr="00936461">
              <w:t>B</w:t>
            </w:r>
            <w:r>
              <w:t>B</w:t>
            </w:r>
            <w:r w:rsidRPr="00936461">
              <w:t>and</w:t>
            </w:r>
            <w:proofErr w:type="spellEnd"/>
          </w:p>
        </w:tc>
        <w:tc>
          <w:tcPr>
            <w:tcW w:w="567" w:type="dxa"/>
          </w:tcPr>
          <w:p w:rsidR="003C4BED" w:rsidRPr="00936461" w:rsidRDefault="003C4BED" w:rsidP="0040579A">
            <w:pPr>
              <w:pStyle w:val="TAL"/>
              <w:ind w:firstLine="630"/>
              <w:jc w:val="center"/>
            </w:pPr>
            <w:r w:rsidRPr="00936461">
              <w:t>No</w:t>
            </w:r>
            <w:r>
              <w:t>r</w:t>
            </w:r>
          </w:p>
        </w:tc>
        <w:tc>
          <w:tcPr>
            <w:tcW w:w="709" w:type="dxa"/>
          </w:tcPr>
          <w:p w:rsidR="003C4BED" w:rsidRPr="00936461" w:rsidRDefault="003C4BED" w:rsidP="0040579A">
            <w:pPr>
              <w:pStyle w:val="TAL"/>
              <w:ind w:firstLine="630"/>
              <w:jc w:val="center"/>
            </w:pPr>
            <w:r w:rsidRPr="00936461">
              <w:t>N</w:t>
            </w:r>
            <w:r>
              <w:t>N</w:t>
            </w:r>
            <w:r w:rsidRPr="00936461">
              <w:t>/A</w:t>
            </w:r>
          </w:p>
        </w:tc>
        <w:tc>
          <w:tcPr>
            <w:tcW w:w="728" w:type="dxa"/>
          </w:tcPr>
          <w:p w:rsidR="003C4BED" w:rsidRPr="00936461" w:rsidRDefault="003C4BED" w:rsidP="0040579A">
            <w:pPr>
              <w:pStyle w:val="TAL"/>
              <w:ind w:firstLine="630"/>
              <w:jc w:val="center"/>
            </w:pPr>
            <w:r w:rsidRPr="00936461">
              <w:t>F</w:t>
            </w:r>
            <w:r>
              <w:t>F</w:t>
            </w:r>
            <w:r w:rsidRPr="00936461">
              <w:t>R1 only</w:t>
            </w:r>
          </w:p>
        </w:tc>
      </w:tr>
    </w:tbl>
    <w:p w:rsidR="00153165" w:rsidRDefault="00153165" w:rsidP="00AF74C6">
      <w:r w:rsidRPr="00153165">
        <w:rPr>
          <w:rFonts w:hint="eastAsia"/>
        </w:rPr>
        <w:t>H</w:t>
      </w:r>
      <w:r w:rsidRPr="00153165">
        <w:t>owever</w:t>
      </w:r>
      <w:r>
        <w:t xml:space="preserve">, according to the LS[2][3], the legacy 2 </w:t>
      </w:r>
      <w:proofErr w:type="spellStart"/>
      <w:r>
        <w:t>Tx</w:t>
      </w:r>
      <w:proofErr w:type="spellEnd"/>
      <w:r>
        <w:t xml:space="preserve"> Diversity capability was only mentioned for the single band (non-CA) case, and it further clarifies that </w:t>
      </w:r>
      <w:r w:rsidRPr="00153165">
        <w:t xml:space="preserve">CA does not inherit the corresponding single band </w:t>
      </w:r>
      <w:proofErr w:type="spellStart"/>
      <w:r w:rsidRPr="00153165">
        <w:t>TxD</w:t>
      </w:r>
      <w:proofErr w:type="spellEnd"/>
      <w:r w:rsidRPr="00153165">
        <w:t xml:space="preserve"> capability</w:t>
      </w:r>
      <w:r>
        <w:t>.</w:t>
      </w:r>
    </w:p>
    <w:tbl>
      <w:tblPr>
        <w:tblStyle w:val="af5"/>
        <w:tblW w:w="0" w:type="auto"/>
        <w:tblLook w:val="04A0" w:firstRow="1" w:lastRow="0" w:firstColumn="1" w:lastColumn="0" w:noHBand="0" w:noVBand="1"/>
      </w:tblPr>
      <w:tblGrid>
        <w:gridCol w:w="9771"/>
      </w:tblGrid>
      <w:tr w:rsidR="00153165" w:rsidTr="00153165">
        <w:tc>
          <w:tcPr>
            <w:tcW w:w="9771" w:type="dxa"/>
          </w:tcPr>
          <w:p w:rsidR="00153165" w:rsidRDefault="00153165" w:rsidP="00AF74C6">
            <w:r w:rsidRPr="00AF74C6">
              <w:rPr>
                <w:rFonts w:ascii="Arial" w:eastAsia="宋体" w:hAnsi="Arial" w:cs="Arial"/>
                <w:bCs/>
                <w:iCs/>
                <w:sz w:val="18"/>
                <w:szCs w:val="18"/>
              </w:rPr>
              <w:t xml:space="preserve">- </w:t>
            </w:r>
            <w:r w:rsidRPr="00AF74C6">
              <w:rPr>
                <w:rFonts w:ascii="Arial" w:hAnsi="Arial" w:cs="Arial"/>
                <w:color w:val="000000"/>
                <w:sz w:val="18"/>
                <w:szCs w:val="18"/>
              </w:rPr>
              <w:t xml:space="preserve">It is agreed that CA does not inherit the corresponding single band </w:t>
            </w:r>
            <w:proofErr w:type="spellStart"/>
            <w:r w:rsidRPr="00AF74C6">
              <w:rPr>
                <w:rFonts w:ascii="Arial" w:hAnsi="Arial" w:cs="Arial"/>
                <w:color w:val="000000"/>
                <w:sz w:val="18"/>
                <w:szCs w:val="18"/>
              </w:rPr>
              <w:t>TxD</w:t>
            </w:r>
            <w:proofErr w:type="spellEnd"/>
            <w:r w:rsidRPr="00AF74C6">
              <w:rPr>
                <w:rFonts w:ascii="Arial" w:hAnsi="Arial" w:cs="Arial"/>
                <w:color w:val="000000"/>
                <w:sz w:val="18"/>
                <w:szCs w:val="18"/>
              </w:rPr>
              <w:t xml:space="preserve"> capability.</w:t>
            </w:r>
          </w:p>
        </w:tc>
      </w:tr>
    </w:tbl>
    <w:p w:rsidR="00153165" w:rsidRDefault="00153165" w:rsidP="00AF74C6">
      <w:r>
        <w:rPr>
          <w:rFonts w:hint="eastAsia"/>
        </w:rPr>
        <w:t>T</w:t>
      </w:r>
      <w:r>
        <w:t>hus we give our first proposal as below</w:t>
      </w:r>
      <w:r>
        <w:rPr>
          <w:rFonts w:hint="eastAsia"/>
        </w:rPr>
        <w:t>:</w:t>
      </w:r>
    </w:p>
    <w:p w:rsidR="00153165" w:rsidRPr="00153165" w:rsidRDefault="00153165" w:rsidP="00153165">
      <w:pPr>
        <w:rPr>
          <w:b/>
          <w:bCs/>
        </w:rPr>
      </w:pPr>
      <w:r w:rsidRPr="00153165">
        <w:rPr>
          <w:rFonts w:hint="eastAsia"/>
          <w:b/>
          <w:bCs/>
        </w:rPr>
        <w:t>P</w:t>
      </w:r>
      <w:r w:rsidRPr="00153165">
        <w:rPr>
          <w:b/>
          <w:bCs/>
        </w:rPr>
        <w:t xml:space="preserve">roposal 1: Ran2 to clarify that the legacy txDiversity-r16 is only used for the non-CA (single CC) with 2 </w:t>
      </w:r>
      <w:proofErr w:type="spellStart"/>
      <w:proofErr w:type="gramStart"/>
      <w:r w:rsidRPr="00153165">
        <w:rPr>
          <w:b/>
          <w:bCs/>
        </w:rPr>
        <w:t>Tx</w:t>
      </w:r>
      <w:proofErr w:type="spellEnd"/>
      <w:proofErr w:type="gramEnd"/>
      <w:r w:rsidRPr="00153165">
        <w:rPr>
          <w:b/>
          <w:bCs/>
        </w:rPr>
        <w:t xml:space="preserve"> diversity case.</w:t>
      </w:r>
    </w:p>
    <w:p w:rsidR="00AF74C6" w:rsidRDefault="00153165" w:rsidP="00AF74C6">
      <w:r>
        <w:t>If the proposal 1 was confirmed, we need to further discuss</w:t>
      </w:r>
      <w:r w:rsidR="003C4BED">
        <w:t xml:space="preserve"> whether it’s NBC or not. According to the LS and the previous </w:t>
      </w:r>
      <w:proofErr w:type="spellStart"/>
      <w:r w:rsidR="003C4BED">
        <w:t>Tx</w:t>
      </w:r>
      <w:proofErr w:type="spellEnd"/>
      <w:r w:rsidR="003C4BED">
        <w:t xml:space="preserve"> Diversity capability </w:t>
      </w:r>
      <w:r>
        <w:t>discussion</w:t>
      </w:r>
      <w:r w:rsidR="003C4BED">
        <w:t>, it has been clearly clarified that this capability is only for the RAN5 testing and is transparent to the NW, thus the there is no functional NBC issue.</w:t>
      </w:r>
    </w:p>
    <w:tbl>
      <w:tblPr>
        <w:tblStyle w:val="af5"/>
        <w:tblW w:w="0" w:type="auto"/>
        <w:tblLook w:val="04A0" w:firstRow="1" w:lastRow="0" w:firstColumn="1" w:lastColumn="0" w:noHBand="0" w:noVBand="1"/>
      </w:tblPr>
      <w:tblGrid>
        <w:gridCol w:w="9771"/>
      </w:tblGrid>
      <w:tr w:rsidR="003C4BED" w:rsidTr="003C4BED">
        <w:tc>
          <w:tcPr>
            <w:tcW w:w="9771" w:type="dxa"/>
          </w:tcPr>
          <w:p w:rsidR="003C4BED" w:rsidRDefault="003C4BED" w:rsidP="003C4BED">
            <w:r w:rsidRPr="00AF74C6">
              <w:rPr>
                <w:rFonts w:ascii="Arial" w:eastAsia="宋体" w:hAnsi="Arial" w:cs="Arial"/>
                <w:bCs/>
                <w:iCs/>
                <w:sz w:val="18"/>
                <w:szCs w:val="18"/>
              </w:rPr>
              <w:t xml:space="preserve">RAN4 discuss the interaction between </w:t>
            </w:r>
            <w:r w:rsidRPr="00AF74C6">
              <w:rPr>
                <w:rFonts w:ascii="Arial" w:hAnsi="Arial" w:cs="Arial"/>
                <w:i/>
                <w:sz w:val="18"/>
                <w:szCs w:val="18"/>
              </w:rPr>
              <w:t xml:space="preserve">txDiversity-r16 </w:t>
            </w:r>
            <w:r w:rsidRPr="00AF74C6">
              <w:rPr>
                <w:rFonts w:ascii="Arial" w:hAnsi="Arial" w:cs="Arial"/>
                <w:sz w:val="18"/>
                <w:szCs w:val="18"/>
              </w:rPr>
              <w:t xml:space="preserve">and </w:t>
            </w:r>
            <w:r w:rsidRPr="00AF74C6">
              <w:rPr>
                <w:rFonts w:ascii="Arial" w:hAnsi="Arial" w:cs="Arial"/>
                <w:i/>
                <w:sz w:val="18"/>
                <w:szCs w:val="18"/>
              </w:rPr>
              <w:t>[txDiversity2Tx-r18]</w:t>
            </w:r>
            <w:r w:rsidRPr="00AF74C6">
              <w:rPr>
                <w:rFonts w:ascii="Arial" w:hAnsi="Arial" w:cs="Arial"/>
                <w:sz w:val="18"/>
                <w:szCs w:val="18"/>
              </w:rPr>
              <w:t xml:space="preserve">, and assume that there will be no functional NBC issue since </w:t>
            </w:r>
            <w:proofErr w:type="spellStart"/>
            <w:r w:rsidRPr="00AF74C6">
              <w:rPr>
                <w:rFonts w:ascii="Arial" w:hAnsi="Arial" w:cs="Arial"/>
                <w:sz w:val="18"/>
                <w:szCs w:val="18"/>
              </w:rPr>
              <w:t>TxD</w:t>
            </w:r>
            <w:proofErr w:type="spellEnd"/>
            <w:r w:rsidRPr="00AF74C6">
              <w:rPr>
                <w:rFonts w:ascii="Arial" w:hAnsi="Arial" w:cs="Arial"/>
                <w:sz w:val="18"/>
                <w:szCs w:val="18"/>
              </w:rPr>
              <w:t xml:space="preserve"> is transparent to NW.</w:t>
            </w:r>
          </w:p>
        </w:tc>
      </w:tr>
    </w:tbl>
    <w:p w:rsidR="003C4BED" w:rsidRPr="003C4BED" w:rsidRDefault="000251A3" w:rsidP="003C4BED">
      <w:pPr>
        <w:rPr>
          <w:b/>
        </w:rPr>
      </w:pPr>
      <w:r w:rsidRPr="003C4BED">
        <w:rPr>
          <w:rFonts w:hint="eastAsia"/>
          <w:b/>
          <w:bCs/>
        </w:rPr>
        <w:t xml:space="preserve">Proposal </w:t>
      </w:r>
      <w:r w:rsidRPr="003C4BED">
        <w:rPr>
          <w:b/>
          <w:bCs/>
        </w:rPr>
        <w:t>1</w:t>
      </w:r>
      <w:r w:rsidR="00153165">
        <w:rPr>
          <w:b/>
          <w:bCs/>
        </w:rPr>
        <w:t>a</w:t>
      </w:r>
      <w:r w:rsidRPr="003C4BED">
        <w:rPr>
          <w:b/>
          <w:bCs/>
        </w:rPr>
        <w:t xml:space="preserve">: </w:t>
      </w:r>
      <w:r w:rsidR="003C4BED">
        <w:rPr>
          <w:b/>
          <w:bCs/>
        </w:rPr>
        <w:t xml:space="preserve">The </w:t>
      </w:r>
      <w:proofErr w:type="spellStart"/>
      <w:r w:rsidR="003C4BED">
        <w:rPr>
          <w:b/>
          <w:bCs/>
        </w:rPr>
        <w:t>TxD</w:t>
      </w:r>
      <w:proofErr w:type="spellEnd"/>
      <w:r w:rsidR="003C4BED">
        <w:rPr>
          <w:b/>
          <w:bCs/>
        </w:rPr>
        <w:t xml:space="preserve"> capabilities are transparent to network, and thus </w:t>
      </w:r>
      <w:r w:rsidR="003C4BED">
        <w:rPr>
          <w:b/>
        </w:rPr>
        <w:t>t</w:t>
      </w:r>
      <w:r w:rsidR="003C4BED" w:rsidRPr="003C4BED">
        <w:rPr>
          <w:b/>
        </w:rPr>
        <w:t>here is no functional NBC issue.</w:t>
      </w:r>
    </w:p>
    <w:p w:rsidR="00153165" w:rsidRDefault="00153165" w:rsidP="00153165">
      <w:pPr>
        <w:rPr>
          <w:b/>
          <w:i/>
          <w:u w:val="single"/>
        </w:rPr>
      </w:pPr>
      <w:r>
        <w:rPr>
          <w:b/>
          <w:i/>
          <w:u w:val="single"/>
        </w:rPr>
        <w:t>Relation between</w:t>
      </w:r>
      <w:r w:rsidRPr="003C4BED">
        <w:rPr>
          <w:b/>
          <w:i/>
          <w:u w:val="single"/>
        </w:rPr>
        <w:t xml:space="preserve"> the </w:t>
      </w:r>
      <w:r>
        <w:rPr>
          <w:b/>
          <w:i/>
          <w:u w:val="single"/>
        </w:rPr>
        <w:t>R18 2Tx and legacy R16 2Tx</w:t>
      </w:r>
      <w:r w:rsidRPr="003C4BED">
        <w:rPr>
          <w:b/>
          <w:i/>
          <w:u w:val="single"/>
        </w:rPr>
        <w:t xml:space="preserve"> </w:t>
      </w:r>
      <w:r>
        <w:rPr>
          <w:b/>
          <w:i/>
          <w:u w:val="single"/>
        </w:rPr>
        <w:t xml:space="preserve">Diversity </w:t>
      </w:r>
      <w:r w:rsidRPr="003C4BED">
        <w:rPr>
          <w:b/>
          <w:i/>
          <w:u w:val="single"/>
        </w:rPr>
        <w:t>Capability</w:t>
      </w:r>
    </w:p>
    <w:p w:rsidR="000251A3" w:rsidRDefault="00022DCD">
      <w:r>
        <w:t xml:space="preserve">According to the LS [1], a new </w:t>
      </w:r>
      <w:r>
        <w:t>2Tx Diversity</w:t>
      </w:r>
      <w:r>
        <w:t xml:space="preserve"> would be introduced </w:t>
      </w:r>
      <w:r w:rsidR="00153165">
        <w:t>per band per BC capability would be introduced</w:t>
      </w:r>
      <w:r>
        <w:t xml:space="preserve"> in R18</w:t>
      </w:r>
      <w:r w:rsidR="00153165">
        <w:t>. In the LS it further clarif</w:t>
      </w:r>
      <w:r>
        <w:t>ies</w:t>
      </w:r>
      <w:r w:rsidR="00153165">
        <w:t xml:space="preserve"> the relation between the </w:t>
      </w:r>
      <w:r w:rsidR="00153165" w:rsidRPr="00153165">
        <w:t>R18 2Tx</w:t>
      </w:r>
      <w:r w:rsidR="00153165">
        <w:t xml:space="preserve"> Diversity</w:t>
      </w:r>
      <w:r w:rsidR="00153165" w:rsidRPr="00153165">
        <w:t xml:space="preserve"> and legacy R16 2Tx Diversity</w:t>
      </w:r>
      <w:r w:rsidR="00153165">
        <w:t xml:space="preserve"> capability as below:</w:t>
      </w:r>
    </w:p>
    <w:tbl>
      <w:tblPr>
        <w:tblStyle w:val="af5"/>
        <w:tblW w:w="0" w:type="auto"/>
        <w:tblLook w:val="04A0" w:firstRow="1" w:lastRow="0" w:firstColumn="1" w:lastColumn="0" w:noHBand="0" w:noVBand="1"/>
      </w:tblPr>
      <w:tblGrid>
        <w:gridCol w:w="9771"/>
      </w:tblGrid>
      <w:tr w:rsidR="00153165" w:rsidTr="00153165">
        <w:tc>
          <w:tcPr>
            <w:tcW w:w="9771" w:type="dxa"/>
          </w:tcPr>
          <w:p w:rsidR="00153165" w:rsidRPr="00AF74C6" w:rsidRDefault="00153165" w:rsidP="00153165">
            <w:pPr>
              <w:rPr>
                <w:rFonts w:ascii="Arial" w:hAnsi="Arial" w:cs="Arial"/>
                <w:sz w:val="18"/>
                <w:szCs w:val="18"/>
              </w:rPr>
            </w:pPr>
            <w:r>
              <w:rPr>
                <w:rFonts w:ascii="Arial" w:hAnsi="Arial" w:cs="Arial"/>
                <w:sz w:val="18"/>
                <w:szCs w:val="18"/>
              </w:rPr>
              <w:t>F</w:t>
            </w:r>
            <w:r w:rsidRPr="00AF74C6">
              <w:rPr>
                <w:rFonts w:ascii="Arial" w:hAnsi="Arial" w:cs="Arial"/>
                <w:sz w:val="18"/>
                <w:szCs w:val="18"/>
              </w:rPr>
              <w:t>or single band (Non-CA) case.</w:t>
            </w:r>
          </w:p>
          <w:p w:rsidR="00153165" w:rsidRPr="00AF74C6" w:rsidRDefault="00153165" w:rsidP="00153165">
            <w:pPr>
              <w:jc w:val="left"/>
              <w:rPr>
                <w:rFonts w:ascii="Arial" w:hAnsi="Arial" w:cs="Arial"/>
                <w:sz w:val="18"/>
                <w:szCs w:val="18"/>
              </w:rPr>
            </w:pPr>
            <w:r w:rsidRPr="00AF74C6">
              <w:rPr>
                <w:rFonts w:ascii="Arial" w:hAnsi="Arial" w:cs="Arial"/>
                <w:sz w:val="18"/>
                <w:szCs w:val="18"/>
              </w:rPr>
              <w:t xml:space="preserve">   - </w:t>
            </w:r>
            <w:r w:rsidRPr="00AF74C6">
              <w:rPr>
                <w:rFonts w:ascii="Arial" w:eastAsia="宋体" w:hAnsi="Arial" w:cs="Arial"/>
                <w:bCs/>
                <w:iCs/>
                <w:sz w:val="18"/>
                <w:szCs w:val="18"/>
              </w:rPr>
              <w:t xml:space="preserve">In case only </w:t>
            </w:r>
            <w:r w:rsidRPr="00AF74C6">
              <w:rPr>
                <w:rFonts w:ascii="Arial" w:hAnsi="Arial" w:cs="Arial"/>
                <w:i/>
                <w:sz w:val="18"/>
                <w:szCs w:val="18"/>
              </w:rPr>
              <w:t xml:space="preserve">txDiversity-r16 </w:t>
            </w:r>
            <w:r w:rsidRPr="00AF74C6">
              <w:rPr>
                <w:rFonts w:ascii="Arial" w:hAnsi="Arial" w:cs="Arial"/>
                <w:sz w:val="18"/>
                <w:szCs w:val="18"/>
              </w:rPr>
              <w:t xml:space="preserve">is indicated for a single band, it means UE can support </w:t>
            </w:r>
            <w:proofErr w:type="spellStart"/>
            <w:r w:rsidRPr="00AF74C6">
              <w:rPr>
                <w:rFonts w:ascii="Arial" w:hAnsi="Arial" w:cs="Arial"/>
                <w:sz w:val="18"/>
                <w:szCs w:val="18"/>
              </w:rPr>
              <w:t>TxD</w:t>
            </w:r>
            <w:proofErr w:type="spellEnd"/>
            <w:r w:rsidRPr="00AF74C6">
              <w:rPr>
                <w:rFonts w:ascii="Arial" w:hAnsi="Arial" w:cs="Arial"/>
                <w:sz w:val="18"/>
                <w:szCs w:val="18"/>
              </w:rPr>
              <w:t xml:space="preserve"> capability for this single band;</w:t>
            </w:r>
          </w:p>
          <w:p w:rsidR="00153165" w:rsidRPr="00AF74C6" w:rsidRDefault="00153165" w:rsidP="00153165">
            <w:pPr>
              <w:jc w:val="left"/>
              <w:rPr>
                <w:rFonts w:ascii="Arial" w:hAnsi="Arial" w:cs="Arial"/>
                <w:sz w:val="18"/>
                <w:szCs w:val="18"/>
              </w:rPr>
            </w:pPr>
            <w:r w:rsidRPr="00AF74C6">
              <w:rPr>
                <w:rFonts w:ascii="Arial" w:hAnsi="Arial" w:cs="Arial"/>
                <w:sz w:val="18"/>
                <w:szCs w:val="18"/>
              </w:rPr>
              <w:t xml:space="preserve">   - </w:t>
            </w:r>
            <w:r w:rsidRPr="00AF74C6">
              <w:rPr>
                <w:rFonts w:ascii="Arial" w:eastAsia="宋体" w:hAnsi="Arial" w:cs="Arial"/>
                <w:bCs/>
                <w:iCs/>
                <w:sz w:val="18"/>
                <w:szCs w:val="18"/>
              </w:rPr>
              <w:t xml:space="preserve">In case only </w:t>
            </w:r>
            <w:r w:rsidRPr="00AF74C6">
              <w:rPr>
                <w:rFonts w:ascii="Arial" w:hAnsi="Arial" w:cs="Arial"/>
                <w:i/>
                <w:sz w:val="18"/>
                <w:szCs w:val="18"/>
              </w:rPr>
              <w:t xml:space="preserve">[txDiversity2Tx-r18] </w:t>
            </w:r>
            <w:r w:rsidRPr="00AF74C6">
              <w:rPr>
                <w:rFonts w:ascii="Arial" w:hAnsi="Arial" w:cs="Arial"/>
                <w:sz w:val="18"/>
                <w:szCs w:val="18"/>
              </w:rPr>
              <w:t xml:space="preserve">is indicated for a single band band-combination (as the size of </w:t>
            </w:r>
            <w:proofErr w:type="spellStart"/>
            <w:r w:rsidRPr="00AF74C6">
              <w:rPr>
                <w:rFonts w:ascii="Arial" w:hAnsi="Arial" w:cs="Arial"/>
                <w:i/>
                <w:sz w:val="18"/>
                <w:szCs w:val="18"/>
              </w:rPr>
              <w:t>BandCombinationList</w:t>
            </w:r>
            <w:proofErr w:type="spellEnd"/>
            <w:r w:rsidRPr="00AF74C6">
              <w:rPr>
                <w:rFonts w:ascii="Arial" w:hAnsi="Arial" w:cs="Arial"/>
                <w:sz w:val="18"/>
                <w:szCs w:val="18"/>
              </w:rPr>
              <w:t xml:space="preserve"> can be 1), it means UE can support </w:t>
            </w:r>
            <w:proofErr w:type="spellStart"/>
            <w:r w:rsidRPr="00AF74C6">
              <w:rPr>
                <w:rFonts w:ascii="Arial" w:hAnsi="Arial" w:cs="Arial"/>
                <w:sz w:val="18"/>
                <w:szCs w:val="18"/>
              </w:rPr>
              <w:t>TxD</w:t>
            </w:r>
            <w:proofErr w:type="spellEnd"/>
            <w:r w:rsidRPr="00AF74C6">
              <w:rPr>
                <w:rFonts w:ascii="Arial" w:hAnsi="Arial" w:cs="Arial"/>
                <w:sz w:val="18"/>
                <w:szCs w:val="18"/>
              </w:rPr>
              <w:t xml:space="preserve"> capability for this single band;</w:t>
            </w:r>
          </w:p>
          <w:p w:rsidR="00153165" w:rsidRPr="00AF74C6" w:rsidRDefault="00153165" w:rsidP="00153165">
            <w:pPr>
              <w:spacing w:afterLines="50" w:after="156"/>
              <w:jc w:val="left"/>
              <w:rPr>
                <w:rFonts w:ascii="Arial" w:eastAsia="宋体" w:hAnsi="Arial" w:cs="Arial"/>
                <w:bCs/>
                <w:iCs/>
                <w:sz w:val="18"/>
                <w:szCs w:val="18"/>
              </w:rPr>
            </w:pPr>
            <w:r w:rsidRPr="00AF74C6">
              <w:rPr>
                <w:rFonts w:ascii="Arial" w:hAnsi="Arial" w:cs="Arial"/>
                <w:sz w:val="18"/>
                <w:szCs w:val="18"/>
              </w:rPr>
              <w:t xml:space="preserve">  -</w:t>
            </w:r>
            <w:r w:rsidRPr="00AF74C6">
              <w:rPr>
                <w:rFonts w:ascii="Arial" w:eastAsia="宋体" w:hAnsi="Arial" w:cs="Arial"/>
                <w:bCs/>
                <w:iCs/>
                <w:sz w:val="18"/>
                <w:szCs w:val="18"/>
              </w:rPr>
              <w:t xml:space="preserve"> It is not always necessary for UE to indicate both </w:t>
            </w:r>
            <w:r w:rsidRPr="00AF74C6">
              <w:rPr>
                <w:rFonts w:ascii="Arial" w:hAnsi="Arial" w:cs="Arial"/>
                <w:i/>
                <w:sz w:val="18"/>
                <w:szCs w:val="18"/>
              </w:rPr>
              <w:t xml:space="preserve">txDiversity-r16 </w:t>
            </w:r>
            <w:r w:rsidRPr="00AF74C6">
              <w:rPr>
                <w:rFonts w:ascii="Arial" w:hAnsi="Arial" w:cs="Arial"/>
                <w:sz w:val="18"/>
                <w:szCs w:val="18"/>
              </w:rPr>
              <w:t xml:space="preserve">and </w:t>
            </w:r>
            <w:r w:rsidRPr="00AF74C6">
              <w:rPr>
                <w:rFonts w:ascii="Arial" w:hAnsi="Arial" w:cs="Arial"/>
                <w:i/>
                <w:sz w:val="18"/>
                <w:szCs w:val="18"/>
              </w:rPr>
              <w:t xml:space="preserve">[txDiversity2Tx-r18] </w:t>
            </w:r>
            <w:r w:rsidRPr="00AF74C6">
              <w:rPr>
                <w:rFonts w:ascii="Arial" w:hAnsi="Arial" w:cs="Arial"/>
                <w:sz w:val="18"/>
                <w:szCs w:val="18"/>
              </w:rPr>
              <w:t xml:space="preserve">for a single band, depending on UE release and NW release combination the correct diversity term is supposed to be indicated. </w:t>
            </w:r>
          </w:p>
          <w:p w:rsidR="00153165" w:rsidRPr="00AF74C6" w:rsidRDefault="00153165" w:rsidP="00153165">
            <w:pPr>
              <w:rPr>
                <w:rFonts w:ascii="Arial" w:eastAsia="宋体" w:hAnsi="Arial" w:cs="Arial"/>
                <w:bCs/>
                <w:iCs/>
                <w:sz w:val="18"/>
                <w:szCs w:val="18"/>
              </w:rPr>
            </w:pPr>
            <w:r>
              <w:rPr>
                <w:rFonts w:ascii="Arial" w:eastAsia="宋体" w:hAnsi="Arial" w:cs="Arial"/>
                <w:bCs/>
                <w:iCs/>
                <w:sz w:val="18"/>
                <w:szCs w:val="18"/>
              </w:rPr>
              <w:lastRenderedPageBreak/>
              <w:t>F</w:t>
            </w:r>
            <w:r w:rsidRPr="00AF74C6">
              <w:rPr>
                <w:rFonts w:ascii="Arial" w:eastAsia="宋体" w:hAnsi="Arial" w:cs="Arial"/>
                <w:bCs/>
                <w:iCs/>
                <w:sz w:val="18"/>
                <w:szCs w:val="18"/>
              </w:rPr>
              <w:t>or CA case</w:t>
            </w:r>
            <w:r>
              <w:rPr>
                <w:rFonts w:ascii="Arial" w:eastAsia="宋体" w:hAnsi="Arial" w:cs="Arial"/>
                <w:bCs/>
                <w:iCs/>
                <w:sz w:val="18"/>
                <w:szCs w:val="18"/>
              </w:rPr>
              <w:t xml:space="preserve"> (from</w:t>
            </w:r>
            <w:r w:rsidRPr="00AF74C6">
              <w:rPr>
                <w:rFonts w:ascii="Arial" w:eastAsia="宋体" w:hAnsi="Arial" w:cs="Arial"/>
                <w:bCs/>
                <w:iCs/>
                <w:sz w:val="18"/>
                <w:szCs w:val="18"/>
              </w:rPr>
              <w:t xml:space="preserve"> Rel-18 and onwards</w:t>
            </w:r>
            <w:r>
              <w:rPr>
                <w:rFonts w:ascii="Arial" w:eastAsia="宋体" w:hAnsi="Arial" w:cs="Arial"/>
                <w:bCs/>
                <w:iCs/>
                <w:sz w:val="18"/>
                <w:szCs w:val="18"/>
              </w:rPr>
              <w:t>)</w:t>
            </w:r>
            <w:r w:rsidRPr="00AF74C6">
              <w:rPr>
                <w:rFonts w:ascii="Arial" w:eastAsia="宋体" w:hAnsi="Arial" w:cs="Arial"/>
                <w:bCs/>
                <w:iCs/>
                <w:sz w:val="18"/>
                <w:szCs w:val="18"/>
              </w:rPr>
              <w:t>:</w:t>
            </w:r>
          </w:p>
          <w:p w:rsidR="00153165" w:rsidRDefault="00153165" w:rsidP="00153165">
            <w:pPr>
              <w:ind w:firstLineChars="150" w:firstLine="270"/>
            </w:pPr>
            <w:r w:rsidRPr="00AF74C6">
              <w:rPr>
                <w:rFonts w:ascii="Arial" w:eastAsia="宋体" w:hAnsi="Arial" w:cs="Arial"/>
                <w:bCs/>
                <w:iCs/>
                <w:sz w:val="18"/>
                <w:szCs w:val="18"/>
              </w:rPr>
              <w:t xml:space="preserve">- </w:t>
            </w:r>
            <w:r w:rsidRPr="00AF74C6">
              <w:rPr>
                <w:rFonts w:ascii="Arial" w:hAnsi="Arial" w:cs="Arial"/>
                <w:color w:val="000000"/>
                <w:sz w:val="18"/>
                <w:szCs w:val="18"/>
              </w:rPr>
              <w:t xml:space="preserve">It is agreed that CA does not inherit the corresponding single band </w:t>
            </w:r>
            <w:proofErr w:type="spellStart"/>
            <w:r w:rsidRPr="00AF74C6">
              <w:rPr>
                <w:rFonts w:ascii="Arial" w:hAnsi="Arial" w:cs="Arial"/>
                <w:color w:val="000000"/>
                <w:sz w:val="18"/>
                <w:szCs w:val="18"/>
              </w:rPr>
              <w:t>TxD</w:t>
            </w:r>
            <w:proofErr w:type="spellEnd"/>
            <w:r w:rsidRPr="00AF74C6">
              <w:rPr>
                <w:rFonts w:ascii="Arial" w:hAnsi="Arial" w:cs="Arial"/>
                <w:color w:val="000000"/>
                <w:sz w:val="18"/>
                <w:szCs w:val="18"/>
              </w:rPr>
              <w:t xml:space="preserve"> capability. And </w:t>
            </w:r>
            <w:r w:rsidRPr="00AF74C6">
              <w:rPr>
                <w:rFonts w:ascii="Arial" w:hAnsi="Arial" w:cs="Arial"/>
                <w:color w:val="000000"/>
                <w:sz w:val="18"/>
                <w:szCs w:val="18"/>
                <w:lang w:eastAsia="zh-CN"/>
              </w:rPr>
              <w:t xml:space="preserve">from Rel-18 and onwards, whether to support </w:t>
            </w:r>
            <w:proofErr w:type="spellStart"/>
            <w:r w:rsidRPr="00AF74C6">
              <w:rPr>
                <w:rFonts w:ascii="Arial" w:hAnsi="Arial" w:cs="Arial"/>
                <w:color w:val="000000"/>
                <w:sz w:val="18"/>
                <w:szCs w:val="18"/>
                <w:lang w:eastAsia="zh-CN"/>
              </w:rPr>
              <w:t>TxD</w:t>
            </w:r>
            <w:proofErr w:type="spellEnd"/>
            <w:r w:rsidRPr="00AF74C6">
              <w:rPr>
                <w:rFonts w:ascii="Arial" w:hAnsi="Arial" w:cs="Arial"/>
                <w:color w:val="000000"/>
                <w:sz w:val="18"/>
                <w:szCs w:val="18"/>
                <w:lang w:eastAsia="zh-CN"/>
              </w:rPr>
              <w:t xml:space="preserve"> for the band in a band combination is determined by </w:t>
            </w:r>
            <w:r w:rsidRPr="00AF74C6">
              <w:rPr>
                <w:rFonts w:ascii="Arial" w:hAnsi="Arial" w:cs="Arial"/>
                <w:i/>
                <w:sz w:val="18"/>
                <w:szCs w:val="18"/>
              </w:rPr>
              <w:t>[txDiversity2Tx-r18]</w:t>
            </w:r>
            <w:proofErr w:type="gramStart"/>
            <w:r w:rsidRPr="00AF74C6">
              <w:rPr>
                <w:rFonts w:ascii="Arial" w:hAnsi="Arial" w:cs="Arial"/>
                <w:i/>
                <w:sz w:val="18"/>
                <w:szCs w:val="18"/>
              </w:rPr>
              <w:t>/[</w:t>
            </w:r>
            <w:proofErr w:type="gramEnd"/>
            <w:r w:rsidRPr="00AF74C6">
              <w:rPr>
                <w:rFonts w:ascii="Arial" w:hAnsi="Arial" w:cs="Arial"/>
                <w:i/>
                <w:sz w:val="18"/>
                <w:szCs w:val="18"/>
              </w:rPr>
              <w:t>txDiversity4Tx-r18]</w:t>
            </w:r>
            <w:r w:rsidRPr="00AF74C6">
              <w:rPr>
                <w:rFonts w:ascii="Arial" w:hAnsi="Arial" w:cs="Arial"/>
                <w:sz w:val="18"/>
                <w:szCs w:val="18"/>
              </w:rPr>
              <w:t xml:space="preserve">, but not </w:t>
            </w:r>
            <w:r w:rsidRPr="00AF74C6">
              <w:rPr>
                <w:rFonts w:ascii="Arial" w:hAnsi="Arial" w:cs="Arial"/>
                <w:color w:val="000000"/>
                <w:sz w:val="18"/>
                <w:szCs w:val="18"/>
                <w:lang w:eastAsia="zh-CN"/>
              </w:rPr>
              <w:t xml:space="preserve">by </w:t>
            </w:r>
            <w:r w:rsidRPr="00AF74C6">
              <w:rPr>
                <w:rFonts w:ascii="Arial" w:hAnsi="Arial" w:cs="Arial"/>
                <w:i/>
                <w:sz w:val="18"/>
                <w:szCs w:val="18"/>
              </w:rPr>
              <w:t>txDiversity-r16.</w:t>
            </w:r>
          </w:p>
        </w:tc>
      </w:tr>
    </w:tbl>
    <w:p w:rsidR="00153165" w:rsidRDefault="00153165">
      <w:r>
        <w:rPr>
          <w:rFonts w:hint="eastAsia"/>
        </w:rPr>
        <w:lastRenderedPageBreak/>
        <w:t>I</w:t>
      </w:r>
      <w:r>
        <w:t>n short, it can be summarized as in the Table 1:</w:t>
      </w:r>
    </w:p>
    <w:p w:rsidR="00153165" w:rsidRPr="00153165" w:rsidRDefault="00153165" w:rsidP="00153165">
      <w:pPr>
        <w:jc w:val="center"/>
        <w:rPr>
          <w:b/>
        </w:rPr>
      </w:pPr>
      <w:r w:rsidRPr="00153165">
        <w:rPr>
          <w:b/>
        </w:rPr>
        <w:t>Table 1:</w:t>
      </w:r>
      <w:r w:rsidRPr="00153165">
        <w:rPr>
          <w:rFonts w:eastAsiaTheme="minorEastAsia"/>
          <w:b/>
          <w:szCs w:val="21"/>
        </w:rPr>
        <w:t xml:space="preserve"> 2 </w:t>
      </w:r>
      <w:proofErr w:type="spellStart"/>
      <w:proofErr w:type="gramStart"/>
      <w:r w:rsidRPr="00153165">
        <w:rPr>
          <w:rFonts w:eastAsiaTheme="minorEastAsia"/>
          <w:b/>
          <w:szCs w:val="21"/>
        </w:rPr>
        <w:t>Tx</w:t>
      </w:r>
      <w:proofErr w:type="spellEnd"/>
      <w:proofErr w:type="gramEnd"/>
      <w:r w:rsidRPr="00153165">
        <w:rPr>
          <w:rFonts w:eastAsiaTheme="minorEastAsia"/>
          <w:b/>
          <w:szCs w:val="21"/>
        </w:rPr>
        <w:t xml:space="preserve"> Diversity Capability</w:t>
      </w:r>
    </w:p>
    <w:tbl>
      <w:tblPr>
        <w:tblStyle w:val="af5"/>
        <w:tblW w:w="0" w:type="auto"/>
        <w:tblLook w:val="04A0" w:firstRow="1" w:lastRow="0" w:firstColumn="1" w:lastColumn="0" w:noHBand="0" w:noVBand="1"/>
      </w:tblPr>
      <w:tblGrid>
        <w:gridCol w:w="846"/>
        <w:gridCol w:w="1843"/>
        <w:gridCol w:w="2268"/>
        <w:gridCol w:w="1984"/>
        <w:gridCol w:w="1984"/>
      </w:tblGrid>
      <w:tr w:rsidR="00153165" w:rsidRPr="00153165" w:rsidTr="00DE2072">
        <w:tc>
          <w:tcPr>
            <w:tcW w:w="846" w:type="dxa"/>
          </w:tcPr>
          <w:p w:rsidR="00153165" w:rsidRPr="00153165" w:rsidRDefault="00153165">
            <w:pPr>
              <w:rPr>
                <w:rFonts w:eastAsiaTheme="minorEastAsia"/>
                <w:szCs w:val="21"/>
                <w:lang w:eastAsia="zh-CN"/>
              </w:rPr>
            </w:pPr>
            <w:r>
              <w:rPr>
                <w:rFonts w:eastAsiaTheme="minorEastAsia"/>
                <w:szCs w:val="21"/>
                <w:lang w:eastAsia="zh-CN"/>
              </w:rPr>
              <w:t>Case</w:t>
            </w:r>
          </w:p>
        </w:tc>
        <w:tc>
          <w:tcPr>
            <w:tcW w:w="1843" w:type="dxa"/>
          </w:tcPr>
          <w:p w:rsidR="00153165" w:rsidRPr="00153165" w:rsidRDefault="00153165">
            <w:pPr>
              <w:rPr>
                <w:szCs w:val="21"/>
              </w:rPr>
            </w:pPr>
            <w:r w:rsidRPr="00153165">
              <w:rPr>
                <w:szCs w:val="21"/>
              </w:rPr>
              <w:t>txDiversity-r16</w:t>
            </w:r>
          </w:p>
        </w:tc>
        <w:tc>
          <w:tcPr>
            <w:tcW w:w="2268" w:type="dxa"/>
          </w:tcPr>
          <w:p w:rsidR="00153165" w:rsidRPr="00153165" w:rsidRDefault="00153165">
            <w:pPr>
              <w:rPr>
                <w:szCs w:val="21"/>
              </w:rPr>
            </w:pPr>
            <w:r w:rsidRPr="00153165">
              <w:rPr>
                <w:szCs w:val="21"/>
              </w:rPr>
              <w:t>txDiversity2Tx-r18</w:t>
            </w:r>
          </w:p>
        </w:tc>
        <w:tc>
          <w:tcPr>
            <w:tcW w:w="1984" w:type="dxa"/>
          </w:tcPr>
          <w:p w:rsidR="00153165" w:rsidRDefault="00153165">
            <w:pPr>
              <w:rPr>
                <w:rFonts w:eastAsiaTheme="minorEastAsia"/>
                <w:szCs w:val="21"/>
                <w:lang w:eastAsia="zh-CN"/>
              </w:rPr>
            </w:pPr>
            <w:r>
              <w:rPr>
                <w:rFonts w:eastAsiaTheme="minorEastAsia"/>
                <w:szCs w:val="21"/>
                <w:lang w:eastAsia="zh-CN"/>
              </w:rPr>
              <w:t xml:space="preserve">2 </w:t>
            </w:r>
            <w:proofErr w:type="spellStart"/>
            <w:r>
              <w:rPr>
                <w:rFonts w:eastAsiaTheme="minorEastAsia"/>
                <w:szCs w:val="21"/>
                <w:lang w:eastAsia="zh-CN"/>
              </w:rPr>
              <w:t>Tx</w:t>
            </w:r>
            <w:proofErr w:type="spellEnd"/>
            <w:r>
              <w:rPr>
                <w:rFonts w:eastAsiaTheme="minorEastAsia"/>
                <w:szCs w:val="21"/>
                <w:lang w:eastAsia="zh-CN"/>
              </w:rPr>
              <w:t xml:space="preserve"> Diversity for</w:t>
            </w:r>
          </w:p>
          <w:p w:rsidR="00153165" w:rsidRPr="00153165" w:rsidRDefault="00153165">
            <w:pPr>
              <w:rPr>
                <w:rFonts w:eastAsiaTheme="minorEastAsia"/>
                <w:szCs w:val="21"/>
                <w:lang w:eastAsia="zh-CN"/>
              </w:rPr>
            </w:pPr>
            <w:r>
              <w:rPr>
                <w:rFonts w:eastAsiaTheme="minorEastAsia"/>
                <w:szCs w:val="21"/>
                <w:lang w:eastAsia="zh-CN"/>
              </w:rPr>
              <w:t>Single CC (Non-CA)</w:t>
            </w:r>
          </w:p>
        </w:tc>
        <w:tc>
          <w:tcPr>
            <w:tcW w:w="1984" w:type="dxa"/>
          </w:tcPr>
          <w:p w:rsidR="00153165" w:rsidRDefault="00153165" w:rsidP="00153165">
            <w:pPr>
              <w:rPr>
                <w:rFonts w:eastAsiaTheme="minorEastAsia"/>
                <w:szCs w:val="21"/>
                <w:lang w:eastAsia="zh-CN"/>
              </w:rPr>
            </w:pPr>
            <w:r>
              <w:rPr>
                <w:rFonts w:eastAsiaTheme="minorEastAsia"/>
                <w:szCs w:val="21"/>
                <w:lang w:eastAsia="zh-CN"/>
              </w:rPr>
              <w:t xml:space="preserve">2 </w:t>
            </w:r>
            <w:proofErr w:type="spellStart"/>
            <w:r>
              <w:rPr>
                <w:rFonts w:eastAsiaTheme="minorEastAsia"/>
                <w:szCs w:val="21"/>
                <w:lang w:eastAsia="zh-CN"/>
              </w:rPr>
              <w:t>Tx</w:t>
            </w:r>
            <w:proofErr w:type="spellEnd"/>
            <w:r>
              <w:rPr>
                <w:rFonts w:eastAsiaTheme="minorEastAsia"/>
                <w:szCs w:val="21"/>
                <w:lang w:eastAsia="zh-CN"/>
              </w:rPr>
              <w:t xml:space="preserve"> Diversity for</w:t>
            </w:r>
          </w:p>
          <w:p w:rsidR="00153165" w:rsidRDefault="00153165">
            <w:pPr>
              <w:rPr>
                <w:rFonts w:eastAsiaTheme="minorEastAsia"/>
                <w:szCs w:val="21"/>
                <w:lang w:eastAsia="zh-CN"/>
              </w:rPr>
            </w:pPr>
            <w:r>
              <w:rPr>
                <w:rFonts w:eastAsiaTheme="minorEastAsia"/>
                <w:szCs w:val="21"/>
                <w:lang w:eastAsia="zh-CN"/>
              </w:rPr>
              <w:t>EN-DC/CA</w:t>
            </w:r>
          </w:p>
        </w:tc>
      </w:tr>
      <w:tr w:rsidR="00153165" w:rsidTr="00DE2072">
        <w:tc>
          <w:tcPr>
            <w:tcW w:w="846" w:type="dxa"/>
          </w:tcPr>
          <w:p w:rsidR="00153165" w:rsidRPr="00153165" w:rsidRDefault="00153165">
            <w:pPr>
              <w:rPr>
                <w:rFonts w:eastAsiaTheme="minorEastAsia"/>
                <w:lang w:eastAsia="zh-CN"/>
              </w:rPr>
            </w:pPr>
            <w:r>
              <w:rPr>
                <w:rFonts w:eastAsiaTheme="minorEastAsia" w:hint="eastAsia"/>
                <w:lang w:eastAsia="zh-CN"/>
              </w:rPr>
              <w:t>1</w:t>
            </w:r>
          </w:p>
        </w:tc>
        <w:tc>
          <w:tcPr>
            <w:tcW w:w="1843" w:type="dxa"/>
          </w:tcPr>
          <w:p w:rsidR="00153165" w:rsidRPr="00153165" w:rsidRDefault="00153165">
            <w:pPr>
              <w:rPr>
                <w:rFonts w:eastAsiaTheme="minorEastAsia"/>
                <w:lang w:eastAsia="zh-CN"/>
              </w:rPr>
            </w:pPr>
            <w:r>
              <w:rPr>
                <w:rFonts w:eastAsiaTheme="minorEastAsia" w:hint="eastAsia"/>
                <w:lang w:eastAsia="zh-CN"/>
              </w:rPr>
              <w:t>P</w:t>
            </w:r>
            <w:r>
              <w:rPr>
                <w:rFonts w:eastAsiaTheme="minorEastAsia"/>
                <w:lang w:eastAsia="zh-CN"/>
              </w:rPr>
              <w:t>resent</w:t>
            </w:r>
          </w:p>
        </w:tc>
        <w:tc>
          <w:tcPr>
            <w:tcW w:w="2268" w:type="dxa"/>
          </w:tcPr>
          <w:p w:rsidR="00153165" w:rsidRPr="00153165" w:rsidRDefault="00153165">
            <w:pPr>
              <w:rPr>
                <w:rFonts w:eastAsiaTheme="minorEastAsia"/>
                <w:lang w:eastAsia="zh-CN"/>
              </w:rPr>
            </w:pPr>
            <w:r>
              <w:rPr>
                <w:rFonts w:eastAsiaTheme="minorEastAsia"/>
                <w:lang w:eastAsia="zh-CN"/>
              </w:rPr>
              <w:t>Absent</w:t>
            </w:r>
          </w:p>
        </w:tc>
        <w:tc>
          <w:tcPr>
            <w:tcW w:w="1984" w:type="dxa"/>
          </w:tcPr>
          <w:p w:rsidR="00153165" w:rsidRPr="00153165" w:rsidRDefault="00153165">
            <w:pPr>
              <w:rPr>
                <w:rFonts w:eastAsiaTheme="minorEastAsia"/>
                <w:highlight w:val="yellow"/>
                <w:lang w:eastAsia="zh-CN"/>
              </w:rPr>
            </w:pPr>
            <w:r w:rsidRPr="00153165">
              <w:rPr>
                <w:rFonts w:eastAsiaTheme="minorEastAsia"/>
                <w:highlight w:val="yellow"/>
                <w:lang w:eastAsia="zh-CN"/>
              </w:rPr>
              <w:t>Support</w:t>
            </w:r>
          </w:p>
        </w:tc>
        <w:tc>
          <w:tcPr>
            <w:tcW w:w="1984" w:type="dxa"/>
          </w:tcPr>
          <w:p w:rsidR="00153165" w:rsidRPr="00153165" w:rsidRDefault="00153165">
            <w:pPr>
              <w:rPr>
                <w:rFonts w:eastAsiaTheme="minorEastAsia"/>
                <w:highlight w:val="yellow"/>
                <w:lang w:eastAsia="zh-CN"/>
              </w:rPr>
            </w:pPr>
            <w:r w:rsidRPr="00153165">
              <w:rPr>
                <w:rFonts w:eastAsiaTheme="minorEastAsia" w:hint="eastAsia"/>
                <w:highlight w:val="yellow"/>
                <w:lang w:eastAsia="zh-CN"/>
              </w:rPr>
              <w:t>N</w:t>
            </w:r>
            <w:r w:rsidRPr="00153165">
              <w:rPr>
                <w:rFonts w:eastAsiaTheme="minorEastAsia"/>
                <w:highlight w:val="yellow"/>
                <w:lang w:eastAsia="zh-CN"/>
              </w:rPr>
              <w:t>ot support</w:t>
            </w:r>
          </w:p>
        </w:tc>
      </w:tr>
      <w:tr w:rsidR="00153165" w:rsidTr="00DE2072">
        <w:tc>
          <w:tcPr>
            <w:tcW w:w="846" w:type="dxa"/>
          </w:tcPr>
          <w:p w:rsidR="00153165" w:rsidRPr="00153165" w:rsidRDefault="00153165">
            <w:pPr>
              <w:rPr>
                <w:rFonts w:eastAsiaTheme="minorEastAsia"/>
                <w:lang w:eastAsia="zh-CN"/>
              </w:rPr>
            </w:pPr>
            <w:r>
              <w:rPr>
                <w:rFonts w:eastAsiaTheme="minorEastAsia" w:hint="eastAsia"/>
                <w:lang w:eastAsia="zh-CN"/>
              </w:rPr>
              <w:t>2</w:t>
            </w:r>
          </w:p>
        </w:tc>
        <w:tc>
          <w:tcPr>
            <w:tcW w:w="1843" w:type="dxa"/>
          </w:tcPr>
          <w:p w:rsidR="00153165" w:rsidRDefault="00153165">
            <w:r>
              <w:rPr>
                <w:rFonts w:eastAsiaTheme="minorEastAsia" w:hint="eastAsia"/>
                <w:lang w:eastAsia="zh-CN"/>
              </w:rPr>
              <w:t>P</w:t>
            </w:r>
            <w:r>
              <w:rPr>
                <w:rFonts w:eastAsiaTheme="minorEastAsia"/>
                <w:lang w:eastAsia="zh-CN"/>
              </w:rPr>
              <w:t>resent</w:t>
            </w:r>
          </w:p>
        </w:tc>
        <w:tc>
          <w:tcPr>
            <w:tcW w:w="2268" w:type="dxa"/>
          </w:tcPr>
          <w:p w:rsidR="00153165" w:rsidRDefault="00153165">
            <w:r>
              <w:rPr>
                <w:rFonts w:eastAsiaTheme="minorEastAsia" w:hint="eastAsia"/>
                <w:lang w:eastAsia="zh-CN"/>
              </w:rPr>
              <w:t>P</w:t>
            </w:r>
            <w:r>
              <w:rPr>
                <w:rFonts w:eastAsiaTheme="minorEastAsia"/>
                <w:lang w:eastAsia="zh-CN"/>
              </w:rPr>
              <w:t>resent</w:t>
            </w:r>
          </w:p>
        </w:tc>
        <w:tc>
          <w:tcPr>
            <w:tcW w:w="1984" w:type="dxa"/>
          </w:tcPr>
          <w:p w:rsidR="00153165" w:rsidRDefault="00153165">
            <w:r>
              <w:rPr>
                <w:rFonts w:eastAsiaTheme="minorEastAsia"/>
                <w:lang w:eastAsia="zh-CN"/>
              </w:rPr>
              <w:t>Support</w:t>
            </w:r>
          </w:p>
        </w:tc>
        <w:tc>
          <w:tcPr>
            <w:tcW w:w="1984" w:type="dxa"/>
          </w:tcPr>
          <w:p w:rsidR="00153165" w:rsidRDefault="00153165">
            <w:r>
              <w:rPr>
                <w:rFonts w:eastAsiaTheme="minorEastAsia"/>
                <w:lang w:eastAsia="zh-CN"/>
              </w:rPr>
              <w:t>Support</w:t>
            </w:r>
          </w:p>
        </w:tc>
      </w:tr>
      <w:tr w:rsidR="00153165" w:rsidTr="00DE2072">
        <w:tc>
          <w:tcPr>
            <w:tcW w:w="846" w:type="dxa"/>
          </w:tcPr>
          <w:p w:rsidR="00153165" w:rsidRPr="00153165" w:rsidRDefault="00153165">
            <w:pPr>
              <w:rPr>
                <w:rFonts w:eastAsiaTheme="minorEastAsia"/>
                <w:lang w:eastAsia="zh-CN"/>
              </w:rPr>
            </w:pPr>
            <w:r>
              <w:rPr>
                <w:rFonts w:eastAsiaTheme="minorEastAsia" w:hint="eastAsia"/>
                <w:lang w:eastAsia="zh-CN"/>
              </w:rPr>
              <w:t>3</w:t>
            </w:r>
          </w:p>
        </w:tc>
        <w:tc>
          <w:tcPr>
            <w:tcW w:w="1843" w:type="dxa"/>
          </w:tcPr>
          <w:p w:rsidR="00153165" w:rsidRDefault="00153165">
            <w:r>
              <w:rPr>
                <w:rFonts w:eastAsiaTheme="minorEastAsia"/>
                <w:lang w:eastAsia="zh-CN"/>
              </w:rPr>
              <w:t>Absent</w:t>
            </w:r>
          </w:p>
        </w:tc>
        <w:tc>
          <w:tcPr>
            <w:tcW w:w="2268" w:type="dxa"/>
          </w:tcPr>
          <w:p w:rsidR="00153165" w:rsidRDefault="00153165">
            <w:r>
              <w:rPr>
                <w:rFonts w:eastAsiaTheme="minorEastAsia"/>
                <w:lang w:eastAsia="zh-CN"/>
              </w:rPr>
              <w:t>Absent</w:t>
            </w:r>
          </w:p>
        </w:tc>
        <w:tc>
          <w:tcPr>
            <w:tcW w:w="1984" w:type="dxa"/>
          </w:tcPr>
          <w:p w:rsidR="00153165" w:rsidRPr="00153165" w:rsidRDefault="00153165">
            <w:r w:rsidRPr="00153165">
              <w:rPr>
                <w:rFonts w:eastAsiaTheme="minorEastAsia" w:hint="eastAsia"/>
                <w:lang w:eastAsia="zh-CN"/>
              </w:rPr>
              <w:t>N</w:t>
            </w:r>
            <w:r w:rsidRPr="00153165">
              <w:rPr>
                <w:rFonts w:eastAsiaTheme="minorEastAsia"/>
                <w:lang w:eastAsia="zh-CN"/>
              </w:rPr>
              <w:t>ot support</w:t>
            </w:r>
          </w:p>
        </w:tc>
        <w:tc>
          <w:tcPr>
            <w:tcW w:w="1984" w:type="dxa"/>
          </w:tcPr>
          <w:p w:rsidR="00153165" w:rsidRPr="00153165" w:rsidRDefault="00153165">
            <w:r w:rsidRPr="00153165">
              <w:rPr>
                <w:rFonts w:eastAsiaTheme="minorEastAsia" w:hint="eastAsia"/>
                <w:lang w:eastAsia="zh-CN"/>
              </w:rPr>
              <w:t>N</w:t>
            </w:r>
            <w:r w:rsidRPr="00153165">
              <w:rPr>
                <w:rFonts w:eastAsiaTheme="minorEastAsia"/>
                <w:lang w:eastAsia="zh-CN"/>
              </w:rPr>
              <w:t>ot support</w:t>
            </w:r>
          </w:p>
        </w:tc>
      </w:tr>
      <w:tr w:rsidR="00153165" w:rsidTr="00DE2072">
        <w:tc>
          <w:tcPr>
            <w:tcW w:w="846" w:type="dxa"/>
          </w:tcPr>
          <w:p w:rsidR="00153165" w:rsidRPr="00153165" w:rsidRDefault="00153165">
            <w:pPr>
              <w:rPr>
                <w:rFonts w:eastAsiaTheme="minorEastAsia"/>
                <w:lang w:eastAsia="zh-CN"/>
              </w:rPr>
            </w:pPr>
            <w:r>
              <w:rPr>
                <w:rFonts w:eastAsiaTheme="minorEastAsia" w:hint="eastAsia"/>
                <w:lang w:eastAsia="zh-CN"/>
              </w:rPr>
              <w:t>4</w:t>
            </w:r>
          </w:p>
        </w:tc>
        <w:tc>
          <w:tcPr>
            <w:tcW w:w="1843" w:type="dxa"/>
          </w:tcPr>
          <w:p w:rsidR="00153165" w:rsidRDefault="00153165">
            <w:r>
              <w:rPr>
                <w:rFonts w:eastAsiaTheme="minorEastAsia"/>
                <w:lang w:eastAsia="zh-CN"/>
              </w:rPr>
              <w:t>Absent</w:t>
            </w:r>
          </w:p>
        </w:tc>
        <w:tc>
          <w:tcPr>
            <w:tcW w:w="2268" w:type="dxa"/>
          </w:tcPr>
          <w:p w:rsidR="00153165" w:rsidRPr="00153165" w:rsidRDefault="00153165">
            <w:pPr>
              <w:rPr>
                <w:rFonts w:eastAsiaTheme="minorEastAsia"/>
                <w:lang w:eastAsia="zh-CN"/>
              </w:rPr>
            </w:pPr>
            <w:r>
              <w:rPr>
                <w:rFonts w:eastAsiaTheme="minorEastAsia"/>
                <w:lang w:eastAsia="zh-CN"/>
              </w:rPr>
              <w:t>Present</w:t>
            </w:r>
          </w:p>
        </w:tc>
        <w:tc>
          <w:tcPr>
            <w:tcW w:w="1984" w:type="dxa"/>
          </w:tcPr>
          <w:p w:rsidR="00153165" w:rsidRDefault="00153165">
            <w:r>
              <w:rPr>
                <w:rFonts w:eastAsiaTheme="minorEastAsia"/>
                <w:lang w:eastAsia="zh-CN"/>
              </w:rPr>
              <w:t>Support</w:t>
            </w:r>
          </w:p>
        </w:tc>
        <w:tc>
          <w:tcPr>
            <w:tcW w:w="1984" w:type="dxa"/>
          </w:tcPr>
          <w:p w:rsidR="00153165" w:rsidRDefault="00153165">
            <w:r>
              <w:rPr>
                <w:rFonts w:eastAsiaTheme="minorEastAsia"/>
                <w:lang w:eastAsia="zh-CN"/>
              </w:rPr>
              <w:t>Support</w:t>
            </w:r>
          </w:p>
        </w:tc>
      </w:tr>
    </w:tbl>
    <w:p w:rsidR="00153165" w:rsidRPr="00153165" w:rsidRDefault="00153165" w:rsidP="00153165">
      <w:pPr>
        <w:rPr>
          <w:szCs w:val="21"/>
        </w:rPr>
      </w:pPr>
      <w:r>
        <w:rPr>
          <w:rFonts w:hint="eastAsia"/>
        </w:rPr>
        <w:t>F</w:t>
      </w:r>
      <w:r>
        <w:t xml:space="preserve">rom this table, we can see that for the single CC case, the 2 </w:t>
      </w:r>
      <w:proofErr w:type="spellStart"/>
      <w:proofErr w:type="gramStart"/>
      <w:r>
        <w:t>Tx</w:t>
      </w:r>
      <w:proofErr w:type="spellEnd"/>
      <w:proofErr w:type="gramEnd"/>
      <w:r>
        <w:t xml:space="preserve"> diversity capability can be determined as supported if at least one of the t</w:t>
      </w:r>
      <w:r w:rsidRPr="00153165">
        <w:rPr>
          <w:szCs w:val="21"/>
        </w:rPr>
        <w:t>xDiversity-r16</w:t>
      </w:r>
      <w:r>
        <w:rPr>
          <w:szCs w:val="21"/>
        </w:rPr>
        <w:t>/</w:t>
      </w:r>
      <w:r w:rsidRPr="00153165">
        <w:rPr>
          <w:szCs w:val="21"/>
        </w:rPr>
        <w:t>txDiversity2Tx-r18</w:t>
      </w:r>
      <w:r>
        <w:rPr>
          <w:szCs w:val="21"/>
        </w:rPr>
        <w:t xml:space="preserve"> is supported.</w:t>
      </w:r>
    </w:p>
    <w:p w:rsidR="00153165" w:rsidRPr="00153165" w:rsidRDefault="00153165" w:rsidP="00153165">
      <w:pPr>
        <w:rPr>
          <w:b/>
          <w:bCs/>
        </w:rPr>
      </w:pPr>
      <w:r w:rsidRPr="003C4BED">
        <w:rPr>
          <w:rFonts w:hint="eastAsia"/>
          <w:b/>
          <w:bCs/>
        </w:rPr>
        <w:t xml:space="preserve">Proposal </w:t>
      </w:r>
      <w:r>
        <w:rPr>
          <w:b/>
          <w:bCs/>
        </w:rPr>
        <w:t>2</w:t>
      </w:r>
      <w:r w:rsidRPr="003C4BED">
        <w:rPr>
          <w:b/>
          <w:bCs/>
        </w:rPr>
        <w:t xml:space="preserve">: </w:t>
      </w:r>
      <w:r>
        <w:rPr>
          <w:b/>
          <w:bCs/>
        </w:rPr>
        <w:t xml:space="preserve">Ran2 to confirm that </w:t>
      </w:r>
      <w:r w:rsidRPr="00153165">
        <w:rPr>
          <w:b/>
          <w:bCs/>
        </w:rPr>
        <w:t xml:space="preserve">for the single CC case, the 2 </w:t>
      </w:r>
      <w:proofErr w:type="spellStart"/>
      <w:proofErr w:type="gramStart"/>
      <w:r w:rsidRPr="00153165">
        <w:rPr>
          <w:b/>
          <w:bCs/>
        </w:rPr>
        <w:t>Tx</w:t>
      </w:r>
      <w:proofErr w:type="spellEnd"/>
      <w:proofErr w:type="gramEnd"/>
      <w:r w:rsidRPr="00153165">
        <w:rPr>
          <w:b/>
          <w:bCs/>
        </w:rPr>
        <w:t xml:space="preserve"> diversity capability can be determined as supported if at least one of the txDiversity-r16/txDiversity2Tx-r18 is supported.</w:t>
      </w:r>
    </w:p>
    <w:p w:rsidR="00153165" w:rsidRPr="00153165" w:rsidRDefault="00153165" w:rsidP="00153165">
      <w:r w:rsidRPr="00153165">
        <w:rPr>
          <w:rFonts w:hint="eastAsia"/>
        </w:rPr>
        <w:t>F</w:t>
      </w:r>
      <w:r w:rsidRPr="00153165">
        <w:t xml:space="preserve">or the CA case, the 2 </w:t>
      </w:r>
      <w:proofErr w:type="spellStart"/>
      <w:proofErr w:type="gramStart"/>
      <w:r w:rsidRPr="00153165">
        <w:t>Tx</w:t>
      </w:r>
      <w:proofErr w:type="spellEnd"/>
      <w:proofErr w:type="gramEnd"/>
      <w:r w:rsidRPr="00153165">
        <w:t xml:space="preserve"> diversity capability shall be determined based on txDiversity2Tx-r18.</w:t>
      </w:r>
    </w:p>
    <w:p w:rsidR="00153165" w:rsidRPr="00153165" w:rsidRDefault="00153165" w:rsidP="00153165">
      <w:pPr>
        <w:rPr>
          <w:b/>
          <w:bCs/>
        </w:rPr>
      </w:pPr>
      <w:r w:rsidRPr="003C4BED">
        <w:rPr>
          <w:rFonts w:hint="eastAsia"/>
          <w:b/>
          <w:bCs/>
        </w:rPr>
        <w:t xml:space="preserve">Proposal </w:t>
      </w:r>
      <w:r>
        <w:rPr>
          <w:b/>
          <w:bCs/>
        </w:rPr>
        <w:t>2a</w:t>
      </w:r>
      <w:r w:rsidRPr="003C4BED">
        <w:rPr>
          <w:b/>
          <w:bCs/>
        </w:rPr>
        <w:t xml:space="preserve">: </w:t>
      </w:r>
      <w:r>
        <w:rPr>
          <w:b/>
          <w:bCs/>
        </w:rPr>
        <w:t xml:space="preserve">Ran2 to confirm that </w:t>
      </w:r>
      <w:r w:rsidRPr="00153165">
        <w:rPr>
          <w:b/>
          <w:bCs/>
        </w:rPr>
        <w:t xml:space="preserve">for the CA case, the 2 </w:t>
      </w:r>
      <w:proofErr w:type="spellStart"/>
      <w:proofErr w:type="gramStart"/>
      <w:r w:rsidRPr="00153165">
        <w:rPr>
          <w:b/>
          <w:bCs/>
        </w:rPr>
        <w:t>Tx</w:t>
      </w:r>
      <w:proofErr w:type="spellEnd"/>
      <w:proofErr w:type="gramEnd"/>
      <w:r w:rsidRPr="00153165">
        <w:rPr>
          <w:b/>
          <w:bCs/>
        </w:rPr>
        <w:t xml:space="preserve"> diversity capability shall be determined based on txDiversity2Tx-r18.</w:t>
      </w:r>
    </w:p>
    <w:p w:rsidR="00153165" w:rsidRDefault="00153165" w:rsidP="00153165">
      <w:pPr>
        <w:rPr>
          <w:bCs/>
        </w:rPr>
      </w:pPr>
      <w:r w:rsidRPr="00153165">
        <w:rPr>
          <w:rFonts w:hint="eastAsia"/>
          <w:bCs/>
        </w:rPr>
        <w:t>F</w:t>
      </w:r>
      <w:r w:rsidRPr="00153165">
        <w:rPr>
          <w:bCs/>
        </w:rPr>
        <w:t>rom the table 1, another issue</w:t>
      </w:r>
      <w:r>
        <w:rPr>
          <w:bCs/>
        </w:rPr>
        <w:t xml:space="preserve"> (Case 1 as highlighted in yellow)</w:t>
      </w:r>
      <w:r w:rsidRPr="00153165">
        <w:rPr>
          <w:bCs/>
        </w:rPr>
        <w:t xml:space="preserve"> is that how to determine the Single CC capability if this single CC </w:t>
      </w:r>
      <w:r>
        <w:rPr>
          <w:bCs/>
        </w:rPr>
        <w:t xml:space="preserve">is </w:t>
      </w:r>
      <w:r w:rsidRPr="00153165">
        <w:rPr>
          <w:bCs/>
        </w:rPr>
        <w:t>a fallback of a CA band combination</w:t>
      </w:r>
      <w:r>
        <w:rPr>
          <w:bCs/>
        </w:rPr>
        <w:t xml:space="preserve"> but this CA doesn’t report </w:t>
      </w:r>
      <w:r w:rsidRPr="00153165">
        <w:rPr>
          <w:bCs/>
        </w:rPr>
        <w:t>txDiversity2Tx-r18.</w:t>
      </w:r>
      <w:r>
        <w:rPr>
          <w:rFonts w:hint="eastAsia"/>
          <w:bCs/>
        </w:rPr>
        <w:t xml:space="preserve"> </w:t>
      </w:r>
      <w:r>
        <w:rPr>
          <w:bCs/>
        </w:rPr>
        <w:t>Normally, the fallback BC (including single CC) would inherit the same capability from the parent BC, thus if to comply with this principle, for the Case 1, the NW would determine the 2Tx diversity capability as not supported for the fallback single CC. To solve this issue, generally, there are 2 options:</w:t>
      </w:r>
    </w:p>
    <w:p w:rsidR="00153165" w:rsidRPr="00153165" w:rsidRDefault="00153165" w:rsidP="00153165">
      <w:pPr>
        <w:pStyle w:val="afe"/>
        <w:numPr>
          <w:ilvl w:val="0"/>
          <w:numId w:val="11"/>
        </w:numPr>
        <w:ind w:firstLineChars="0"/>
        <w:rPr>
          <w:bCs/>
        </w:rPr>
      </w:pPr>
      <w:r w:rsidRPr="00153165">
        <w:rPr>
          <w:bCs/>
        </w:rPr>
        <w:t>Option 1</w:t>
      </w:r>
      <w:r w:rsidRPr="00153165">
        <w:rPr>
          <w:rFonts w:hint="eastAsia"/>
          <w:bCs/>
        </w:rPr>
        <w:t>:</w:t>
      </w:r>
      <w:r w:rsidRPr="00153165">
        <w:rPr>
          <w:bCs/>
        </w:rPr>
        <w:t xml:space="preserve"> Clarify that for the single cc that is fallback from a parent BC without reporting txDiversity2Tx-r18, the NW determines the 2 </w:t>
      </w:r>
      <w:proofErr w:type="spellStart"/>
      <w:proofErr w:type="gramStart"/>
      <w:r w:rsidRPr="00153165">
        <w:rPr>
          <w:bCs/>
        </w:rPr>
        <w:t>Tx</w:t>
      </w:r>
      <w:proofErr w:type="spellEnd"/>
      <w:proofErr w:type="gramEnd"/>
      <w:r w:rsidRPr="00153165">
        <w:rPr>
          <w:bCs/>
        </w:rPr>
        <w:t xml:space="preserve"> diversity capability based on the txDiversity-r16.</w:t>
      </w:r>
    </w:p>
    <w:p w:rsidR="00153165" w:rsidRDefault="00153165" w:rsidP="00153165">
      <w:pPr>
        <w:pStyle w:val="afe"/>
        <w:numPr>
          <w:ilvl w:val="0"/>
          <w:numId w:val="11"/>
        </w:numPr>
        <w:ind w:firstLineChars="0"/>
        <w:rPr>
          <w:bCs/>
        </w:rPr>
      </w:pPr>
      <w:r w:rsidRPr="00153165">
        <w:rPr>
          <w:bCs/>
        </w:rPr>
        <w:t>Option 2</w:t>
      </w:r>
      <w:r w:rsidRPr="00153165">
        <w:rPr>
          <w:rFonts w:hint="eastAsia"/>
          <w:bCs/>
        </w:rPr>
        <w:t>:</w:t>
      </w:r>
      <w:r w:rsidR="00022DCD">
        <w:rPr>
          <w:bCs/>
        </w:rPr>
        <w:t xml:space="preserve"> UE reports such kind</w:t>
      </w:r>
      <w:r w:rsidRPr="00153165">
        <w:rPr>
          <w:bCs/>
        </w:rPr>
        <w:t xml:space="preserve"> of single CC as a separate BC.</w:t>
      </w:r>
    </w:p>
    <w:p w:rsidR="00153165" w:rsidRPr="00153165" w:rsidRDefault="00153165" w:rsidP="00153165">
      <w:pPr>
        <w:rPr>
          <w:bCs/>
        </w:rPr>
      </w:pPr>
      <w:r>
        <w:rPr>
          <w:rFonts w:hint="eastAsia"/>
          <w:bCs/>
        </w:rPr>
        <w:t>C</w:t>
      </w:r>
      <w:r>
        <w:rPr>
          <w:bCs/>
        </w:rPr>
        <w:t>ompared with the option 2, the option 1 can save more signaling overhead, and thus the option 1 is slightly preferred.</w:t>
      </w:r>
    </w:p>
    <w:p w:rsidR="00153165" w:rsidRPr="00153165" w:rsidRDefault="00153165" w:rsidP="00153165">
      <w:pPr>
        <w:rPr>
          <w:b/>
        </w:rPr>
      </w:pPr>
      <w:r w:rsidRPr="00153165">
        <w:rPr>
          <w:rFonts w:hint="eastAsia"/>
          <w:b/>
        </w:rPr>
        <w:t>P</w:t>
      </w:r>
      <w:r w:rsidRPr="00153165">
        <w:rPr>
          <w:b/>
        </w:rPr>
        <w:t xml:space="preserve">roposal 3: Ran2 to clarify </w:t>
      </w:r>
      <w:r w:rsidRPr="00153165">
        <w:rPr>
          <w:b/>
          <w:bCs/>
        </w:rPr>
        <w:t xml:space="preserve">that for the single cc that is fallback from a parent BC without reporting txDiversity2Tx-r18, the NW determines the 2 </w:t>
      </w:r>
      <w:proofErr w:type="spellStart"/>
      <w:proofErr w:type="gramStart"/>
      <w:r w:rsidRPr="00153165">
        <w:rPr>
          <w:b/>
          <w:bCs/>
        </w:rPr>
        <w:t>Tx</w:t>
      </w:r>
      <w:proofErr w:type="spellEnd"/>
      <w:proofErr w:type="gramEnd"/>
      <w:r w:rsidRPr="00153165">
        <w:rPr>
          <w:b/>
          <w:bCs/>
        </w:rPr>
        <w:t xml:space="preserve"> diversity capability based on the txDiversity-r16.</w:t>
      </w:r>
    </w:p>
    <w:p w:rsidR="00153165" w:rsidRDefault="00153165" w:rsidP="00153165">
      <w:pPr>
        <w:rPr>
          <w:b/>
          <w:i/>
          <w:u w:val="single"/>
        </w:rPr>
      </w:pPr>
      <w:r>
        <w:rPr>
          <w:b/>
          <w:i/>
          <w:u w:val="single"/>
        </w:rPr>
        <w:t>Relation between</w:t>
      </w:r>
      <w:r w:rsidRPr="003C4BED">
        <w:rPr>
          <w:b/>
          <w:i/>
          <w:u w:val="single"/>
        </w:rPr>
        <w:t xml:space="preserve"> the </w:t>
      </w:r>
      <w:r>
        <w:rPr>
          <w:b/>
          <w:i/>
          <w:u w:val="single"/>
        </w:rPr>
        <w:t>R18 2Tx and R18 4Tx</w:t>
      </w:r>
      <w:r w:rsidRPr="003C4BED">
        <w:rPr>
          <w:b/>
          <w:i/>
          <w:u w:val="single"/>
        </w:rPr>
        <w:t xml:space="preserve"> </w:t>
      </w:r>
      <w:r>
        <w:rPr>
          <w:b/>
          <w:i/>
          <w:u w:val="single"/>
        </w:rPr>
        <w:t xml:space="preserve">Diversity </w:t>
      </w:r>
      <w:r w:rsidRPr="003C4BED">
        <w:rPr>
          <w:b/>
          <w:i/>
          <w:u w:val="single"/>
        </w:rPr>
        <w:t>Capability</w:t>
      </w:r>
    </w:p>
    <w:p w:rsidR="00153165" w:rsidRPr="00153165" w:rsidRDefault="00153165" w:rsidP="00153165">
      <w:pPr>
        <w:rPr>
          <w:b/>
          <w:i/>
          <w:u w:val="single"/>
        </w:rPr>
      </w:pPr>
      <w:r w:rsidRPr="00153165">
        <w:rPr>
          <w:bCs/>
        </w:rPr>
        <w:lastRenderedPageBreak/>
        <w:t>About the relation between the R18 2Tx and R18 4Tx Diversity Capability</w:t>
      </w:r>
      <w:r>
        <w:rPr>
          <w:bCs/>
        </w:rPr>
        <w:t>, RAN4 has indicate that t</w:t>
      </w:r>
      <w:r w:rsidRPr="00153165">
        <w:rPr>
          <w:bCs/>
        </w:rPr>
        <w:t>he presence of [txDiversity4Tx-r18] does not require the support of [txDiversity2Tx-r18]</w:t>
      </w:r>
      <w:r>
        <w:rPr>
          <w:bCs/>
        </w:rPr>
        <w:t>, thus we get our proposal 4 as below.</w:t>
      </w:r>
    </w:p>
    <w:tbl>
      <w:tblPr>
        <w:tblStyle w:val="af5"/>
        <w:tblW w:w="0" w:type="auto"/>
        <w:tblLook w:val="04A0" w:firstRow="1" w:lastRow="0" w:firstColumn="1" w:lastColumn="0" w:noHBand="0" w:noVBand="1"/>
      </w:tblPr>
      <w:tblGrid>
        <w:gridCol w:w="9771"/>
      </w:tblGrid>
      <w:tr w:rsidR="00153165" w:rsidTr="00153165">
        <w:tc>
          <w:tcPr>
            <w:tcW w:w="9771" w:type="dxa"/>
          </w:tcPr>
          <w:p w:rsidR="00153165" w:rsidRDefault="00153165" w:rsidP="00153165">
            <w:pPr>
              <w:spacing w:afterLines="50" w:after="156"/>
              <w:rPr>
                <w:b/>
                <w:i/>
                <w:u w:val="single"/>
              </w:rPr>
            </w:pPr>
            <w:r w:rsidRPr="00AF74C6">
              <w:rPr>
                <w:rFonts w:ascii="Arial" w:hAnsi="Arial" w:cs="Arial"/>
                <w:sz w:val="18"/>
                <w:szCs w:val="18"/>
              </w:rPr>
              <w:t xml:space="preserve">In terms of the interaction between </w:t>
            </w:r>
            <w:r w:rsidRPr="00AF74C6">
              <w:rPr>
                <w:rFonts w:ascii="Arial" w:hAnsi="Arial" w:cs="Arial"/>
                <w:i/>
                <w:sz w:val="18"/>
                <w:szCs w:val="18"/>
              </w:rPr>
              <w:t>[txDiversity2Tx-r18]</w:t>
            </w:r>
            <w:r w:rsidRPr="00AF74C6">
              <w:rPr>
                <w:rFonts w:ascii="Arial" w:hAnsi="Arial" w:cs="Arial"/>
                <w:sz w:val="18"/>
                <w:szCs w:val="18"/>
              </w:rPr>
              <w:t xml:space="preserve"> and </w:t>
            </w:r>
            <w:r w:rsidRPr="00AF74C6">
              <w:rPr>
                <w:rFonts w:ascii="Arial" w:hAnsi="Arial" w:cs="Arial"/>
                <w:i/>
                <w:sz w:val="18"/>
                <w:szCs w:val="18"/>
              </w:rPr>
              <w:t>[txDiversity4Tx-r18]</w:t>
            </w:r>
            <w:r w:rsidRPr="00AF74C6">
              <w:rPr>
                <w:rFonts w:ascii="Arial" w:hAnsi="Arial" w:cs="Arial"/>
                <w:sz w:val="18"/>
                <w:szCs w:val="18"/>
              </w:rPr>
              <w:t xml:space="preserve">, RAN4 concludes that the presence of </w:t>
            </w:r>
            <w:r w:rsidRPr="00AF74C6">
              <w:rPr>
                <w:rFonts w:ascii="Arial" w:hAnsi="Arial" w:cs="Arial"/>
                <w:i/>
                <w:sz w:val="18"/>
                <w:szCs w:val="18"/>
              </w:rPr>
              <w:t>[txDiversity4Tx-r18]</w:t>
            </w:r>
            <w:r w:rsidRPr="00AF74C6">
              <w:rPr>
                <w:rFonts w:ascii="Arial" w:hAnsi="Arial" w:cs="Arial"/>
                <w:sz w:val="18"/>
                <w:szCs w:val="18"/>
              </w:rPr>
              <w:t xml:space="preserve"> does not require the support of </w:t>
            </w:r>
            <w:r w:rsidRPr="00AF74C6">
              <w:rPr>
                <w:rFonts w:ascii="Arial" w:hAnsi="Arial" w:cs="Arial"/>
                <w:i/>
                <w:sz w:val="18"/>
                <w:szCs w:val="18"/>
              </w:rPr>
              <w:t>[txDiversity2Tx-r18]</w:t>
            </w:r>
            <w:r w:rsidRPr="00AF74C6">
              <w:rPr>
                <w:rFonts w:ascii="Arial" w:hAnsi="Arial" w:cs="Arial"/>
                <w:sz w:val="18"/>
                <w:szCs w:val="18"/>
              </w:rPr>
              <w:t xml:space="preserve">. </w:t>
            </w:r>
          </w:p>
        </w:tc>
      </w:tr>
    </w:tbl>
    <w:p w:rsidR="00153165" w:rsidRPr="00153165" w:rsidRDefault="00153165" w:rsidP="00153165">
      <w:pPr>
        <w:rPr>
          <w:b/>
        </w:rPr>
      </w:pPr>
      <w:r w:rsidRPr="00153165">
        <w:rPr>
          <w:rFonts w:hint="eastAsia"/>
          <w:b/>
        </w:rPr>
        <w:t>P</w:t>
      </w:r>
      <w:r>
        <w:rPr>
          <w:b/>
        </w:rPr>
        <w:t>roposal 4</w:t>
      </w:r>
      <w:r w:rsidRPr="00153165">
        <w:rPr>
          <w:b/>
        </w:rPr>
        <w:t>: The presence of [txDiversity4Tx-r18] does not require the support of [txDiversity2Tx-r18]</w:t>
      </w:r>
      <w:r>
        <w:rPr>
          <w:b/>
        </w:rPr>
        <w:t>.</w:t>
      </w:r>
    </w:p>
    <w:p w:rsidR="00153165" w:rsidRDefault="00153165" w:rsidP="00153165">
      <w:pPr>
        <w:rPr>
          <w:b/>
          <w:i/>
          <w:u w:val="single"/>
        </w:rPr>
      </w:pPr>
      <w:r w:rsidRPr="00153165">
        <w:rPr>
          <w:b/>
          <w:i/>
          <w:u w:val="single"/>
        </w:rPr>
        <w:t>Applied Scenarios</w:t>
      </w:r>
    </w:p>
    <w:p w:rsidR="00153165" w:rsidRPr="00BD1116" w:rsidRDefault="00153165" w:rsidP="00153165">
      <w:pPr>
        <w:rPr>
          <w:bCs/>
        </w:rPr>
      </w:pPr>
      <w:r w:rsidRPr="00BD1116">
        <w:rPr>
          <w:rFonts w:hint="eastAsia"/>
          <w:bCs/>
        </w:rPr>
        <w:t>A</w:t>
      </w:r>
      <w:r w:rsidRPr="00BD1116">
        <w:rPr>
          <w:bCs/>
        </w:rPr>
        <w:t xml:space="preserve">bout the applied scenario, in the legacy 2Tx Diversity capability field description, it has been clearly clarified that it’s for FR1 only. However whether the new R18 parameters are also for the FR1 only is not clear in the LS. </w:t>
      </w:r>
    </w:p>
    <w:p w:rsidR="00153165" w:rsidRPr="00153165" w:rsidRDefault="00153165" w:rsidP="00153165">
      <w:pPr>
        <w:rPr>
          <w:rFonts w:ascii="Arial" w:hAnsi="Arial" w:cs="Arial"/>
          <w:sz w:val="18"/>
          <w:szCs w:val="18"/>
        </w:rPr>
      </w:pPr>
      <w:r w:rsidRPr="00153165">
        <w:rPr>
          <w:rFonts w:hint="eastAsia"/>
          <w:b/>
        </w:rPr>
        <w:t>P</w:t>
      </w:r>
      <w:r>
        <w:rPr>
          <w:b/>
        </w:rPr>
        <w:t>roposal 5</w:t>
      </w:r>
      <w:r w:rsidRPr="00153165">
        <w:rPr>
          <w:b/>
        </w:rPr>
        <w:t>:</w:t>
      </w:r>
      <w:r>
        <w:rPr>
          <w:b/>
        </w:rPr>
        <w:t xml:space="preserve"> Ran2 to confirm whether the </w:t>
      </w:r>
      <w:r w:rsidRPr="00153165">
        <w:rPr>
          <w:b/>
        </w:rPr>
        <w:t>txDiversity4Tx-r18</w:t>
      </w:r>
      <w:r>
        <w:rPr>
          <w:b/>
        </w:rPr>
        <w:t>/</w:t>
      </w:r>
      <w:r w:rsidRPr="00153165">
        <w:rPr>
          <w:b/>
        </w:rPr>
        <w:t>txDiversity2Tx-r18</w:t>
      </w:r>
      <w:r>
        <w:rPr>
          <w:b/>
        </w:rPr>
        <w:t xml:space="preserve"> are only for the FR1.</w:t>
      </w:r>
    </w:p>
    <w:p w:rsidR="00153165" w:rsidRPr="00BD1116" w:rsidRDefault="00153165" w:rsidP="00153165">
      <w:pPr>
        <w:rPr>
          <w:bCs/>
        </w:rPr>
      </w:pPr>
      <w:r w:rsidRPr="00BD1116">
        <w:rPr>
          <w:bCs/>
        </w:rPr>
        <w:t>Furthermore, in the LS, only the CA and non-CA were mentioned, but from the corresponding WID name, we can see that the EN-DC should also be included for the new R18 parameters. Then the remaining question is whether it can also be adopted for the NR-DC case (e.g. NR DC with NR-CA on MCG/SCG).</w:t>
      </w:r>
    </w:p>
    <w:tbl>
      <w:tblPr>
        <w:tblStyle w:val="af5"/>
        <w:tblW w:w="0" w:type="auto"/>
        <w:tblLook w:val="04A0" w:firstRow="1" w:lastRow="0" w:firstColumn="1" w:lastColumn="0" w:noHBand="0" w:noVBand="1"/>
      </w:tblPr>
      <w:tblGrid>
        <w:gridCol w:w="9771"/>
      </w:tblGrid>
      <w:tr w:rsidR="00153165" w:rsidTr="00153165">
        <w:tc>
          <w:tcPr>
            <w:tcW w:w="9771" w:type="dxa"/>
          </w:tcPr>
          <w:p w:rsidR="00153165" w:rsidRPr="00AF74C6" w:rsidRDefault="00153165" w:rsidP="00153165">
            <w:pPr>
              <w:spacing w:afterLines="50" w:after="156"/>
              <w:rPr>
                <w:rFonts w:ascii="Arial" w:eastAsia="宋体" w:hAnsi="Arial" w:cs="Arial"/>
                <w:bCs/>
                <w:iCs/>
                <w:sz w:val="18"/>
                <w:szCs w:val="18"/>
              </w:rPr>
            </w:pPr>
            <w:r w:rsidRPr="00AF74C6">
              <w:rPr>
                <w:rFonts w:ascii="Arial" w:hAnsi="Arial" w:cs="Arial"/>
                <w:sz w:val="18"/>
                <w:szCs w:val="18"/>
              </w:rPr>
              <w:t xml:space="preserve">1) New Rel-18 FS </w:t>
            </w:r>
            <w:r w:rsidRPr="00AF74C6">
              <w:rPr>
                <w:rFonts w:ascii="Arial" w:hAnsi="Arial" w:cs="Arial"/>
                <w:i/>
                <w:sz w:val="18"/>
                <w:szCs w:val="18"/>
              </w:rPr>
              <w:t>[txDiversity2Tx-r18]</w:t>
            </w:r>
            <w:r w:rsidRPr="00AF74C6">
              <w:rPr>
                <w:rFonts w:ascii="Arial" w:hAnsi="Arial" w:cs="Arial"/>
                <w:sz w:val="18"/>
                <w:szCs w:val="18"/>
              </w:rPr>
              <w:t xml:space="preserve"> is applicable for both single band (non-CA) case and CA case.</w:t>
            </w:r>
          </w:p>
          <w:p w:rsidR="00153165" w:rsidRDefault="00153165" w:rsidP="00153165">
            <w:pPr>
              <w:spacing w:afterLines="50" w:after="156"/>
              <w:rPr>
                <w:rFonts w:ascii="Arial" w:hAnsi="Arial" w:cs="Arial"/>
                <w:sz w:val="18"/>
                <w:szCs w:val="18"/>
              </w:rPr>
            </w:pPr>
            <w:r w:rsidRPr="00AF74C6">
              <w:rPr>
                <w:rFonts w:ascii="Arial" w:hAnsi="Arial" w:cs="Arial" w:hint="eastAsia"/>
                <w:sz w:val="18"/>
                <w:szCs w:val="18"/>
              </w:rPr>
              <w:t>2</w:t>
            </w:r>
            <w:r w:rsidRPr="00AF74C6">
              <w:rPr>
                <w:rFonts w:ascii="Arial" w:hAnsi="Arial" w:cs="Arial"/>
                <w:sz w:val="18"/>
                <w:szCs w:val="18"/>
              </w:rPr>
              <w:t xml:space="preserve">) New Rel-18 FS </w:t>
            </w:r>
            <w:r w:rsidRPr="00AF74C6">
              <w:rPr>
                <w:rFonts w:ascii="Arial" w:hAnsi="Arial" w:cs="Arial"/>
                <w:i/>
                <w:sz w:val="18"/>
                <w:szCs w:val="18"/>
              </w:rPr>
              <w:t>[txDiversity4Tx-r18]</w:t>
            </w:r>
            <w:r w:rsidRPr="00AF74C6">
              <w:rPr>
                <w:rFonts w:ascii="Arial" w:hAnsi="Arial" w:cs="Arial"/>
                <w:sz w:val="18"/>
                <w:szCs w:val="18"/>
              </w:rPr>
              <w:t xml:space="preserve"> is applicable for both single band (non-CA) case and CA case.</w:t>
            </w:r>
          </w:p>
        </w:tc>
      </w:tr>
    </w:tbl>
    <w:p w:rsidR="000251A3" w:rsidRPr="00153165" w:rsidRDefault="00153165">
      <w:pPr>
        <w:rPr>
          <w:b/>
          <w:bCs/>
        </w:rPr>
      </w:pPr>
      <w:r w:rsidRPr="00153165">
        <w:rPr>
          <w:rFonts w:hint="eastAsia"/>
          <w:b/>
        </w:rPr>
        <w:t>P</w:t>
      </w:r>
      <w:r>
        <w:rPr>
          <w:b/>
        </w:rPr>
        <w:t>roposal 6</w:t>
      </w:r>
      <w:r w:rsidRPr="00153165">
        <w:rPr>
          <w:b/>
        </w:rPr>
        <w:t>:</w:t>
      </w:r>
      <w:r>
        <w:rPr>
          <w:b/>
        </w:rPr>
        <w:t xml:space="preserve"> Ran2 to confirm whether the </w:t>
      </w:r>
      <w:r w:rsidRPr="00153165">
        <w:rPr>
          <w:b/>
        </w:rPr>
        <w:t>txDiversity4Tx-r18</w:t>
      </w:r>
      <w:r>
        <w:rPr>
          <w:b/>
        </w:rPr>
        <w:t>/</w:t>
      </w:r>
      <w:r w:rsidRPr="00153165">
        <w:rPr>
          <w:b/>
        </w:rPr>
        <w:t>txDiversity2Tx-r18</w:t>
      </w:r>
      <w:r>
        <w:rPr>
          <w:b/>
        </w:rPr>
        <w:t xml:space="preserve"> are also used for the NR-DC case (</w:t>
      </w:r>
      <w:r w:rsidRPr="00153165">
        <w:rPr>
          <w:b/>
        </w:rPr>
        <w:t>e.g. NR DC with NR-CA on MCG/SCG</w:t>
      </w:r>
      <w:r>
        <w:rPr>
          <w:b/>
        </w:rPr>
        <w:t>).</w:t>
      </w:r>
    </w:p>
    <w:p w:rsidR="00E257E9" w:rsidRDefault="0049367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257E9" w:rsidRDefault="0049367A">
      <w:pPr>
        <w:spacing w:beforeLines="50" w:before="156"/>
      </w:pPr>
      <w:r>
        <w:rPr>
          <w:rFonts w:hint="eastAsia"/>
        </w:rPr>
        <w:t xml:space="preserve">With the above analysis, we have the following </w:t>
      </w:r>
      <w:r>
        <w:t>proposals</w:t>
      </w:r>
      <w:r>
        <w:rPr>
          <w:rFonts w:hint="eastAsia"/>
        </w:rPr>
        <w:t>:</w:t>
      </w:r>
    </w:p>
    <w:p w:rsidR="001B640E" w:rsidRPr="00153165" w:rsidRDefault="001B640E" w:rsidP="001B640E">
      <w:pPr>
        <w:rPr>
          <w:b/>
          <w:bCs/>
        </w:rPr>
      </w:pPr>
      <w:bookmarkStart w:id="2" w:name="_GoBack"/>
      <w:r w:rsidRPr="00153165">
        <w:rPr>
          <w:rFonts w:hint="eastAsia"/>
          <w:b/>
          <w:bCs/>
        </w:rPr>
        <w:t>P</w:t>
      </w:r>
      <w:r w:rsidRPr="00153165">
        <w:rPr>
          <w:b/>
          <w:bCs/>
        </w:rPr>
        <w:t xml:space="preserve">roposal 1: Ran2 to clarify that the legacy txDiversity-r16 is only used for the non-CA (single CC) with 2 </w:t>
      </w:r>
      <w:proofErr w:type="spellStart"/>
      <w:proofErr w:type="gramStart"/>
      <w:r w:rsidRPr="00153165">
        <w:rPr>
          <w:b/>
          <w:bCs/>
        </w:rPr>
        <w:t>Tx</w:t>
      </w:r>
      <w:proofErr w:type="spellEnd"/>
      <w:proofErr w:type="gramEnd"/>
      <w:r w:rsidRPr="00153165">
        <w:rPr>
          <w:b/>
          <w:bCs/>
        </w:rPr>
        <w:t xml:space="preserve"> diversity case.</w:t>
      </w:r>
    </w:p>
    <w:p w:rsidR="001B640E" w:rsidRPr="003C4BED" w:rsidRDefault="001B640E" w:rsidP="001B640E">
      <w:pPr>
        <w:rPr>
          <w:b/>
        </w:rPr>
      </w:pPr>
      <w:r w:rsidRPr="003C4BED">
        <w:rPr>
          <w:rFonts w:hint="eastAsia"/>
          <w:b/>
          <w:bCs/>
        </w:rPr>
        <w:t xml:space="preserve">Proposal </w:t>
      </w:r>
      <w:r w:rsidRPr="003C4BED">
        <w:rPr>
          <w:b/>
          <w:bCs/>
        </w:rPr>
        <w:t>1</w:t>
      </w:r>
      <w:r>
        <w:rPr>
          <w:b/>
          <w:bCs/>
        </w:rPr>
        <w:t>a</w:t>
      </w:r>
      <w:r w:rsidRPr="003C4BED">
        <w:rPr>
          <w:b/>
          <w:bCs/>
        </w:rPr>
        <w:t xml:space="preserve">: </w:t>
      </w:r>
      <w:r>
        <w:rPr>
          <w:b/>
          <w:bCs/>
        </w:rPr>
        <w:t xml:space="preserve">The </w:t>
      </w:r>
      <w:proofErr w:type="spellStart"/>
      <w:r>
        <w:rPr>
          <w:b/>
          <w:bCs/>
        </w:rPr>
        <w:t>TxD</w:t>
      </w:r>
      <w:proofErr w:type="spellEnd"/>
      <w:r>
        <w:rPr>
          <w:b/>
          <w:bCs/>
        </w:rPr>
        <w:t xml:space="preserve"> capabilities are transparent to network, and thus </w:t>
      </w:r>
      <w:r>
        <w:rPr>
          <w:b/>
        </w:rPr>
        <w:t>t</w:t>
      </w:r>
      <w:r w:rsidRPr="003C4BED">
        <w:rPr>
          <w:b/>
        </w:rPr>
        <w:t>here is no functional NBC issue.</w:t>
      </w:r>
    </w:p>
    <w:p w:rsidR="001B640E" w:rsidRPr="00153165" w:rsidRDefault="001B640E" w:rsidP="001B640E">
      <w:pPr>
        <w:rPr>
          <w:b/>
          <w:bCs/>
        </w:rPr>
      </w:pPr>
      <w:r w:rsidRPr="003C4BED">
        <w:rPr>
          <w:rFonts w:hint="eastAsia"/>
          <w:b/>
          <w:bCs/>
        </w:rPr>
        <w:t xml:space="preserve">Proposal </w:t>
      </w:r>
      <w:r>
        <w:rPr>
          <w:b/>
          <w:bCs/>
        </w:rPr>
        <w:t>2</w:t>
      </w:r>
      <w:r w:rsidRPr="003C4BED">
        <w:rPr>
          <w:b/>
          <w:bCs/>
        </w:rPr>
        <w:t xml:space="preserve">: </w:t>
      </w:r>
      <w:r>
        <w:rPr>
          <w:b/>
          <w:bCs/>
        </w:rPr>
        <w:t xml:space="preserve">Ran2 to confirm that </w:t>
      </w:r>
      <w:r w:rsidRPr="00153165">
        <w:rPr>
          <w:b/>
          <w:bCs/>
        </w:rPr>
        <w:t xml:space="preserve">for the single CC case, the 2 </w:t>
      </w:r>
      <w:proofErr w:type="spellStart"/>
      <w:proofErr w:type="gramStart"/>
      <w:r w:rsidRPr="00153165">
        <w:rPr>
          <w:b/>
          <w:bCs/>
        </w:rPr>
        <w:t>Tx</w:t>
      </w:r>
      <w:proofErr w:type="spellEnd"/>
      <w:proofErr w:type="gramEnd"/>
      <w:r w:rsidRPr="00153165">
        <w:rPr>
          <w:b/>
          <w:bCs/>
        </w:rPr>
        <w:t xml:space="preserve"> diversity capability can be determined as supported if at least one of the txDiversity-r16/txDiversity2Tx-r18 is supported.</w:t>
      </w:r>
    </w:p>
    <w:p w:rsidR="001B640E" w:rsidRPr="001B640E" w:rsidRDefault="001B640E" w:rsidP="001B640E">
      <w:r w:rsidRPr="003C4BED">
        <w:rPr>
          <w:rFonts w:hint="eastAsia"/>
          <w:b/>
          <w:bCs/>
        </w:rPr>
        <w:t xml:space="preserve">Proposal </w:t>
      </w:r>
      <w:r>
        <w:rPr>
          <w:b/>
          <w:bCs/>
        </w:rPr>
        <w:t>2a</w:t>
      </w:r>
      <w:r w:rsidRPr="003C4BED">
        <w:rPr>
          <w:b/>
          <w:bCs/>
        </w:rPr>
        <w:t xml:space="preserve">: </w:t>
      </w:r>
      <w:r>
        <w:rPr>
          <w:b/>
          <w:bCs/>
        </w:rPr>
        <w:t xml:space="preserve">Ran2 to confirm that </w:t>
      </w:r>
      <w:r w:rsidRPr="00153165">
        <w:rPr>
          <w:b/>
          <w:bCs/>
        </w:rPr>
        <w:t xml:space="preserve">for the CA case, the 2 </w:t>
      </w:r>
      <w:proofErr w:type="spellStart"/>
      <w:proofErr w:type="gramStart"/>
      <w:r w:rsidRPr="00153165">
        <w:rPr>
          <w:b/>
          <w:bCs/>
        </w:rPr>
        <w:t>Tx</w:t>
      </w:r>
      <w:proofErr w:type="spellEnd"/>
      <w:proofErr w:type="gramEnd"/>
      <w:r w:rsidRPr="00153165">
        <w:rPr>
          <w:b/>
          <w:bCs/>
        </w:rPr>
        <w:t xml:space="preserve"> diversity capability shall be determined based on txDiversity2Tx-r18.</w:t>
      </w:r>
    </w:p>
    <w:p w:rsidR="001B640E" w:rsidRPr="001B640E" w:rsidRDefault="001B640E" w:rsidP="001B640E">
      <w:r w:rsidRPr="00153165">
        <w:rPr>
          <w:rFonts w:hint="eastAsia"/>
          <w:b/>
        </w:rPr>
        <w:t>P</w:t>
      </w:r>
      <w:r w:rsidRPr="00153165">
        <w:rPr>
          <w:b/>
        </w:rPr>
        <w:t xml:space="preserve">roposal 3: Ran2 to clarify </w:t>
      </w:r>
      <w:r w:rsidRPr="00153165">
        <w:rPr>
          <w:b/>
          <w:bCs/>
        </w:rPr>
        <w:t xml:space="preserve">that for the single cc that is fallback from a parent BC without reporting txDiversity2Tx-r18, the NW determines the 2 </w:t>
      </w:r>
      <w:proofErr w:type="spellStart"/>
      <w:proofErr w:type="gramStart"/>
      <w:r w:rsidRPr="00153165">
        <w:rPr>
          <w:b/>
          <w:bCs/>
        </w:rPr>
        <w:t>Tx</w:t>
      </w:r>
      <w:proofErr w:type="spellEnd"/>
      <w:proofErr w:type="gramEnd"/>
      <w:r w:rsidRPr="00153165">
        <w:rPr>
          <w:b/>
          <w:bCs/>
        </w:rPr>
        <w:t xml:space="preserve"> diversity capability based on the txDiversity-r16.</w:t>
      </w:r>
    </w:p>
    <w:p w:rsidR="001B640E" w:rsidRPr="001B640E" w:rsidRDefault="001B640E" w:rsidP="001B640E">
      <w:r w:rsidRPr="00153165">
        <w:rPr>
          <w:rFonts w:hint="eastAsia"/>
          <w:b/>
        </w:rPr>
        <w:t>P</w:t>
      </w:r>
      <w:r>
        <w:rPr>
          <w:b/>
        </w:rPr>
        <w:t>roposal 4</w:t>
      </w:r>
      <w:r w:rsidRPr="00153165">
        <w:rPr>
          <w:b/>
        </w:rPr>
        <w:t>: The presence of [txDiversity4Tx-r18] does not require the support of [txDiversity2Tx-r18]</w:t>
      </w:r>
      <w:r>
        <w:rPr>
          <w:b/>
        </w:rPr>
        <w:t>.</w:t>
      </w:r>
    </w:p>
    <w:p w:rsidR="001B640E" w:rsidRPr="00153165" w:rsidRDefault="001B640E" w:rsidP="001B640E">
      <w:pPr>
        <w:rPr>
          <w:rFonts w:ascii="Arial" w:hAnsi="Arial" w:cs="Arial"/>
          <w:sz w:val="18"/>
          <w:szCs w:val="18"/>
        </w:rPr>
      </w:pPr>
      <w:r w:rsidRPr="00153165">
        <w:rPr>
          <w:rFonts w:hint="eastAsia"/>
          <w:b/>
        </w:rPr>
        <w:t>P</w:t>
      </w:r>
      <w:r>
        <w:rPr>
          <w:b/>
        </w:rPr>
        <w:t>roposal 5</w:t>
      </w:r>
      <w:r w:rsidRPr="00153165">
        <w:rPr>
          <w:b/>
        </w:rPr>
        <w:t>:</w:t>
      </w:r>
      <w:r>
        <w:rPr>
          <w:b/>
        </w:rPr>
        <w:t xml:space="preserve"> Ran2 to confirm whether the </w:t>
      </w:r>
      <w:r w:rsidRPr="00153165">
        <w:rPr>
          <w:b/>
        </w:rPr>
        <w:t>txDiversity4Tx-r18</w:t>
      </w:r>
      <w:r>
        <w:rPr>
          <w:b/>
        </w:rPr>
        <w:t>/</w:t>
      </w:r>
      <w:r w:rsidRPr="00153165">
        <w:rPr>
          <w:b/>
        </w:rPr>
        <w:t>txDiversity2Tx-r18</w:t>
      </w:r>
      <w:r>
        <w:rPr>
          <w:b/>
        </w:rPr>
        <w:t xml:space="preserve"> are only for the FR1.</w:t>
      </w:r>
    </w:p>
    <w:p w:rsidR="001B640E" w:rsidRPr="001B640E" w:rsidRDefault="001B640E" w:rsidP="001B640E">
      <w:pPr>
        <w:rPr>
          <w:b/>
          <w:bCs/>
        </w:rPr>
      </w:pPr>
      <w:r w:rsidRPr="001B640E">
        <w:rPr>
          <w:rFonts w:hint="eastAsia"/>
          <w:b/>
        </w:rPr>
        <w:t>P</w:t>
      </w:r>
      <w:r w:rsidRPr="001B640E">
        <w:rPr>
          <w:b/>
        </w:rPr>
        <w:t>roposal 6: Ran2 to confirm whether the txDiversity4Tx-r18/txDiversity2Tx-r18 are also used for the NR-DC case (e.g. NR DC with NR-CA on MCG/SCG).</w:t>
      </w:r>
    </w:p>
    <w:bookmarkEnd w:id="2"/>
    <w:p w:rsidR="00E257E9" w:rsidRDefault="0049367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rsidR="00AF74C6" w:rsidRDefault="00D21458" w:rsidP="00AF74C6">
      <w:pPr>
        <w:pStyle w:val="Doc-title"/>
      </w:pPr>
      <w:r w:rsidRPr="00AF74C6">
        <w:rPr>
          <w:rFonts w:hint="eastAsia"/>
        </w:rPr>
        <w:t>[</w:t>
      </w:r>
      <w:r w:rsidRPr="00AF74C6">
        <w:t>1]</w:t>
      </w:r>
      <w:r w:rsidR="00AF74C6" w:rsidRPr="00AF74C6">
        <w:t xml:space="preserve"> </w:t>
      </w:r>
      <w:r w:rsidR="00AF74C6">
        <w:t>R2-2311756</w:t>
      </w:r>
      <w:r w:rsidR="00AF74C6">
        <w:tab/>
        <w:t xml:space="preserve">LS on new per band per BC </w:t>
      </w:r>
      <w:proofErr w:type="spellStart"/>
      <w:r w:rsidR="00AF74C6">
        <w:t>TxD</w:t>
      </w:r>
      <w:proofErr w:type="spellEnd"/>
      <w:r w:rsidR="00AF74C6">
        <w:t xml:space="preserve"> capability (R4-2317762; contact: Huawei)</w:t>
      </w:r>
      <w:r w:rsidR="00AF74C6">
        <w:tab/>
        <w:t>RAN4</w:t>
      </w:r>
      <w:r w:rsidR="00AF74C6">
        <w:tab/>
      </w:r>
    </w:p>
    <w:p w:rsidR="00D21458" w:rsidRDefault="00AF74C6" w:rsidP="00AF74C6">
      <w:pPr>
        <w:pStyle w:val="Doc-title"/>
      </w:pPr>
      <w:r>
        <w:t>[2]</w:t>
      </w:r>
      <w:r w:rsidR="00D21458" w:rsidRPr="00D21458">
        <w:rPr>
          <w:rFonts w:ascii="Times New Roman" w:hAnsi="Times New Roman"/>
          <w:kern w:val="2"/>
          <w:sz w:val="21"/>
        </w:rPr>
        <w:t xml:space="preserve"> </w:t>
      </w:r>
      <w:hyperlink r:id="rId9" w:history="1">
        <w:r w:rsidR="00D21458" w:rsidRPr="00D21458">
          <w:t>R4-2321983</w:t>
        </w:r>
      </w:hyperlink>
      <w:r w:rsidR="00D21458" w:rsidRPr="00D21458">
        <w:rPr>
          <w:rFonts w:ascii="Times New Roman" w:hAnsi="Times New Roman"/>
          <w:kern w:val="2"/>
          <w:sz w:val="21"/>
        </w:rPr>
        <w:t xml:space="preserve"> </w:t>
      </w:r>
      <w:r>
        <w:rPr>
          <w:rFonts w:ascii="Times New Roman" w:hAnsi="Times New Roman"/>
          <w:kern w:val="2"/>
          <w:sz w:val="21"/>
        </w:rPr>
        <w:t xml:space="preserve">  </w:t>
      </w:r>
      <w:r w:rsidR="00D21458" w:rsidRPr="00D21458">
        <w:rPr>
          <w:rFonts w:ascii="Times New Roman" w:hAnsi="Times New Roman"/>
          <w:kern w:val="2"/>
          <w:sz w:val="21"/>
        </w:rPr>
        <w:t>LS on 2Tx-TxD capability and 4Tx-TxD capability Samsung</w:t>
      </w:r>
      <w:r>
        <w:rPr>
          <w:rFonts w:ascii="Times New Roman" w:hAnsi="Times New Roman"/>
          <w:kern w:val="2"/>
          <w:sz w:val="21"/>
        </w:rPr>
        <w:t xml:space="preserve"> </w:t>
      </w:r>
      <w:r>
        <w:t>RAN4</w:t>
      </w:r>
    </w:p>
    <w:p w:rsidR="00153165" w:rsidRDefault="00153165" w:rsidP="00153165">
      <w:pPr>
        <w:rPr>
          <w:kern w:val="0"/>
          <w:sz w:val="24"/>
        </w:rPr>
      </w:pPr>
      <w:r>
        <w:rPr>
          <w:rFonts w:eastAsiaTheme="minorEastAsia" w:hint="eastAsia"/>
        </w:rPr>
        <w:t>[</w:t>
      </w:r>
      <w:r>
        <w:rPr>
          <w:rFonts w:eastAsiaTheme="minorEastAsia"/>
        </w:rPr>
        <w:t xml:space="preserve">3] </w:t>
      </w:r>
      <w:r>
        <w:t>R2-2311753</w:t>
      </w:r>
      <w:r>
        <w:tab/>
        <w:t xml:space="preserve">LS on </w:t>
      </w:r>
      <w:proofErr w:type="spellStart"/>
      <w:r>
        <w:t>signalling</w:t>
      </w:r>
      <w:proofErr w:type="spellEnd"/>
      <w:r>
        <w:t xml:space="preserve"> for 4Tx </w:t>
      </w:r>
      <w:proofErr w:type="spellStart"/>
      <w:r>
        <w:t>TxD</w:t>
      </w:r>
      <w:proofErr w:type="spellEnd"/>
      <w:r>
        <w:t xml:space="preserve"> (R4-2317617; contact: vivo)</w:t>
      </w:r>
      <w:r>
        <w:tab/>
        <w:t>RAN4</w:t>
      </w:r>
    </w:p>
    <w:p w:rsidR="00153165" w:rsidRPr="00153165" w:rsidRDefault="00153165" w:rsidP="00153165">
      <w:pPr>
        <w:pStyle w:val="Doc-text2"/>
        <w:ind w:left="0" w:firstLine="0"/>
        <w:rPr>
          <w:rFonts w:eastAsiaTheme="minorEastAsia"/>
          <w:lang w:val="en-US" w:eastAsia="zh-CN"/>
        </w:rPr>
      </w:pPr>
    </w:p>
    <w:sectPr w:rsidR="00153165" w:rsidRPr="00153165">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316" w:rsidRDefault="00536316">
      <w:pPr>
        <w:spacing w:line="240" w:lineRule="auto"/>
      </w:pPr>
      <w:r>
        <w:separator/>
      </w:r>
    </w:p>
  </w:endnote>
  <w:endnote w:type="continuationSeparator" w:id="0">
    <w:p w:rsidR="00536316" w:rsidRDefault="00536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7E9" w:rsidRDefault="00E257E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316" w:rsidRDefault="00536316">
      <w:pPr>
        <w:spacing w:after="0"/>
      </w:pPr>
      <w:r>
        <w:separator/>
      </w:r>
    </w:p>
  </w:footnote>
  <w:footnote w:type="continuationSeparator" w:id="0">
    <w:p w:rsidR="00536316" w:rsidRDefault="005363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7E9" w:rsidRDefault="00E257E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75C10B0"/>
    <w:multiLevelType w:val="singleLevel"/>
    <w:tmpl w:val="C75C10B0"/>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3685C51"/>
    <w:multiLevelType w:val="multilevel"/>
    <w:tmpl w:val="C49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cs="Arial" w:hint="default"/>
      </w:rPr>
    </w:lvl>
    <w:lvl w:ilvl="3">
      <w:start w:val="29"/>
      <w:numFmt w:val="bullet"/>
      <w:lvlText w:val="-"/>
      <w:lvlJc w:val="left"/>
      <w:pPr>
        <w:ind w:left="1680" w:hanging="420"/>
      </w:pPr>
      <w:rPr>
        <w:rFonts w:ascii="Arial" w:eastAsia="MS Mincho" w:hAnsi="Arial" w:cs="Arial" w:hint="default"/>
      </w:rPr>
    </w:lvl>
    <w:lvl w:ilvl="4">
      <w:start w:val="1"/>
      <w:numFmt w:val="bullet"/>
      <w:lvlText w:val="-"/>
      <w:lvlJc w:val="left"/>
      <w:pPr>
        <w:ind w:left="2100" w:hanging="420"/>
      </w:pPr>
      <w:rPr>
        <w:rFonts w:ascii="Arial" w:hAnsi="Arial" w:cs="Aria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59B1325"/>
    <w:multiLevelType w:val="hybridMultilevel"/>
    <w:tmpl w:val="3DEAB0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86FB7"/>
    <w:multiLevelType w:val="multilevel"/>
    <w:tmpl w:val="0A6089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cs="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FF77455"/>
    <w:multiLevelType w:val="multilevel"/>
    <w:tmpl w:val="5B6A8CD8"/>
    <w:lvl w:ilvl="0">
      <w:start w:val="1"/>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2)"/>
      <w:lvlJc w:val="left"/>
      <w:pPr>
        <w:tabs>
          <w:tab w:val="num" w:pos="0"/>
        </w:tabs>
        <w:ind w:left="840" w:hanging="420"/>
      </w:pPr>
      <w:rPr>
        <w:rFonts w:ascii="Times New Roman" w:hAnsi="Times New Roman" w:cs="Times New Roman" w:hint="default"/>
      </w:rPr>
    </w:lvl>
    <w:lvl w:ilvl="2">
      <w:start w:val="1"/>
      <w:numFmt w:val="lowerRoman"/>
      <w:lvlText w:val="%3."/>
      <w:lvlJc w:val="right"/>
      <w:pPr>
        <w:tabs>
          <w:tab w:val="num" w:pos="0"/>
        </w:tabs>
        <w:ind w:left="1260" w:hanging="420"/>
      </w:pPr>
      <w:rPr>
        <w:rFonts w:ascii="Times New Roman" w:hAnsi="Times New Roman" w:cs="Times New Roman" w:hint="default"/>
      </w:rPr>
    </w:lvl>
    <w:lvl w:ilvl="3">
      <w:start w:val="1"/>
      <w:numFmt w:val="decimal"/>
      <w:lvlText w:val="%4."/>
      <w:lvlJc w:val="left"/>
      <w:pPr>
        <w:tabs>
          <w:tab w:val="num" w:pos="0"/>
        </w:tabs>
        <w:ind w:left="1680" w:hanging="420"/>
      </w:pPr>
      <w:rPr>
        <w:rFonts w:ascii="Times New Roman" w:hAnsi="Times New Roman" w:cs="Times New Roman" w:hint="default"/>
      </w:rPr>
    </w:lvl>
    <w:lvl w:ilvl="4">
      <w:start w:val="1"/>
      <w:numFmt w:val="lowerLetter"/>
      <w:lvlText w:val="%5)"/>
      <w:lvlJc w:val="left"/>
      <w:pPr>
        <w:tabs>
          <w:tab w:val="num" w:pos="0"/>
        </w:tabs>
        <w:ind w:left="2100" w:hanging="420"/>
      </w:pPr>
      <w:rPr>
        <w:rFonts w:ascii="Times New Roman" w:hAnsi="Times New Roman" w:cs="Times New Roman" w:hint="default"/>
      </w:rPr>
    </w:lvl>
    <w:lvl w:ilvl="5">
      <w:start w:val="1"/>
      <w:numFmt w:val="lowerRoman"/>
      <w:lvlText w:val="%6."/>
      <w:lvlJc w:val="right"/>
      <w:pPr>
        <w:tabs>
          <w:tab w:val="num" w:pos="0"/>
        </w:tabs>
        <w:ind w:left="2520" w:hanging="420"/>
      </w:pPr>
      <w:rPr>
        <w:rFonts w:ascii="Times New Roman" w:hAnsi="Times New Roman" w:cs="Times New Roman" w:hint="default"/>
      </w:rPr>
    </w:lvl>
    <w:lvl w:ilvl="6">
      <w:start w:val="1"/>
      <w:numFmt w:val="decimal"/>
      <w:lvlText w:val="%7."/>
      <w:lvlJc w:val="left"/>
      <w:pPr>
        <w:tabs>
          <w:tab w:val="num" w:pos="0"/>
        </w:tabs>
        <w:ind w:left="2940" w:hanging="420"/>
      </w:pPr>
      <w:rPr>
        <w:rFonts w:ascii="Times New Roman" w:hAnsi="Times New Roman" w:cs="Times New Roman" w:hint="default"/>
      </w:rPr>
    </w:lvl>
    <w:lvl w:ilvl="7">
      <w:start w:val="1"/>
      <w:numFmt w:val="lowerLetter"/>
      <w:lvlText w:val="%8)"/>
      <w:lvlJc w:val="left"/>
      <w:pPr>
        <w:tabs>
          <w:tab w:val="num" w:pos="0"/>
        </w:tabs>
        <w:ind w:left="3360" w:hanging="420"/>
      </w:pPr>
      <w:rPr>
        <w:rFonts w:ascii="Times New Roman" w:hAnsi="Times New Roman" w:cs="Times New Roman" w:hint="default"/>
      </w:rPr>
    </w:lvl>
    <w:lvl w:ilvl="8">
      <w:start w:val="1"/>
      <w:numFmt w:val="lowerRoman"/>
      <w:lvlText w:val="%9."/>
      <w:lvlJc w:val="right"/>
      <w:pPr>
        <w:tabs>
          <w:tab w:val="num" w:pos="0"/>
        </w:tabs>
        <w:ind w:left="3780" w:hanging="420"/>
      </w:pPr>
      <w:rPr>
        <w:rFonts w:ascii="Times New Roman" w:hAnsi="Times New Roman" w:cs="Times New Roman"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3921209"/>
    <w:multiLevelType w:val="singleLevel"/>
    <w:tmpl w:val="63921209"/>
    <w:lvl w:ilvl="0">
      <w:start w:val="1"/>
      <w:numFmt w:val="decimal"/>
      <w:suff w:val="space"/>
      <w:lvlText w:val="[%1]"/>
      <w:lvlJc w:val="left"/>
    </w:lvl>
  </w:abstractNum>
  <w:abstractNum w:abstractNumId="10" w15:restartNumberingAfterBreak="0">
    <w:nsid w:val="742911D2"/>
    <w:multiLevelType w:val="multilevel"/>
    <w:tmpl w:val="742911D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8"/>
  </w:num>
  <w:num w:numId="3">
    <w:abstractNumId w:val="6"/>
  </w:num>
  <w:num w:numId="4">
    <w:abstractNumId w:val="3"/>
  </w:num>
  <w:num w:numId="5">
    <w:abstractNumId w:val="10"/>
  </w:num>
  <w:num w:numId="6">
    <w:abstractNumId w:val="0"/>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2DCD"/>
    <w:rsid w:val="0002434C"/>
    <w:rsid w:val="000248FC"/>
    <w:rsid w:val="00024E29"/>
    <w:rsid w:val="000251A3"/>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45E3"/>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309D"/>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2E41"/>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3165"/>
    <w:rsid w:val="0015556B"/>
    <w:rsid w:val="00156452"/>
    <w:rsid w:val="00160A40"/>
    <w:rsid w:val="001627D9"/>
    <w:rsid w:val="0016322E"/>
    <w:rsid w:val="00170C6A"/>
    <w:rsid w:val="00171FF9"/>
    <w:rsid w:val="0017245C"/>
    <w:rsid w:val="00172A27"/>
    <w:rsid w:val="00175874"/>
    <w:rsid w:val="001767E6"/>
    <w:rsid w:val="00176AC2"/>
    <w:rsid w:val="001802FB"/>
    <w:rsid w:val="001806A8"/>
    <w:rsid w:val="00180983"/>
    <w:rsid w:val="0018310D"/>
    <w:rsid w:val="00185175"/>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40E"/>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E72B5"/>
    <w:rsid w:val="001F31F0"/>
    <w:rsid w:val="001F3DF5"/>
    <w:rsid w:val="001F3EE6"/>
    <w:rsid w:val="001F4346"/>
    <w:rsid w:val="00201FFE"/>
    <w:rsid w:val="00202C4B"/>
    <w:rsid w:val="00203B88"/>
    <w:rsid w:val="00206380"/>
    <w:rsid w:val="0021065A"/>
    <w:rsid w:val="002155FA"/>
    <w:rsid w:val="002176DE"/>
    <w:rsid w:val="00220855"/>
    <w:rsid w:val="00222E24"/>
    <w:rsid w:val="00223B64"/>
    <w:rsid w:val="002265C4"/>
    <w:rsid w:val="0023029F"/>
    <w:rsid w:val="00231281"/>
    <w:rsid w:val="00231DC2"/>
    <w:rsid w:val="002333B7"/>
    <w:rsid w:val="002344F2"/>
    <w:rsid w:val="002368E4"/>
    <w:rsid w:val="002416A2"/>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06A"/>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3F67"/>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69F8"/>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6F0F"/>
    <w:rsid w:val="003A7F66"/>
    <w:rsid w:val="003B132E"/>
    <w:rsid w:val="003B139B"/>
    <w:rsid w:val="003B3A50"/>
    <w:rsid w:val="003B3F24"/>
    <w:rsid w:val="003B448B"/>
    <w:rsid w:val="003B47C6"/>
    <w:rsid w:val="003B774C"/>
    <w:rsid w:val="003B79ED"/>
    <w:rsid w:val="003C1384"/>
    <w:rsid w:val="003C3A9E"/>
    <w:rsid w:val="003C3E62"/>
    <w:rsid w:val="003C4BED"/>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3F68D5"/>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9367A"/>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54B"/>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3FE7"/>
    <w:rsid w:val="00534869"/>
    <w:rsid w:val="00536316"/>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065A"/>
    <w:rsid w:val="005910DD"/>
    <w:rsid w:val="005940C1"/>
    <w:rsid w:val="0059566C"/>
    <w:rsid w:val="0059585E"/>
    <w:rsid w:val="00597619"/>
    <w:rsid w:val="005A1AAB"/>
    <w:rsid w:val="005A3156"/>
    <w:rsid w:val="005A4A8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2A03"/>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414E"/>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6FBB"/>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334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03A"/>
    <w:rsid w:val="00AE5146"/>
    <w:rsid w:val="00AE55C5"/>
    <w:rsid w:val="00AE5A4F"/>
    <w:rsid w:val="00AE7B16"/>
    <w:rsid w:val="00AF0B65"/>
    <w:rsid w:val="00AF74C6"/>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4AF8"/>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1116"/>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675F"/>
    <w:rsid w:val="00C16979"/>
    <w:rsid w:val="00C172FB"/>
    <w:rsid w:val="00C21F2D"/>
    <w:rsid w:val="00C23439"/>
    <w:rsid w:val="00C2408A"/>
    <w:rsid w:val="00C27213"/>
    <w:rsid w:val="00C278C2"/>
    <w:rsid w:val="00C32425"/>
    <w:rsid w:val="00C33DEA"/>
    <w:rsid w:val="00C353D0"/>
    <w:rsid w:val="00C35AE1"/>
    <w:rsid w:val="00C40CED"/>
    <w:rsid w:val="00C41E55"/>
    <w:rsid w:val="00C43809"/>
    <w:rsid w:val="00C43A7C"/>
    <w:rsid w:val="00C45167"/>
    <w:rsid w:val="00C473CE"/>
    <w:rsid w:val="00C50168"/>
    <w:rsid w:val="00C514F7"/>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0927"/>
    <w:rsid w:val="00C72471"/>
    <w:rsid w:val="00C72B4C"/>
    <w:rsid w:val="00C8086B"/>
    <w:rsid w:val="00C82D97"/>
    <w:rsid w:val="00C84D14"/>
    <w:rsid w:val="00C90CE5"/>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458"/>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3D11"/>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57E9"/>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B9483B"/>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945468"/>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7E28D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3D74A9"/>
    <w:rsid w:val="16417F84"/>
    <w:rsid w:val="168521B8"/>
    <w:rsid w:val="16A43C8F"/>
    <w:rsid w:val="16A5270A"/>
    <w:rsid w:val="16BE464B"/>
    <w:rsid w:val="16D61CD9"/>
    <w:rsid w:val="16E74CBD"/>
    <w:rsid w:val="1705748E"/>
    <w:rsid w:val="170A4371"/>
    <w:rsid w:val="17165A9E"/>
    <w:rsid w:val="17300AA3"/>
    <w:rsid w:val="174B31A0"/>
    <w:rsid w:val="175B1D16"/>
    <w:rsid w:val="176F04AC"/>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7E1CA6"/>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327329"/>
    <w:rsid w:val="1A4406CA"/>
    <w:rsid w:val="1A523105"/>
    <w:rsid w:val="1A5562D2"/>
    <w:rsid w:val="1A61483A"/>
    <w:rsid w:val="1A7857C1"/>
    <w:rsid w:val="1A8A2BB0"/>
    <w:rsid w:val="1A8F11DF"/>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76DB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5A6747"/>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030017"/>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2329B"/>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856E1"/>
    <w:rsid w:val="27CD4196"/>
    <w:rsid w:val="27CE139A"/>
    <w:rsid w:val="27E63AB6"/>
    <w:rsid w:val="27F231DD"/>
    <w:rsid w:val="28085B9B"/>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DE2489"/>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BF65EB8"/>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5089B"/>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8B7C54"/>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580F8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35062"/>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5B0135"/>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396D6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06DA2"/>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6F94306"/>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CF6EA8"/>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3143B"/>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C0998"/>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3FE0B4B"/>
    <w:rsid w:val="54095B51"/>
    <w:rsid w:val="543630E0"/>
    <w:rsid w:val="544A0DB6"/>
    <w:rsid w:val="5456191F"/>
    <w:rsid w:val="5457477E"/>
    <w:rsid w:val="545A5363"/>
    <w:rsid w:val="5469029B"/>
    <w:rsid w:val="546947B9"/>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069F0"/>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73305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395A1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162B6"/>
    <w:rsid w:val="6B5A41AF"/>
    <w:rsid w:val="6B6A7091"/>
    <w:rsid w:val="6B76598E"/>
    <w:rsid w:val="6B89705C"/>
    <w:rsid w:val="6BA3495E"/>
    <w:rsid w:val="6BC247A6"/>
    <w:rsid w:val="6BD92C40"/>
    <w:rsid w:val="6BE211D0"/>
    <w:rsid w:val="6BF87C20"/>
    <w:rsid w:val="6C3016AA"/>
    <w:rsid w:val="6C3D541F"/>
    <w:rsid w:val="6C415AEC"/>
    <w:rsid w:val="6C477A25"/>
    <w:rsid w:val="6C55139F"/>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CD380D"/>
    <w:rsid w:val="6EDB288F"/>
    <w:rsid w:val="6EF841B8"/>
    <w:rsid w:val="6EFC3550"/>
    <w:rsid w:val="6F043F0B"/>
    <w:rsid w:val="6F36145A"/>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8E19DA"/>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6B133E"/>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8AEB84-C3CA-4340-8C81-A24D9A745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basedOn w:val="a0"/>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sz w:val="18"/>
      <w:szCs w:val="18"/>
    </w:rPr>
  </w:style>
  <w:style w:type="paragraph" w:customStyle="1" w:styleId="aff6">
    <w:name w:val="示例内容"/>
    <w:qFormat/>
    <w:pPr>
      <w:spacing w:after="160" w:line="259" w:lineRule="auto"/>
      <w:ind w:firstLineChars="200" w:firstLine="200"/>
    </w:pPr>
    <w:rPr>
      <w:rFonts w:ascii="宋体"/>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sz w:val="21"/>
    </w:rPr>
  </w:style>
  <w:style w:type="paragraph" w:customStyle="1" w:styleId="aff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宋体"/>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678809">
      <w:bodyDiv w:val="1"/>
      <w:marLeft w:val="0"/>
      <w:marRight w:val="0"/>
      <w:marTop w:val="0"/>
      <w:marBottom w:val="0"/>
      <w:divBdr>
        <w:top w:val="none" w:sz="0" w:space="0" w:color="auto"/>
        <w:left w:val="none" w:sz="0" w:space="0" w:color="auto"/>
        <w:bottom w:val="none" w:sz="0" w:space="0" w:color="auto"/>
        <w:right w:val="none" w:sz="0" w:space="0" w:color="auto"/>
      </w:divBdr>
    </w:div>
    <w:div w:id="287126471">
      <w:bodyDiv w:val="1"/>
      <w:marLeft w:val="0"/>
      <w:marRight w:val="0"/>
      <w:marTop w:val="0"/>
      <w:marBottom w:val="0"/>
      <w:divBdr>
        <w:top w:val="none" w:sz="0" w:space="0" w:color="auto"/>
        <w:left w:val="none" w:sz="0" w:space="0" w:color="auto"/>
        <w:bottom w:val="none" w:sz="0" w:space="0" w:color="auto"/>
        <w:right w:val="none" w:sz="0" w:space="0" w:color="auto"/>
      </w:divBdr>
    </w:div>
    <w:div w:id="682436362">
      <w:bodyDiv w:val="1"/>
      <w:marLeft w:val="0"/>
      <w:marRight w:val="0"/>
      <w:marTop w:val="0"/>
      <w:marBottom w:val="0"/>
      <w:divBdr>
        <w:top w:val="none" w:sz="0" w:space="0" w:color="auto"/>
        <w:left w:val="none" w:sz="0" w:space="0" w:color="auto"/>
        <w:bottom w:val="none" w:sz="0" w:space="0" w:color="auto"/>
        <w:right w:val="none" w:sz="0" w:space="0" w:color="auto"/>
      </w:divBdr>
    </w:div>
    <w:div w:id="957297041">
      <w:bodyDiv w:val="1"/>
      <w:marLeft w:val="0"/>
      <w:marRight w:val="0"/>
      <w:marTop w:val="0"/>
      <w:marBottom w:val="0"/>
      <w:divBdr>
        <w:top w:val="none" w:sz="0" w:space="0" w:color="auto"/>
        <w:left w:val="none" w:sz="0" w:space="0" w:color="auto"/>
        <w:bottom w:val="none" w:sz="0" w:space="0" w:color="auto"/>
        <w:right w:val="none" w:sz="0" w:space="0" w:color="auto"/>
      </w:divBdr>
    </w:div>
    <w:div w:id="1856111004">
      <w:bodyDiv w:val="1"/>
      <w:marLeft w:val="0"/>
      <w:marRight w:val="0"/>
      <w:marTop w:val="0"/>
      <w:marBottom w:val="0"/>
      <w:divBdr>
        <w:top w:val="none" w:sz="0" w:space="0" w:color="auto"/>
        <w:left w:val="none" w:sz="0" w:space="0" w:color="auto"/>
        <w:bottom w:val="none" w:sz="0" w:space="0" w:color="auto"/>
        <w:right w:val="none" w:sz="0" w:space="0" w:color="auto"/>
      </w:divBdr>
    </w:div>
    <w:div w:id="1895045550">
      <w:bodyDiv w:val="1"/>
      <w:marLeft w:val="0"/>
      <w:marRight w:val="0"/>
      <w:marTop w:val="0"/>
      <w:marBottom w:val="0"/>
      <w:divBdr>
        <w:top w:val="none" w:sz="0" w:space="0" w:color="auto"/>
        <w:left w:val="none" w:sz="0" w:space="0" w:color="auto"/>
        <w:bottom w:val="none" w:sz="0" w:space="0" w:color="auto"/>
        <w:right w:val="none" w:sz="0" w:space="0" w:color="auto"/>
      </w:divBdr>
    </w:div>
    <w:div w:id="21434993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4_Radio/TSGR4_109/Docs/R4-2321983.zip"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503B64-49CB-41F4-AA37-F7BEE9E9A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5</Pages>
  <Words>1519</Words>
  <Characters>8663</Characters>
  <Application>Microsoft Office Word</Application>
  <DocSecurity>0</DocSecurity>
  <Lines>72</Lines>
  <Paragraphs>20</Paragraphs>
  <ScaleCrop>false</ScaleCrop>
  <Company>www.zte.com.cn</Company>
  <LinksUpToDate>false</LinksUpToDate>
  <CharactersWithSpaces>10162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8</cp:revision>
  <cp:lastPrinted>2113-01-01T00:00:00Z</cp:lastPrinted>
  <dcterms:created xsi:type="dcterms:W3CDTF">2023-11-03T07:27:00Z</dcterms:created>
  <dcterms:modified xsi:type="dcterms:W3CDTF">2024-02-19T09:05:00Z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